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120"/>
      </w:pPr>
      <w:r>
        <w:rPr>
          <w:b/>
          <w:bCs/>
          <w:color w:val="1F3864"/>
          <w:sz w:val="30"/>
          <w:szCs w:val="30"/>
        </w:rPr>
        <w:t xml:space="preserve">資産運用業務・アセットマネジメント業務・マーケット業務の比較表（主要グループ別）</w:t>
      </w:r>
    </w:p>
    <w:p>
      <w:pPr>
        <w:spacing w:after="100" w:line="264"/>
      </w:pPr>
      <w:r>
        <w:rPr>
          <w:sz w:val="20"/>
          <w:szCs w:val="20"/>
        </w:rPr>
        <w:t xml:space="preserve">信託銀行グループの「資産運用業務」「アセットマネジメント業務」「マーケット業務」は名称が似ていますが、担い手が異なります。「資産運用業務」は信託銀行本体が受託財産の運用の意思決定を行う業務、「アセットマネジメント業務」はグループの資産運用会社（投信委託会社）が公募・私募ファンドの設定・運用を行う業務、「マーケット業務」は銀行・信託銀行本体の市場部門が資金繰り（ALM）やトレーディングを行う業務です。以下は、主要な信託銀行グループを横軸に、業務種類を縦軸にとり、各業務の取扱い状況を整理したものです。</w:t>
      </w:r>
    </w:p>
    <w:p>
      <w:pPr>
        <w:spacing w:after="160"/>
      </w:pPr>
      <w:r>
        <w:rPr>
          <w:b/>
          <w:bCs/>
          <w:sz w:val="19"/>
          <w:szCs w:val="19"/>
        </w:rPr>
        <w:t xml:space="preserve">凡例：</w:t>
      </w:r>
      <w:r>
        <w:rPr>
          <w:color w:val="1F6F43"/>
          <w:sz w:val="19"/>
          <w:szCs w:val="19"/>
        </w:rPr>
        <w:t xml:space="preserve">○＝実施している（会社名を記載）　</w:t>
      </w:r>
      <w:r>
        <w:rPr>
          <w:color w:val="B36B00"/>
          <w:sz w:val="19"/>
          <w:szCs w:val="19"/>
        </w:rPr>
        <w:t xml:space="preserve">△＝一部・限定的に実施　</w:t>
      </w:r>
      <w:r>
        <w:rPr>
          <w:color w:val="999999"/>
          <w:sz w:val="19"/>
          <w:szCs w:val="19"/>
        </w:rPr>
        <w:t xml:space="preserve">×＝実施していない</w:t>
      </w:r>
    </w:p>
    <w:tbl>
      <w:tblPr>
        <w:tblW w:type="dxa" w:w="22411"/>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650"/>
        <w:gridCol w:w="2970"/>
        <w:gridCol w:w="2970"/>
        <w:gridCol w:w="2970"/>
        <w:gridCol w:w="2330"/>
        <w:gridCol w:w="3490"/>
        <w:gridCol w:w="3031"/>
      </w:tblGrid>
      <w:tr>
        <w:trPr>
          <w:tblHeader/>
        </w:trPr>
        <w:tc>
          <w:tcPr>
            <w:tcW w:type="dxa" w:w="4650"/>
            <w:shd w:fill="2F5496" w:val="clear"/>
            <w:tcMar>
              <w:top w:type="dxa" w:w="100"/>
              <w:left w:type="dxa" w:w="100"/>
              <w:bottom w:type="dxa" w:w="100"/>
              <w:right w:type="dxa" w:w="100"/>
            </w:tcMar>
            <w:vAlign w:val="center"/>
          </w:tcPr>
          <w:p>
            <w:pPr>
              <w:spacing w:after="0" w:line="216"/>
              <w:jc w:val="center"/>
            </w:pPr>
            <w:r>
              <w:rPr>
                <w:b/>
                <w:bCs/>
                <w:color w:val="FFFFFF"/>
                <w:sz w:val="21"/>
                <w:szCs w:val="21"/>
              </w:rPr>
              <w:t xml:space="preserve">業務種類</w:t>
            </w:r>
          </w:p>
        </w:tc>
        <w:tc>
          <w:tcPr>
            <w:tcW w:type="dxa" w:w="2970"/>
            <w:shd w:fill="2F5496" w:val="clear"/>
            <w:tcMar>
              <w:top w:type="dxa" w:w="100"/>
              <w:left w:type="dxa" w:w="100"/>
              <w:bottom w:type="dxa" w:w="100"/>
              <w:right w:type="dxa" w:w="100"/>
            </w:tcMar>
            <w:vAlign w:val="center"/>
          </w:tcPr>
          <w:p>
            <w:pPr>
              <w:spacing w:after="0" w:line="216"/>
              <w:jc w:val="center"/>
            </w:pPr>
            <w:r>
              <w:rPr>
                <w:b/>
                <w:bCs/>
                <w:color w:val="FFFFFF"/>
                <w:sz w:val="21"/>
                <w:szCs w:val="21"/>
              </w:rPr>
              <w:t xml:space="preserve">①みずほ</w:t>
            </w:r>
          </w:p>
          <w:p>
            <w:pPr>
              <w:spacing w:after="0" w:line="216"/>
              <w:jc w:val="center"/>
            </w:pPr>
            <w:r>
              <w:rPr>
                <w:b/>
                <w:bCs/>
                <w:color w:val="FFFFFF"/>
                <w:sz w:val="21"/>
                <w:szCs w:val="21"/>
              </w:rPr>
              <w:t xml:space="preserve">グループ</w:t>
            </w:r>
          </w:p>
        </w:tc>
        <w:tc>
          <w:tcPr>
            <w:tcW w:type="dxa" w:w="2970"/>
            <w:shd w:fill="2F5496" w:val="clear"/>
            <w:tcMar>
              <w:top w:type="dxa" w:w="100"/>
              <w:left w:type="dxa" w:w="100"/>
              <w:bottom w:type="dxa" w:w="100"/>
              <w:right w:type="dxa" w:w="100"/>
            </w:tcMar>
            <w:vAlign w:val="center"/>
          </w:tcPr>
          <w:p>
            <w:pPr>
              <w:spacing w:after="0" w:line="216"/>
              <w:jc w:val="center"/>
            </w:pPr>
            <w:r>
              <w:rPr>
                <w:b/>
                <w:bCs/>
                <w:color w:val="FFFFFF"/>
                <w:sz w:val="21"/>
                <w:szCs w:val="21"/>
              </w:rPr>
              <w:t xml:space="preserve">②三菱UFJ</w:t>
            </w:r>
          </w:p>
          <w:p>
            <w:pPr>
              <w:spacing w:after="0" w:line="216"/>
              <w:jc w:val="center"/>
            </w:pPr>
            <w:r>
              <w:rPr>
                <w:b/>
                <w:bCs/>
                <w:color w:val="FFFFFF"/>
                <w:sz w:val="21"/>
                <w:szCs w:val="21"/>
              </w:rPr>
              <w:t xml:space="preserve">グループ</w:t>
            </w:r>
          </w:p>
        </w:tc>
        <w:tc>
          <w:tcPr>
            <w:tcW w:type="dxa" w:w="2970"/>
            <w:shd w:fill="2F5496" w:val="clear"/>
            <w:tcMar>
              <w:top w:type="dxa" w:w="100"/>
              <w:left w:type="dxa" w:w="100"/>
              <w:bottom w:type="dxa" w:w="100"/>
              <w:right w:type="dxa" w:w="100"/>
            </w:tcMar>
            <w:vAlign w:val="center"/>
          </w:tcPr>
          <w:p>
            <w:pPr>
              <w:spacing w:after="0" w:line="216"/>
              <w:jc w:val="center"/>
            </w:pPr>
            <w:r>
              <w:rPr>
                <w:b/>
                <w:bCs/>
                <w:color w:val="FFFFFF"/>
                <w:sz w:val="21"/>
                <w:szCs w:val="21"/>
              </w:rPr>
              <w:t xml:space="preserve">③りそな</w:t>
            </w:r>
          </w:p>
          <w:p>
            <w:pPr>
              <w:spacing w:after="0" w:line="216"/>
              <w:jc w:val="center"/>
            </w:pPr>
            <w:r>
              <w:rPr>
                <w:b/>
                <w:bCs/>
                <w:color w:val="FFFFFF"/>
                <w:sz w:val="21"/>
                <w:szCs w:val="21"/>
              </w:rPr>
              <w:t xml:space="preserve">グループ</w:t>
            </w:r>
          </w:p>
        </w:tc>
        <w:tc>
          <w:tcPr>
            <w:tcW w:type="dxa" w:w="2330"/>
            <w:shd w:fill="2F5496" w:val="clear"/>
            <w:tcMar>
              <w:top w:type="dxa" w:w="100"/>
              <w:left w:type="dxa" w:w="100"/>
              <w:bottom w:type="dxa" w:w="100"/>
              <w:right w:type="dxa" w:w="100"/>
            </w:tcMar>
            <w:vAlign w:val="center"/>
          </w:tcPr>
          <w:p>
            <w:pPr>
              <w:spacing w:after="0" w:line="216"/>
              <w:jc w:val="center"/>
            </w:pPr>
            <w:r>
              <w:rPr>
                <w:b/>
                <w:bCs/>
                <w:color w:val="FFFFFF"/>
                <w:sz w:val="21"/>
                <w:szCs w:val="21"/>
              </w:rPr>
              <w:t xml:space="preserve">④ゆうちょ</w:t>
            </w:r>
          </w:p>
        </w:tc>
        <w:tc>
          <w:tcPr>
            <w:tcW w:type="dxa" w:w="3490"/>
            <w:shd w:fill="2F5496" w:val="clear"/>
            <w:tcMar>
              <w:top w:type="dxa" w:w="100"/>
              <w:left w:type="dxa" w:w="100"/>
              <w:bottom w:type="dxa" w:w="100"/>
              <w:right w:type="dxa" w:w="100"/>
            </w:tcMar>
            <w:vAlign w:val="center"/>
          </w:tcPr>
          <w:p>
            <w:pPr>
              <w:spacing w:after="0" w:line="216"/>
              <w:jc w:val="center"/>
            </w:pPr>
            <w:r>
              <w:rPr>
                <w:b/>
                <w:bCs/>
                <w:color w:val="FFFFFF"/>
                <w:sz w:val="21"/>
                <w:szCs w:val="21"/>
              </w:rPr>
              <w:t xml:space="preserve">⑤三井住友</w:t>
            </w:r>
          </w:p>
          <w:p>
            <w:pPr>
              <w:spacing w:after="0" w:line="216"/>
              <w:jc w:val="center"/>
            </w:pPr>
            <w:r>
              <w:rPr>
                <w:b/>
                <w:bCs/>
                <w:color w:val="FFFFFF"/>
                <w:sz w:val="21"/>
                <w:szCs w:val="21"/>
              </w:rPr>
              <w:t xml:space="preserve">グループ</w:t>
            </w:r>
          </w:p>
        </w:tc>
        <w:tc>
          <w:tcPr>
            <w:tcW w:type="dxa" w:w="3031"/>
            <w:shd w:fill="2F5496" w:val="clear"/>
            <w:tcMar>
              <w:top w:type="dxa" w:w="100"/>
              <w:left w:type="dxa" w:w="100"/>
              <w:bottom w:type="dxa" w:w="100"/>
              <w:right w:type="dxa" w:w="100"/>
            </w:tcMar>
            <w:vAlign w:val="center"/>
          </w:tcPr>
          <w:p>
            <w:pPr>
              <w:spacing w:after="0" w:line="216"/>
              <w:jc w:val="center"/>
            </w:pPr>
            <w:r>
              <w:rPr>
                <w:b/>
                <w:bCs/>
                <w:color w:val="FFFFFF"/>
                <w:sz w:val="21"/>
                <w:szCs w:val="21"/>
              </w:rPr>
              <w:t xml:space="preserve">⑦その他</w:t>
            </w:r>
          </w:p>
        </w:tc>
      </w:tr>
      <w:tr>
        <w:trPr>
          <w:cantSplit/>
        </w:trPr>
        <w:tc>
          <w:tcPr>
            <w:tcW w:type="dxa" w:w="22411"/>
            <w:gridSpan w:val="7"/>
            <w:shd w:fill="D9E2F3" w:val="clear"/>
            <w:tcMar>
              <w:top w:type="dxa" w:w="90"/>
              <w:left w:type="dxa" w:w="120"/>
              <w:bottom w:type="dxa" w:w="90"/>
              <w:right w:type="dxa" w:w="100"/>
            </w:tcMar>
          </w:tcPr>
          <w:p>
            <w:pPr>
              <w:spacing w:after="0" w:line="216"/>
              <w:jc w:val="left"/>
            </w:pPr>
            <w:r>
              <w:rPr>
                <w:b/>
                <w:bCs/>
                <w:color w:val="1F3864"/>
                <w:sz w:val="20"/>
                <w:szCs w:val="20"/>
              </w:rPr>
              <w:t xml:space="preserve">A. 資産運用業務（信託銀行本体が行う運用受託業務）</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1. 金銭信託・年金信託の運用の意思決定業務（自家運用）</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B36B00"/>
                <w:sz w:val="22"/>
                <w:szCs w:val="22"/>
              </w:rPr>
              <w:t xml:space="preserve">△</w:t>
            </w:r>
          </w:p>
          <w:p>
            <w:pPr>
              <w:spacing w:after="0" w:line="230"/>
            </w:pPr>
            <w:r>
              <w:rPr>
                <w:i/>
                <w:iCs/>
                <w:color w:val="666666"/>
                <w:sz w:val="15"/>
                <w:szCs w:val="15"/>
              </w:rPr>
              <w:t xml:space="preserve">一部をゆうちょアセットマネジメントへ移管</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p>
            <w:pPr>
              <w:spacing w:after="0" w:line="240"/>
            </w:pPr>
            <w:r>
              <w:rPr>
                <w:sz w:val="18"/>
                <w:szCs w:val="18"/>
              </w:rPr>
              <w:t xml:space="preserve">SMBC信託銀行</w:t>
            </w:r>
          </w:p>
        </w:tc>
        <w:tc>
          <w:tcPr>
            <w:tcW w:type="dxa" w:w="3031"/>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野村信託銀行 等</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2. 投資一任契約に基づく投資顧問業務</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野村信託銀行 等</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3. プライベートアセット（未上場株・インフラ・不動産private debt 等）の運用受託</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B36B00"/>
                <w:sz w:val="22"/>
                <w:szCs w:val="22"/>
              </w:rPr>
              <w:t xml:space="preserve">△</w:t>
            </w:r>
          </w:p>
        </w:tc>
        <w:tc>
          <w:tcPr>
            <w:tcW w:type="dxa" w:w="2330"/>
            <w:tcMar>
              <w:top w:type="dxa" w:w="80"/>
              <w:left w:type="dxa" w:w="80"/>
              <w:bottom w:type="dxa" w:w="80"/>
              <w:right w:type="dxa" w:w="80"/>
            </w:tcMar>
            <w:vAlign w:val="center"/>
          </w:tcPr>
          <w:p>
            <w:pPr>
              <w:spacing w:after="0" w:line="260"/>
            </w:pPr>
            <w:r>
              <w:rPr>
                <w:b/>
                <w:bCs/>
                <w:color w:val="B36B00"/>
                <w:sz w:val="22"/>
                <w:szCs w:val="22"/>
              </w:rPr>
              <w:t xml:space="preserve">△</w:t>
            </w:r>
          </w:p>
          <w:p>
            <w:pPr>
              <w:spacing w:after="0" w:line="240"/>
            </w:pPr>
            <w:r>
              <w:rPr>
                <w:sz w:val="18"/>
                <w:szCs w:val="18"/>
              </w:rPr>
              <w:t xml:space="preserve">ゆうちょアセットマネジメント</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B36B00"/>
                <w:sz w:val="22"/>
                <w:szCs w:val="22"/>
              </w:rPr>
              <w:t xml:space="preserve">△</w:t>
            </w:r>
          </w:p>
        </w:tc>
      </w:tr>
      <w:tr>
        <w:trPr>
          <w:cantSplit/>
        </w:trPr>
        <w:tc>
          <w:tcPr>
            <w:tcW w:type="dxa" w:w="22411"/>
            <w:gridSpan w:val="7"/>
            <w:shd w:fill="D9E2F3" w:val="clear"/>
            <w:tcMar>
              <w:top w:type="dxa" w:w="90"/>
              <w:left w:type="dxa" w:w="120"/>
              <w:bottom w:type="dxa" w:w="90"/>
              <w:right w:type="dxa" w:w="100"/>
            </w:tcMar>
          </w:tcPr>
          <w:p>
            <w:pPr>
              <w:spacing w:after="0" w:line="216"/>
              <w:jc w:val="left"/>
            </w:pPr>
            <w:r>
              <w:rPr>
                <w:b/>
                <w:bCs/>
                <w:color w:val="1F3864"/>
                <w:sz w:val="20"/>
                <w:szCs w:val="20"/>
              </w:rPr>
              <w:t xml:space="preserve">B. アセットマネジメント業務（グループの資産運用会社による運用業務）</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4. 公募投資信託の設定・運用（委託者）業務</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アセットマネジメントOne</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三菱UFJアセットマネジメント</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りそなアセットマネジメント</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p>
            <w:pPr>
              <w:spacing w:after="0" w:line="230"/>
            </w:pPr>
            <w:r>
              <w:rPr>
                <w:i/>
                <w:iCs/>
                <w:color w:val="666666"/>
                <w:sz w:val="15"/>
                <w:szCs w:val="15"/>
              </w:rPr>
              <w:t xml:space="preserve">個人向け公募投信の自社設定は行っていない</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三井住友トラスト・アセットマネジメント</w:t>
            </w:r>
          </w:p>
          <w:p>
            <w:pPr>
              <w:spacing w:after="0" w:line="240"/>
            </w:pPr>
            <w:r>
              <w:rPr>
                <w:sz w:val="18"/>
                <w:szCs w:val="18"/>
              </w:rPr>
              <w:t xml:space="preserve">三井住友DSアセットマネジメント</w:t>
            </w:r>
          </w:p>
        </w:tc>
        <w:tc>
          <w:tcPr>
            <w:tcW w:type="dxa" w:w="3031"/>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野村アセットマネジメント</w:t>
            </w:r>
          </w:p>
          <w:p>
            <w:pPr>
              <w:spacing w:after="0" w:line="240"/>
            </w:pPr>
            <w:r>
              <w:rPr>
                <w:sz w:val="18"/>
                <w:szCs w:val="18"/>
              </w:rPr>
              <w:t xml:space="preserve">大和アセットマネジメント 等</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5. 確定拠出年金（DC）向け運用商品の提供</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アセットマネジメントOne</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三菱UFJアセットマネジメント</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りそなアセットマネジメント</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三井住友トラスト・アセットマネジメント 等</w:t>
            </w:r>
          </w:p>
        </w:tc>
        <w:tc>
          <w:tcPr>
            <w:tcW w:type="dxa" w:w="3031"/>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野村アセットマネジメント 等</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6. 機関投資家向け（年金基金・GPIF 等）運用受託業務</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アセットマネジメントOne</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三菱UFJアセットマネジメント</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りそなアセットマネジメント</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三井住友トラスト・アセットマネジメント</w:t>
            </w:r>
          </w:p>
        </w:tc>
        <w:tc>
          <w:tcPr>
            <w:tcW w:type="dxa" w:w="3031"/>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野村アセットマネジメント 等</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7. オルタナティブ投資運用（PE・不動産ファンド・ヘッジファンド 等）</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アセットマネジメントOne 等</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三菱UFJアセットマネジメント 等</w:t>
            </w:r>
          </w:p>
        </w:tc>
        <w:tc>
          <w:tcPr>
            <w:tcW w:type="dxa" w:w="2970"/>
            <w:tcMar>
              <w:top w:type="dxa" w:w="80"/>
              <w:left w:type="dxa" w:w="80"/>
              <w:bottom w:type="dxa" w:w="80"/>
              <w:right w:type="dxa" w:w="80"/>
            </w:tcMar>
            <w:vAlign w:val="center"/>
          </w:tcPr>
          <w:p>
            <w:pPr>
              <w:spacing w:after="0" w:line="260"/>
            </w:pPr>
            <w:r>
              <w:rPr>
                <w:b/>
                <w:bCs/>
                <w:color w:val="B36B00"/>
                <w:sz w:val="22"/>
                <w:szCs w:val="22"/>
              </w:rPr>
              <w:t xml:space="preserve">△</w:t>
            </w:r>
          </w:p>
        </w:tc>
        <w:tc>
          <w:tcPr>
            <w:tcW w:type="dxa" w:w="2330"/>
            <w:tcMar>
              <w:top w:type="dxa" w:w="80"/>
              <w:left w:type="dxa" w:w="80"/>
              <w:bottom w:type="dxa" w:w="80"/>
              <w:right w:type="dxa" w:w="80"/>
            </w:tcMar>
            <w:vAlign w:val="center"/>
          </w:tcPr>
          <w:p>
            <w:pPr>
              <w:spacing w:after="0" w:line="260"/>
            </w:pPr>
            <w:r>
              <w:rPr>
                <w:b/>
                <w:bCs/>
                <w:color w:val="B36B00"/>
                <w:sz w:val="22"/>
                <w:szCs w:val="22"/>
              </w:rPr>
              <w:t xml:space="preserve">△</w:t>
            </w:r>
          </w:p>
          <w:p>
            <w:pPr>
              <w:spacing w:after="0" w:line="240"/>
            </w:pPr>
            <w:r>
              <w:rPr>
                <w:sz w:val="18"/>
                <w:szCs w:val="18"/>
              </w:rPr>
              <w:t xml:space="preserve">ゆうちょアセットマネジメント</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三井住友トラスト・アセットマネジメント 等</w:t>
            </w:r>
          </w:p>
        </w:tc>
        <w:tc>
          <w:tcPr>
            <w:tcW w:type="dxa" w:w="3031"/>
            <w:tcMar>
              <w:top w:type="dxa" w:w="80"/>
              <w:left w:type="dxa" w:w="80"/>
              <w:bottom w:type="dxa" w:w="80"/>
              <w:right w:type="dxa" w:w="80"/>
            </w:tcMar>
            <w:vAlign w:val="center"/>
          </w:tcPr>
          <w:p>
            <w:pPr>
              <w:spacing w:after="0" w:line="260"/>
            </w:pPr>
            <w:r>
              <w:rPr>
                <w:b/>
                <w:bCs/>
                <w:color w:val="B36B00"/>
                <w:sz w:val="22"/>
                <w:szCs w:val="22"/>
              </w:rPr>
              <w:t xml:space="preserve">△</w:t>
            </w:r>
          </w:p>
        </w:tc>
      </w:tr>
      <w:tr>
        <w:trPr>
          <w:cantSplit/>
        </w:trPr>
        <w:tc>
          <w:tcPr>
            <w:tcW w:type="dxa" w:w="22411"/>
            <w:gridSpan w:val="7"/>
            <w:shd w:fill="D9E2F3" w:val="clear"/>
            <w:tcMar>
              <w:top w:type="dxa" w:w="90"/>
              <w:left w:type="dxa" w:w="120"/>
              <w:bottom w:type="dxa" w:w="90"/>
              <w:right w:type="dxa" w:w="100"/>
            </w:tcMar>
          </w:tcPr>
          <w:p>
            <w:pPr>
              <w:spacing w:after="0" w:line="216"/>
              <w:jc w:val="left"/>
            </w:pPr>
            <w:r>
              <w:rPr>
                <w:b/>
                <w:bCs/>
                <w:color w:val="1F3864"/>
                <w:sz w:val="20"/>
                <w:szCs w:val="20"/>
              </w:rPr>
              <w:t xml:space="preserve">C. マーケット業務（市場部門・トレーディング・ALM）</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8. 資金繰り・ALM業務（円貨・外貨の調達・運用管理）</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みずほ銀行</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三菱UFJ銀行</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p>
            <w:pPr>
              <w:spacing w:after="0" w:line="240"/>
            </w:pPr>
            <w:r>
              <w:rPr>
                <w:sz w:val="18"/>
                <w:szCs w:val="18"/>
              </w:rPr>
              <w:t xml:space="preserve">埼玉りそな銀行</w:t>
            </w:r>
          </w:p>
        </w:tc>
        <w:tc>
          <w:tcPr>
            <w:tcW w:type="dxa" w:w="233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ゆうちょ銀行</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三井住友銀行</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野村信託銀行 等</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9. 債券・為替・デリバティブのセールス＆トレーディング業務</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みずほ銀行</w:t>
            </w:r>
          </w:p>
          <w:p>
            <w:pPr>
              <w:spacing w:after="0" w:line="240"/>
            </w:pPr>
            <w:r>
              <w:rPr>
                <w:sz w:val="18"/>
                <w:szCs w:val="18"/>
              </w:rPr>
              <w:t xml:space="preserve">みずほ証券</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三菱UFJ銀行</w:t>
            </w:r>
          </w:p>
          <w:p>
            <w:pPr>
              <w:spacing w:after="0" w:line="240"/>
            </w:pPr>
            <w:r>
              <w:rPr>
                <w:sz w:val="18"/>
                <w:szCs w:val="18"/>
              </w:rPr>
              <w:t xml:space="preserve">三菱UFJモルガン・スタンレー証券</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B36B00"/>
                <w:sz w:val="22"/>
                <w:szCs w:val="22"/>
              </w:rPr>
              <w:t xml:space="preserve">△</w:t>
            </w:r>
          </w:p>
          <w:p>
            <w:pPr>
              <w:spacing w:after="0" w:line="230"/>
            </w:pPr>
            <w:r>
              <w:rPr>
                <w:i/>
                <w:iCs/>
                <w:color w:val="666666"/>
                <w:sz w:val="15"/>
                <w:szCs w:val="15"/>
              </w:rPr>
              <w:t xml:space="preserve">自己勘定運用が中心で対顧客セールスは限定的</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三井住友銀行</w:t>
            </w:r>
          </w:p>
          <w:p>
            <w:pPr>
              <w:spacing w:after="0" w:line="240"/>
            </w:pPr>
            <w:r>
              <w:rPr>
                <w:sz w:val="18"/>
                <w:szCs w:val="18"/>
              </w:rPr>
              <w:t xml:space="preserve">SMBC日興証券</w:t>
            </w:r>
          </w:p>
        </w:tc>
        <w:tc>
          <w:tcPr>
            <w:tcW w:type="dxa" w:w="3031"/>
            <w:tcMar>
              <w:top w:type="dxa" w:w="80"/>
              <w:left w:type="dxa" w:w="80"/>
              <w:bottom w:type="dxa" w:w="80"/>
              <w:right w:type="dxa" w:w="80"/>
            </w:tcMar>
            <w:vAlign w:val="center"/>
          </w:tcPr>
          <w:p>
            <w:pPr>
              <w:spacing w:after="0" w:line="260"/>
            </w:pPr>
            <w:r>
              <w:rPr>
                <w:b/>
                <w:bCs/>
                <w:color w:val="B36B00"/>
                <w:sz w:val="22"/>
                <w:szCs w:val="22"/>
              </w:rPr>
              <w:t xml:space="preserve">△</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10. 有価証券への自己勘定投資業務</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みずほ銀行</w:t>
            </w:r>
          </w:p>
          <w:p>
            <w:pPr>
              <w:spacing w:after="0" w:line="240"/>
            </w:pPr>
            <w:r>
              <w:rPr>
                <w:sz w:val="18"/>
                <w:szCs w:val="18"/>
              </w:rPr>
              <w:t xml:space="preserve">みずほ信託銀行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三菱UFJ銀行</w:t>
            </w:r>
          </w:p>
          <w:p>
            <w:pPr>
              <w:spacing w:after="0" w:line="240"/>
            </w:pPr>
            <w:r>
              <w:rPr>
                <w:sz w:val="18"/>
                <w:szCs w:val="18"/>
              </w:rPr>
              <w:t xml:space="preserve">三菱UFJ信託銀行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ゆうちょ銀行</w:t>
            </w:r>
          </w:p>
          <w:p>
            <w:pPr>
              <w:spacing w:after="0" w:line="230"/>
            </w:pPr>
            <w:r>
              <w:rPr>
                <w:i/>
                <w:iCs/>
                <w:color w:val="666666"/>
                <w:sz w:val="15"/>
                <w:szCs w:val="15"/>
              </w:rPr>
              <w:t xml:space="preserve">国債等を中心とした自己運用が主要収益源</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三井住友銀行</w:t>
            </w:r>
          </w:p>
          <w:p>
            <w:pPr>
              <w:spacing w:after="0" w:line="240"/>
            </w:pPr>
            <w:r>
              <w:rPr>
                <w:sz w:val="18"/>
                <w:szCs w:val="18"/>
              </w:rPr>
              <w:t xml:space="preserve">三井住友信託銀行</w:t>
            </w:r>
          </w:p>
        </w:tc>
        <w:tc>
          <w:tcPr>
            <w:tcW w:type="dxa" w:w="3031"/>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農中信託銀行 等</w:t>
            </w:r>
          </w:p>
        </w:tc>
      </w:tr>
      <w:tr>
        <w:trPr>
          <w:cantSplit/>
        </w:trPr>
        <w:tc>
          <w:tcPr>
            <w:tcW w:type="dxa" w:w="4650"/>
            <w:tcMar>
              <w:top w:type="dxa" w:w="80"/>
              <w:left w:type="dxa" w:w="100"/>
              <w:bottom w:type="dxa" w:w="80"/>
              <w:right w:type="dxa" w:w="100"/>
            </w:tcMar>
            <w:vAlign w:val="center"/>
          </w:tcPr>
          <w:p>
            <w:pPr>
              <w:spacing w:after="0" w:line="216"/>
              <w:jc w:val="left"/>
            </w:pPr>
            <w:r>
              <w:rPr>
                <w:b w:val="false"/>
                <w:bCs w:val="false"/>
                <w:sz w:val="19"/>
                <w:szCs w:val="19"/>
              </w:rPr>
              <w:t xml:space="preserve">11. 法人向け為替・デリバティブ商品の提供（マーケティング）業務</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みずほ銀行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三菱UFJ銀行</w:t>
            </w:r>
          </w:p>
        </w:tc>
        <w:tc>
          <w:tcPr>
            <w:tcW w:type="dxa" w:w="297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りそな銀行</w:t>
            </w:r>
          </w:p>
        </w:tc>
        <w:tc>
          <w:tcPr>
            <w:tcW w:type="dxa" w:w="2330"/>
            <w:tcMar>
              <w:top w:type="dxa" w:w="80"/>
              <w:left w:type="dxa" w:w="80"/>
              <w:bottom w:type="dxa" w:w="80"/>
              <w:right w:type="dxa" w:w="80"/>
            </w:tcMar>
            <w:vAlign w:val="center"/>
          </w:tcPr>
          <w:p>
            <w:pPr>
              <w:spacing w:after="0" w:line="260"/>
            </w:pPr>
            <w:r>
              <w:rPr>
                <w:b/>
                <w:bCs/>
                <w:color w:val="999999"/>
                <w:sz w:val="22"/>
                <w:szCs w:val="22"/>
              </w:rPr>
              <w:t xml:space="preserve">×</w:t>
            </w:r>
          </w:p>
        </w:tc>
        <w:tc>
          <w:tcPr>
            <w:tcW w:type="dxa" w:w="3490"/>
            <w:tcMar>
              <w:top w:type="dxa" w:w="80"/>
              <w:left w:type="dxa" w:w="80"/>
              <w:bottom w:type="dxa" w:w="80"/>
              <w:right w:type="dxa" w:w="80"/>
            </w:tcMar>
            <w:vAlign w:val="center"/>
          </w:tcPr>
          <w:p>
            <w:pPr>
              <w:spacing w:after="0" w:line="260"/>
            </w:pPr>
            <w:r>
              <w:rPr>
                <w:b/>
                <w:bCs/>
                <w:color w:val="1F6F43"/>
                <w:sz w:val="22"/>
                <w:szCs w:val="22"/>
              </w:rPr>
              <w:t xml:space="preserve">○</w:t>
            </w:r>
          </w:p>
          <w:p>
            <w:pPr>
              <w:spacing w:after="0" w:line="240"/>
            </w:pPr>
            <w:r>
              <w:rPr>
                <w:sz w:val="18"/>
                <w:szCs w:val="18"/>
              </w:rPr>
              <w:t xml:space="preserve">三井住友銀行</w:t>
            </w:r>
          </w:p>
        </w:tc>
        <w:tc>
          <w:tcPr>
            <w:tcW w:type="dxa" w:w="3031"/>
            <w:tcMar>
              <w:top w:type="dxa" w:w="80"/>
              <w:left w:type="dxa" w:w="80"/>
              <w:bottom w:type="dxa" w:w="80"/>
              <w:right w:type="dxa" w:w="80"/>
            </w:tcMar>
            <w:vAlign w:val="center"/>
          </w:tcPr>
          <w:p>
            <w:pPr>
              <w:spacing w:after="0" w:line="260"/>
            </w:pPr>
            <w:r>
              <w:rPr>
                <w:b/>
                <w:bCs/>
                <w:color w:val="B36B00"/>
                <w:sz w:val="22"/>
                <w:szCs w:val="22"/>
              </w:rPr>
              <w:t xml:space="preserve">△</w:t>
            </w:r>
          </w:p>
        </w:tc>
      </w:tr>
    </w:tbl>
    <w:p>
      <w:pPr>
        <w:spacing w:before="200"/>
      </w:pPr>
    </w:p>
    <w:p>
      <w:pPr>
        <w:pStyle w:val="Heading2"/>
        <w:spacing w:after="80" w:before="160"/>
      </w:pPr>
      <w:r>
        <w:rPr>
          <w:b/>
          <w:bCs/>
          <w:color w:val="2F5496"/>
          <w:sz w:val="22"/>
          <w:szCs w:val="22"/>
        </w:rPr>
        <w:t xml:space="preserve">グループ区分について（注記）</w:t>
      </w:r>
    </w:p>
    <w:p>
      <w:pPr>
        <w:spacing w:after="40" w:line="240"/>
        <w:ind w:left="260"/>
      </w:pPr>
      <w:r>
        <w:rPr>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sz w:val="19"/>
          <w:szCs w:val="19"/>
        </w:rPr>
        <w:t xml:space="preserve">・③りそなグループ：資産運用業務はりそな銀行の資産運用部門、アセットマネジメント業務は2015年設立の「りそなアセットマネジメント」が担う。</w:t>
      </w:r>
    </w:p>
    <w:p>
      <w:pPr>
        <w:spacing w:after="40" w:line="240"/>
        <w:ind w:left="260"/>
      </w:pPr>
      <w:r>
        <w:rPr>
          <w:sz w:val="19"/>
          <w:szCs w:val="19"/>
        </w:rPr>
        <w:t xml:space="preserve">・④ゆうちょ銀行：自己資金（貯金）の運用が収益の中心であり、マーケット業務（自己勘定投資・ALM）の比重が大きい。2026年4月にJP投信とJPインベストメントを統合した「ゆうちょアセットマネジメント」を設立したが、主にゆうちょ銀行自身の資金運用（プライベートエクイティ・不動産投資等）を担う会社であり、外部向けの公募投資信託の運用会社としての機能は限定的である。</w:t>
      </w:r>
    </w:p>
    <w:p>
      <w:pPr>
        <w:spacing w:after="40" w:line="240"/>
        <w:ind w:left="260"/>
      </w:pPr>
      <w:r>
        <w:rPr>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w:t>
      </w:r>
    </w:p>
    <w:p>
      <w:pPr>
        <w:spacing w:after="40" w:line="240"/>
        <w:ind w:left="260"/>
      </w:pPr>
      <w:r>
        <w:rPr>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等。業務ごとに該当する代表例を例示しており、その他の全ての資産運用会社・信託兼営金融機関を網羅するものではない。</w:t>
      </w:r>
    </w:p>
    <w:p>
      <w:pPr>
        <w:pStyle w:val="Heading2"/>
        <w:spacing w:after="80" w:before="160"/>
      </w:pPr>
      <w:r>
        <w:rPr>
          <w:b/>
          <w:bCs/>
          <w:color w:val="2F5496"/>
          <w:sz w:val="22"/>
          <w:szCs w:val="22"/>
        </w:rPr>
        <w:t xml:space="preserve">注釈</w:t>
      </w:r>
    </w:p>
    <w:p>
      <w:pPr>
        <w:spacing w:after="40" w:line="220"/>
      </w:pPr>
      <w:r>
        <w:rPr>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ectPr>
          <w:pgSz w:w="23811" w:h="16838" w:orient="landscape"/>
          <w:pgMar w:top="700" w:right="700" w:bottom="700" w:left="700" w:header="708" w:footer="708" w:gutter="0"/>
          <w:pgNumType/>
          <w:docGrid w:linePitch="360"/>
        </w:sectPr>
      </w:pPr>
    </w:p>
    <w:p>
      <w:pPr>
        <w:pStyle w:val="Heading1"/>
        <w:spacing w:after="120" w:before="120"/>
      </w:pPr>
      <w:r>
        <w:rPr>
          <w:b/>
          <w:bCs/>
          <w:color w:val="1F3864"/>
          <w:sz w:val="30"/>
          <w:szCs w:val="30"/>
        </w:rPr>
        <w:t xml:space="preserve">業務内容の説明</w:t>
      </w:r>
    </w:p>
    <w:p>
      <w:pPr>
        <w:spacing w:after="100" w:line="264"/>
      </w:pPr>
      <w:r>
        <w:rPr>
          <w:sz w:val="20"/>
          <w:szCs w:val="20"/>
        </w:rPr>
        <w:t xml:space="preserve">上表で用いた11の業務種類について、それぞれの業務内容を簡潔にまとめた一覧です。</w:t>
      </w:r>
    </w:p>
    <w:tbl>
      <w:tblPr>
        <w:tblW w:type="dxa" w:w="10466"/>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00"/>
        <w:gridCol w:w="7266"/>
      </w:tblGrid>
      <w:tr>
        <w:trPr>
          <w:tblHeader/>
        </w:trPr>
        <w:tc>
          <w:tcPr>
            <w:tcW w:type="dxa" w:w="3200"/>
            <w:shd w:fill="2F5496" w:val="clear"/>
            <w:tcMar>
              <w:top w:type="dxa" w:w="100"/>
              <w:left w:type="dxa" w:w="100"/>
              <w:bottom w:type="dxa" w:w="100"/>
              <w:right w:type="dxa" w:w="100"/>
            </w:tcMar>
            <w:vAlign w:val="center"/>
          </w:tcPr>
          <w:p>
            <w:pPr>
              <w:spacing w:after="0" w:line="216"/>
              <w:jc w:val="center"/>
            </w:pPr>
            <w:r>
              <w:rPr>
                <w:b/>
                <w:bCs/>
                <w:color w:val="FFFFFF"/>
                <w:sz w:val="18"/>
                <w:szCs w:val="18"/>
              </w:rPr>
              <w:t xml:space="preserve">業務種類</w:t>
            </w:r>
          </w:p>
        </w:tc>
        <w:tc>
          <w:tcPr>
            <w:tcW w:type="dxa" w:w="7266"/>
            <w:shd w:fill="2F5496" w:val="clear"/>
            <w:tcMar>
              <w:top w:type="dxa" w:w="100"/>
              <w:left w:type="dxa" w:w="100"/>
              <w:bottom w:type="dxa" w:w="100"/>
              <w:right w:type="dxa" w:w="100"/>
            </w:tcMar>
            <w:vAlign w:val="center"/>
          </w:tcPr>
          <w:p>
            <w:pPr>
              <w:spacing w:after="0" w:line="216"/>
              <w:jc w:val="center"/>
            </w:pPr>
            <w:r>
              <w:rPr>
                <w:b/>
                <w:bCs/>
                <w:color w:val="FFFFFF"/>
                <w:sz w:val="18"/>
                <w:szCs w:val="18"/>
              </w:rPr>
              <w:t xml:space="preserve">業務内容</w:t>
            </w:r>
          </w:p>
        </w:tc>
      </w:tr>
      <w:tr>
        <w:trPr>
          <w:cantSplit/>
        </w:trPr>
        <w:tc>
          <w:tcPr>
            <w:tcW w:type="dxa" w:w="10466"/>
            <w:gridSpan w:val="2"/>
            <w:shd w:fill="D9E2F3" w:val="clear"/>
            <w:tcMar>
              <w:top w:type="dxa" w:w="60"/>
              <w:left w:type="dxa" w:w="100"/>
              <w:bottom w:type="dxa" w:w="60"/>
              <w:right w:type="dxa" w:w="80"/>
            </w:tcMar>
          </w:tcPr>
          <w:p>
            <w:pPr>
              <w:spacing w:after="0" w:line="216"/>
              <w:jc w:val="left"/>
            </w:pPr>
            <w:r>
              <w:rPr>
                <w:b/>
                <w:bCs/>
                <w:color w:val="1F3864"/>
                <w:sz w:val="16"/>
                <w:szCs w:val="16"/>
              </w:rPr>
              <w:t xml:space="preserve">A. 資産運用業務（信託銀行本体が行う運用受託業務）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 金銭信託・年金信託の運用の意思決定業務（自家運用）</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信託銀行が受託した金銭信託や年金信託の資産について、自らファンドマネージャー・ポートフォリオマネージャーとして運用方針の策定や個別の投資判断を行う業務。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2. 投資一任契約に基づく投資顧問業務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顧客（年金基金・機関投資家等）と投資一任契約を結び、資産配分や個別銘柄選定などの運用判断を代行するコンサルティング型の資産運用業務。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3. プライベートアセット（未上場株・インフラ・不動産private debt 等）の運用受託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未上場株式やインフラ、プライベートデット、不動産等の非上場資産（オルタナティブ資産）を信託財産として受託し、専門的な運用を行う業務。</w:t>
            </w:r>
          </w:p>
        </w:tc>
      </w:tr>
      <w:tr>
        <w:trPr>
          <w:cantSplit/>
        </w:trPr>
        <w:tc>
          <w:tcPr>
            <w:tcW w:type="dxa" w:w="10466"/>
            <w:gridSpan w:val="2"/>
            <w:shd w:fill="D9E2F3" w:val="clear"/>
            <w:tcMar>
              <w:top w:type="dxa" w:w="60"/>
              <w:left w:type="dxa" w:w="100"/>
              <w:bottom w:type="dxa" w:w="60"/>
              <w:right w:type="dxa" w:w="80"/>
            </w:tcMar>
          </w:tcPr>
          <w:p>
            <w:pPr>
              <w:spacing w:after="0" w:line="216"/>
              <w:jc w:val="left"/>
            </w:pPr>
            <w:r>
              <w:rPr>
                <w:b/>
                <w:bCs/>
                <w:color w:val="1F3864"/>
                <w:sz w:val="16"/>
                <w:szCs w:val="16"/>
              </w:rPr>
              <w:t xml:space="preserve">B. アセットマネジメント業務（グループの資産運用会社による運用業務）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4. 公募投資信託の設定・運用（委託者）業務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グループの資産運用会社が投資信託（ファンド）を組成（設定）し、運用方針の決定や資産配分の実行など、実際の運用指図を行う業務。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5. 確定拠出年金（DC）向け運用商品の提供</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企業型・個人型（iDeCo）確定拠出年金の加入者向けに、投資信託等の運用商品ラインナップを提供する業務。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6. 機関投資家向け（年金基金・GPIF 等）運用受託業務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年金基金や政府系ファンド（GPIF 等）、保険会社等の機関投資家から資金の運用を直接受託し、専門的な運用サービスを提供する業務。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7. オルタナティブ投資運用（PE・不動産ファンド・ヘッジファンド 等）</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未公開株式（PE）、インフラファンド、不動産ファンド、ヘッジファンドなど、伝統的な株式・債券以外の資産クラスに投資する運用商品を組成・運用する業務。</w:t>
            </w:r>
          </w:p>
        </w:tc>
      </w:tr>
      <w:tr>
        <w:trPr>
          <w:cantSplit/>
        </w:trPr>
        <w:tc>
          <w:tcPr>
            <w:tcW w:type="dxa" w:w="10466"/>
            <w:gridSpan w:val="2"/>
            <w:shd w:fill="D9E2F3" w:val="clear"/>
            <w:tcMar>
              <w:top w:type="dxa" w:w="60"/>
              <w:left w:type="dxa" w:w="100"/>
              <w:bottom w:type="dxa" w:w="60"/>
              <w:right w:type="dxa" w:w="80"/>
            </w:tcMar>
          </w:tcPr>
          <w:p>
            <w:pPr>
              <w:spacing w:after="0" w:line="216"/>
              <w:jc w:val="left"/>
            </w:pPr>
            <w:r>
              <w:rPr>
                <w:b/>
                <w:bCs/>
                <w:color w:val="1F3864"/>
                <w:sz w:val="16"/>
                <w:szCs w:val="16"/>
              </w:rPr>
              <w:t xml:space="preserve">C. マーケット業務（市場部門・トレーディング・ALM）</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8. 資金繰り・ALM業務（円貨・外貨の調達・運用管理）</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円貨・外貨資金の調達と運用のバランスを管理し、金利リスク・流動性リスクなどをコントロールする資産負債総合管理（ALM）業務。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9. 債券・為替・デリバティブのセールス＆トレーディング業務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国債・社債、外国為替、金利・為替デリバティブ等の市場性商品を、自己勘定および顧客向けに売買する業務。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10. 有価証券への自己勘定投資業務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自己の資金を用いて国債・社債・株式等の有価証券に投資し、運用収益を獲得する業務。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11. 法人向け為替・デリバティブ商品の提供（マーケティング）業務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事業法人の為替リスク・金利リスクのヘッジニーズに対応し、為替予約やデリバティブ商品を組成・販売する業務。</w:t>
            </w:r>
          </w:p>
        </w:tc>
      </w:tr>
    </w:tbl>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2026-08-22T14:32:54.549Z</dcterms:created>
  <dcterms:modified xsi:type="dcterms:W3CDTF">2026-08-22T14:32:54.549Z</dcterms:modified>
</cp:coreProperties>
</file>

<file path=docProps/custom.xml><?xml version="1.0" encoding="utf-8"?>
<Properties xmlns="http://schemas.openxmlformats.org/officeDocument/2006/custom-properties" xmlns:vt="http://schemas.openxmlformats.org/officeDocument/2006/docPropsVTypes"/>
</file>