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40" w:line="240"/>
        <w:ind w:left="260"/>
      </w:pPr>
      <w:r>
        <w:rPr>
          <w:b w:val="false"/>
          <w:bCs w:val="false"/>
          <w:snapToGrid w:val="false"/>
          <w:sz w:val="19"/>
          <w:szCs w:val="19"/>
        </w:rPr>
        <w:t xml:space="preserve">・　プライベートエクイティ（PE）は特に境界が曖昧：多くのグループで銀行自身の資金による「自己勘定投資」（マーケット業務の一種）として始まり、そこで培った目利き力を、外部の機関投資家向けに投資機会を選定・助言する「ゲートキーパー業務」（アセットマネジメント業務の一種）へ展開した経緯がある。つまりPEは「自社運用（自己勘定）」と「他人の資金の運用受託（ゲートキーパー）」の両方が併存する業務であり、下表7番の「○」は主に後者（外部向けゲートキーパー業務）を指す。</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一部をゆうちょアセットマネジメントへ移管</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アセットマネジメント業務（グループの資産運用会社による運用業務）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PE・不動産等オルタナティブのゲートキーパー業務（外部機関投資家向け）</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旧JPインベストメントがPEファンド専業で機関投資家向け業務を展開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2025年10月にゲートキーパー機能を集約した専業子会社</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有価証券への自己勘定投資業務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マーケット業務＝自己勘定投資・ALM）が収益の中心。2026年4月、傘下のJP投信（個人向け投信の設定・運用）とJPインベストメント（機関投資家向けPEファンド投資）を統合し「ゆうちょアセットマネジメント」を設立した。個人向け投信の一部自社設定（例：JP4資産バランスファンド）や機関投資家向けPEのゲートキーパー業務を担うが、窓口で扱う投信の大半は引き続き外部運用会社（アセットマネジメントOne等）の商品であり、みずほ・三菱UFJ等のような総合アセットマネジメント会社としての規模には達してい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PE・不動産等オルタナティブのゲートキーパー業務（外部機関投資家向け）</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多くのグループで、銀行自身の資金によるPE投資（自己勘定投資、1990年代からマーケット業務の一環として開始）で培った目利き力を、2000年代以降に外部投資家向けサービスへ展開した経緯があり、現在はSMBCトラストグループの三井住友トラスト・インベストメントのように専業子会社が担うケースもある。</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2026-08-22T23:47:03.335Z</dcterms:created>
  <dcterms:modified xsi:type="dcterms:W3CDTF">2026-08-22T23:47:03.335Z</dcterms:modified>
</cp:coreProperties>
</file>

<file path=docProps/custom.xml><?xml version="1.0" encoding="utf-8"?>
<Properties xmlns="http://schemas.openxmlformats.org/officeDocument/2006/custom-properties" xmlns:vt="http://schemas.openxmlformats.org/officeDocument/2006/docPropsVTypes"/>
</file>