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NTTデータグループ</w:t>
      </w:r>
    </w:p>
    <w:p>
      <w:pPr>
        <w:spacing w:after="200"/>
      </w:pPr>
      <w:r>
        <w:rPr>
          <w:b/>
          <w:bCs/>
          <w:sz w:val="32"/>
          <w:szCs w:val="32"/>
        </w:rPr>
        <w:t xml:space="preserve">2026年度（2027年3月期）第1四半期決算 要点まとめ</w:t>
      </w:r>
    </w:p>
    <w:p>
      <w:pPr>
        <w:spacing w:after="120"/>
      </w:pPr>
      <w:r>
        <w:rPr>
          <w:color w:val="666666"/>
          <w:sz w:val="18"/>
          <w:szCs w:val="18"/>
        </w:rPr>
        <w:t xml:space="preserve">出典：株式会社NTTデータグループ「2026年度 第1四半期 決算説明資料」（2026年8月6日発表）</w:t>
      </w:r>
    </w:p>
    <w:p>
      <w:pPr>
        <w:spacing w:after="120"/>
      </w:pPr>
      <w:r>
        <w:rPr>
          <w:color w:val="666666"/>
          <w:sz w:val="18"/>
          <w:szCs w:val="18"/>
        </w:rPr>
        <w:t xml:space="preserve">対象期間：2026年4月〜6月（2026年度第1四半期）</w:t>
      </w:r>
    </w:p>
    <w:p>
      <w:pPr>
        <w:spacing w:after="200"/>
      </w:pPr>
    </w:p>
    <w:p>
      <w:pPr>
        <w:pStyle w:val="Heading1"/>
        <w:spacing w:after="150" w:before="300"/>
      </w:pPr>
      <w:r>
        <w:t xml:space="preserve">1. サマリー（対前年比増減概要）</w:t>
      </w:r>
    </w:p>
    <w:p>
      <w:pPr>
        <w:pStyle w:val="ListParagraph"/>
        <w:numPr>
          <w:ilvl w:val="0"/>
          <w:numId w:val="1"/>
        </w:numPr>
        <w:spacing w:after="60"/>
      </w:pPr>
      <w:r>
        <w:t xml:space="preserve">売上高・営業利益はともに対前年増収増益。受注高も日本・海外の大型案件獲得等により大きく増加</w:t>
      </w:r>
    </w:p>
    <w:p>
      <w:pPr>
        <w:pStyle w:val="ListParagraph"/>
        <w:numPr>
          <w:ilvl w:val="0"/>
          <w:numId w:val="1"/>
        </w:numPr>
        <w:spacing w:after="60"/>
      </w:pPr>
      <w:r>
        <w:t xml:space="preserve">通期予想（売上高51,900億円・営業利益4,700億円）に対する第1四半期の進捗率は、売上高24.6%・営業利益13.5%と、利益の進捗がやや先行遅れの形（下期偏重の傾向）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400"/>
        <w:gridCol w:w="1826"/>
      </w:tblGrid>
      <w:tr>
        <w:tc>
          <w:tcPr>
            <w:tcW w:type="dxa" w:w="2200"/>
            <w:shd w:fill="1F3864" w:val="clear"/>
            <w:tcMar>
              <w:top w:type="dxa" w:w="60"/>
              <w:left w:type="dxa" w:w="100"/>
              <w:bottom w:type="dxa" w:w="60"/>
              <w:right w:type="dxa" w:w="100"/>
            </w:tcMar>
          </w:tcPr>
          <w:p>
            <w:pPr>
              <w:jc w:val="left"/>
            </w:pPr>
            <w:r>
              <w:rPr>
                <w:b/>
                <w:bCs/>
                <w:color w:val="FFFFFF"/>
                <w:sz w:val="20"/>
                <w:szCs w:val="20"/>
              </w:rPr>
              <w:t xml:space="preserve">項目</w:t>
            </w:r>
          </w:p>
        </w:tc>
        <w:tc>
          <w:tcPr>
            <w:tcW w:type="dxa" w:w="1800"/>
            <w:shd w:fill="1F3864" w:val="clear"/>
            <w:tcMar>
              <w:top w:type="dxa" w:w="60"/>
              <w:left w:type="dxa" w:w="100"/>
              <w:bottom w:type="dxa" w:w="60"/>
              <w:right w:type="dxa" w:w="100"/>
            </w:tcMar>
          </w:tcPr>
          <w:p>
            <w:pPr>
              <w:jc w:val="left"/>
            </w:pPr>
            <w:r>
              <w:rPr>
                <w:b/>
                <w:bCs/>
                <w:color w:val="FFFFFF"/>
                <w:sz w:val="20"/>
                <w:szCs w:val="20"/>
              </w:rPr>
              <w:t xml:space="preserve">2025年度Q1実績</w:t>
            </w:r>
          </w:p>
        </w:tc>
        <w:tc>
          <w:tcPr>
            <w:tcW w:type="dxa" w:w="1800"/>
            <w:shd w:fill="1F3864" w:val="clear"/>
            <w:tcMar>
              <w:top w:type="dxa" w:w="60"/>
              <w:left w:type="dxa" w:w="100"/>
              <w:bottom w:type="dxa" w:w="60"/>
              <w:right w:type="dxa" w:w="100"/>
            </w:tcMar>
          </w:tcPr>
          <w:p>
            <w:pPr>
              <w:jc w:val="left"/>
            </w:pPr>
            <w:r>
              <w:rPr>
                <w:b/>
                <w:bCs/>
                <w:color w:val="FFFFFF"/>
                <w:sz w:val="20"/>
                <w:szCs w:val="20"/>
              </w:rPr>
              <w:t xml:space="preserve">2026年度Q1実績</w:t>
            </w:r>
          </w:p>
        </w:tc>
        <w:tc>
          <w:tcPr>
            <w:tcW w:type="dxa" w:w="1400"/>
            <w:shd w:fill="1F3864" w:val="clear"/>
            <w:tcMar>
              <w:top w:type="dxa" w:w="60"/>
              <w:left w:type="dxa" w:w="100"/>
              <w:bottom w:type="dxa" w:w="60"/>
              <w:right w:type="dxa" w:w="100"/>
            </w:tcMar>
          </w:tcPr>
          <w:p>
            <w:pPr>
              <w:jc w:val="left"/>
            </w:pPr>
            <w:r>
              <w:rPr>
                <w:b/>
                <w:bCs/>
                <w:color w:val="FFFFFF"/>
                <w:sz w:val="20"/>
                <w:szCs w:val="20"/>
              </w:rPr>
              <w:t xml:space="preserve">対前年比</w:t>
            </w:r>
          </w:p>
        </w:tc>
        <w:tc>
          <w:tcPr>
            <w:tcW w:type="dxa" w:w="1826"/>
            <w:shd w:fill="1F3864" w:val="clear"/>
            <w:tcMar>
              <w:top w:type="dxa" w:w="60"/>
              <w:left w:type="dxa" w:w="100"/>
              <w:bottom w:type="dxa" w:w="60"/>
              <w:right w:type="dxa" w:w="100"/>
            </w:tcMar>
          </w:tcPr>
          <w:p>
            <w:pPr>
              <w:jc w:val="left"/>
            </w:pPr>
            <w:r>
              <w:rPr>
                <w:b/>
                <w:bCs/>
                <w:color w:val="FFFFFF"/>
                <w:sz w:val="20"/>
                <w:szCs w:val="20"/>
              </w:rPr>
              <w:t xml:space="preserve">2026年度通期予想</w:t>
            </w:r>
          </w:p>
        </w:tc>
      </w:tr>
      <w:tr>
        <w:tc>
          <w:tcPr>
            <w:tcW w:type="dxa" w:w="2200"/>
            <w:tcMar>
              <w:top w:type="dxa" w:w="60"/>
              <w:left w:type="dxa" w:w="100"/>
              <w:bottom w:type="dxa" w:w="60"/>
              <w:right w:type="dxa" w:w="100"/>
            </w:tcMar>
          </w:tcPr>
          <w:p>
            <w:pPr>
              <w:jc w:val="left"/>
            </w:pPr>
            <w:r>
              <w:rPr>
                <w:b w:val="false"/>
                <w:bCs w:val="false"/>
                <w:color w:val="000000"/>
                <w:sz w:val="20"/>
                <w:szCs w:val="20"/>
              </w:rPr>
              <w:t xml:space="preserve">売上高</w:t>
            </w:r>
          </w:p>
        </w:tc>
        <w:tc>
          <w:tcPr>
            <w:tcW w:type="dxa" w:w="1800"/>
            <w:tcMar>
              <w:top w:type="dxa" w:w="60"/>
              <w:left w:type="dxa" w:w="100"/>
              <w:bottom w:type="dxa" w:w="60"/>
              <w:right w:type="dxa" w:w="100"/>
            </w:tcMar>
          </w:tcPr>
          <w:p>
            <w:pPr>
              <w:jc w:val="left"/>
            </w:pPr>
            <w:r>
              <w:rPr>
                <w:b w:val="false"/>
                <w:bCs w:val="false"/>
                <w:color w:val="000000"/>
                <w:sz w:val="20"/>
                <w:szCs w:val="20"/>
              </w:rPr>
              <w:t xml:space="preserve">11,044億円</w:t>
            </w:r>
          </w:p>
        </w:tc>
        <w:tc>
          <w:tcPr>
            <w:tcW w:type="dxa" w:w="1800"/>
            <w:tcMar>
              <w:top w:type="dxa" w:w="60"/>
              <w:left w:type="dxa" w:w="100"/>
              <w:bottom w:type="dxa" w:w="60"/>
              <w:right w:type="dxa" w:w="100"/>
            </w:tcMar>
          </w:tcPr>
          <w:p>
            <w:pPr>
              <w:jc w:val="left"/>
            </w:pPr>
            <w:r>
              <w:rPr>
                <w:b w:val="false"/>
                <w:bCs w:val="false"/>
                <w:color w:val="000000"/>
                <w:sz w:val="20"/>
                <w:szCs w:val="20"/>
              </w:rPr>
              <w:t xml:space="preserve">12,789億円</w:t>
            </w:r>
          </w:p>
        </w:tc>
        <w:tc>
          <w:tcPr>
            <w:tcW w:type="dxa" w:w="1400"/>
            <w:tcMar>
              <w:top w:type="dxa" w:w="60"/>
              <w:left w:type="dxa" w:w="100"/>
              <w:bottom w:type="dxa" w:w="60"/>
              <w:right w:type="dxa" w:w="100"/>
            </w:tcMar>
          </w:tcPr>
          <w:p>
            <w:pPr>
              <w:jc w:val="left"/>
            </w:pPr>
            <w:r>
              <w:rPr>
                <w:b w:val="false"/>
                <w:bCs w:val="false"/>
                <w:color w:val="000000"/>
                <w:sz w:val="20"/>
                <w:szCs w:val="20"/>
              </w:rPr>
              <w:t xml:space="preserve">+1,746億円（+15.8%）</w:t>
            </w:r>
          </w:p>
        </w:tc>
        <w:tc>
          <w:tcPr>
            <w:tcW w:type="dxa" w:w="1826"/>
            <w:tcMar>
              <w:top w:type="dxa" w:w="60"/>
              <w:left w:type="dxa" w:w="100"/>
              <w:bottom w:type="dxa" w:w="60"/>
              <w:right w:type="dxa" w:w="100"/>
            </w:tcMar>
          </w:tcPr>
          <w:p>
            <w:pPr>
              <w:jc w:val="left"/>
            </w:pPr>
            <w:r>
              <w:rPr>
                <w:b w:val="false"/>
                <w:bCs w:val="false"/>
                <w:color w:val="000000"/>
                <w:sz w:val="20"/>
                <w:szCs w:val="20"/>
              </w:rPr>
              <w:t xml:space="preserve">51,900億円（進捗24.6%）</w:t>
            </w:r>
          </w:p>
        </w:tc>
      </w:tr>
      <w:tr>
        <w:tc>
          <w:tcPr>
            <w:tcW w:type="dxa" w:w="2200"/>
            <w:shd w:fill="DCE6F1" w:val="clear"/>
            <w:tcMar>
              <w:top w:type="dxa" w:w="60"/>
              <w:left w:type="dxa" w:w="100"/>
              <w:bottom w:type="dxa" w:w="60"/>
              <w:right w:type="dxa" w:w="100"/>
            </w:tcMar>
          </w:tcPr>
          <w:p>
            <w:pPr>
              <w:jc w:val="left"/>
            </w:pPr>
            <w:r>
              <w:rPr>
                <w:b w:val="false"/>
                <w:bCs w:val="false"/>
                <w:color w:val="000000"/>
                <w:sz w:val="20"/>
                <w:szCs w:val="20"/>
              </w:rPr>
              <w:t xml:space="preserve">営業利益（利益率）</w:t>
            </w:r>
          </w:p>
        </w:tc>
        <w:tc>
          <w:tcPr>
            <w:tcW w:type="dxa" w:w="1800"/>
            <w:shd w:fill="DCE6F1" w:val="clear"/>
            <w:tcMar>
              <w:top w:type="dxa" w:w="60"/>
              <w:left w:type="dxa" w:w="100"/>
              <w:bottom w:type="dxa" w:w="60"/>
              <w:right w:type="dxa" w:w="100"/>
            </w:tcMar>
          </w:tcPr>
          <w:p>
            <w:pPr>
              <w:jc w:val="left"/>
            </w:pPr>
            <w:r>
              <w:rPr>
                <w:b w:val="false"/>
                <w:bCs w:val="false"/>
                <w:color w:val="000000"/>
                <w:sz w:val="20"/>
                <w:szCs w:val="20"/>
              </w:rPr>
              <w:t xml:space="preserve">578億円（5.2%）</w:t>
            </w:r>
          </w:p>
        </w:tc>
        <w:tc>
          <w:tcPr>
            <w:tcW w:type="dxa" w:w="1800"/>
            <w:shd w:fill="DCE6F1" w:val="clear"/>
            <w:tcMar>
              <w:top w:type="dxa" w:w="60"/>
              <w:left w:type="dxa" w:w="100"/>
              <w:bottom w:type="dxa" w:w="60"/>
              <w:right w:type="dxa" w:w="100"/>
            </w:tcMar>
          </w:tcPr>
          <w:p>
            <w:pPr>
              <w:jc w:val="left"/>
            </w:pPr>
            <w:r>
              <w:rPr>
                <w:b w:val="false"/>
                <w:bCs w:val="false"/>
                <w:color w:val="000000"/>
                <w:sz w:val="20"/>
                <w:szCs w:val="20"/>
              </w:rPr>
              <w:t xml:space="preserve">635億円（5.0%）</w:t>
            </w:r>
          </w:p>
        </w:tc>
        <w:tc>
          <w:tcPr>
            <w:tcW w:type="dxa" w:w="1400"/>
            <w:shd w:fill="DCE6F1" w:val="clear"/>
            <w:tcMar>
              <w:top w:type="dxa" w:w="60"/>
              <w:left w:type="dxa" w:w="100"/>
              <w:bottom w:type="dxa" w:w="60"/>
              <w:right w:type="dxa" w:w="100"/>
            </w:tcMar>
          </w:tcPr>
          <w:p>
            <w:pPr>
              <w:jc w:val="left"/>
            </w:pPr>
            <w:r>
              <w:rPr>
                <w:b w:val="false"/>
                <w:bCs w:val="false"/>
                <w:color w:val="000000"/>
                <w:sz w:val="20"/>
                <w:szCs w:val="20"/>
              </w:rPr>
              <w:t xml:space="preserve">+57億円（+9.9%）</w:t>
            </w:r>
          </w:p>
        </w:tc>
        <w:tc>
          <w:tcPr>
            <w:tcW w:type="dxa" w:w="1826"/>
            <w:shd w:fill="DCE6F1" w:val="clear"/>
            <w:tcMar>
              <w:top w:type="dxa" w:w="60"/>
              <w:left w:type="dxa" w:w="100"/>
              <w:bottom w:type="dxa" w:w="60"/>
              <w:right w:type="dxa" w:w="100"/>
            </w:tcMar>
          </w:tcPr>
          <w:p>
            <w:pPr>
              <w:jc w:val="left"/>
            </w:pPr>
            <w:r>
              <w:rPr>
                <w:b w:val="false"/>
                <w:bCs w:val="false"/>
                <w:color w:val="000000"/>
                <w:sz w:val="20"/>
                <w:szCs w:val="20"/>
              </w:rPr>
              <w:t xml:space="preserve">4,700億円・9.1%（進捗13.5%）</w:t>
            </w:r>
          </w:p>
        </w:tc>
      </w:tr>
      <w:tr>
        <w:tc>
          <w:tcPr>
            <w:tcW w:type="dxa" w:w="2200"/>
            <w:tcMar>
              <w:top w:type="dxa" w:w="60"/>
              <w:left w:type="dxa" w:w="100"/>
              <w:bottom w:type="dxa" w:w="60"/>
              <w:right w:type="dxa" w:w="100"/>
            </w:tcMar>
          </w:tcPr>
          <w:p>
            <w:pPr>
              <w:jc w:val="left"/>
            </w:pPr>
            <w:r>
              <w:rPr>
                <w:b w:val="false"/>
                <w:bCs w:val="false"/>
                <w:color w:val="000000"/>
                <w:sz w:val="20"/>
                <w:szCs w:val="20"/>
              </w:rPr>
              <w:t xml:space="preserve">四半期利益（非支配持分含む）</w:t>
            </w:r>
          </w:p>
        </w:tc>
        <w:tc>
          <w:tcPr>
            <w:tcW w:type="dxa" w:w="1800"/>
            <w:tcMar>
              <w:top w:type="dxa" w:w="60"/>
              <w:left w:type="dxa" w:w="100"/>
              <w:bottom w:type="dxa" w:w="60"/>
              <w:right w:type="dxa" w:w="100"/>
            </w:tcMar>
          </w:tcPr>
          <w:p>
            <w:pPr>
              <w:jc w:val="left"/>
            </w:pPr>
            <w:r>
              <w:rPr>
                <w:b w:val="false"/>
                <w:bCs w:val="false"/>
                <w:color w:val="000000"/>
                <w:sz w:val="20"/>
                <w:szCs w:val="20"/>
              </w:rPr>
              <w:t xml:space="preserve">173億円</w:t>
            </w:r>
          </w:p>
        </w:tc>
        <w:tc>
          <w:tcPr>
            <w:tcW w:type="dxa" w:w="1800"/>
            <w:tcMar>
              <w:top w:type="dxa" w:w="60"/>
              <w:left w:type="dxa" w:w="100"/>
              <w:bottom w:type="dxa" w:w="60"/>
              <w:right w:type="dxa" w:w="100"/>
            </w:tcMar>
          </w:tcPr>
          <w:p>
            <w:pPr>
              <w:jc w:val="left"/>
            </w:pPr>
            <w:r>
              <w:rPr>
                <w:b w:val="false"/>
                <w:bCs w:val="false"/>
                <w:color w:val="000000"/>
                <w:sz w:val="20"/>
                <w:szCs w:val="20"/>
              </w:rPr>
              <w:t xml:space="preserve">166億円</w:t>
            </w:r>
          </w:p>
        </w:tc>
        <w:tc>
          <w:tcPr>
            <w:tcW w:type="dxa" w:w="1400"/>
            <w:tcMar>
              <w:top w:type="dxa" w:w="60"/>
              <w:left w:type="dxa" w:w="100"/>
              <w:bottom w:type="dxa" w:w="60"/>
              <w:right w:type="dxa" w:w="100"/>
            </w:tcMar>
          </w:tcPr>
          <w:p>
            <w:pPr>
              <w:jc w:val="left"/>
            </w:pPr>
            <w:r>
              <w:rPr>
                <w:b w:val="false"/>
                <w:bCs w:val="false"/>
                <w:color w:val="000000"/>
                <w:sz w:val="20"/>
                <w:szCs w:val="20"/>
              </w:rPr>
              <w:t xml:space="preserve">▲8億円（▲4.5%）</w:t>
            </w:r>
          </w:p>
        </w:tc>
        <w:tc>
          <w:tcPr>
            <w:tcW w:type="dxa" w:w="1826"/>
            <w:tcMar>
              <w:top w:type="dxa" w:w="60"/>
              <w:left w:type="dxa" w:w="100"/>
              <w:bottom w:type="dxa" w:w="60"/>
              <w:right w:type="dxa" w:w="100"/>
            </w:tcMar>
          </w:tcPr>
          <w:p>
            <w:pPr>
              <w:jc w:val="left"/>
            </w:pPr>
            <w:r>
              <w:rPr>
                <w:b w:val="false"/>
                <w:bCs w:val="false"/>
                <w:color w:val="000000"/>
                <w:sz w:val="20"/>
                <w:szCs w:val="20"/>
              </w:rPr>
              <w:t xml:space="preserve">2,250億円（進捗7.4%）</w:t>
            </w:r>
          </w:p>
        </w:tc>
      </w:tr>
      <w:tr>
        <w:tc>
          <w:tcPr>
            <w:tcW w:type="dxa" w:w="2200"/>
            <w:shd w:fill="DCE6F1" w:val="clear"/>
            <w:tcMar>
              <w:top w:type="dxa" w:w="60"/>
              <w:left w:type="dxa" w:w="100"/>
              <w:bottom w:type="dxa" w:w="60"/>
              <w:right w:type="dxa" w:w="100"/>
            </w:tcMar>
          </w:tcPr>
          <w:p>
            <w:pPr>
              <w:jc w:val="left"/>
            </w:pPr>
            <w:r>
              <w:rPr>
                <w:b w:val="false"/>
                <w:bCs w:val="false"/>
                <w:color w:val="000000"/>
                <w:sz w:val="20"/>
                <w:szCs w:val="20"/>
              </w:rPr>
              <w:t xml:space="preserve">受注高</w:t>
            </w:r>
          </w:p>
        </w:tc>
        <w:tc>
          <w:tcPr>
            <w:tcW w:type="dxa" w:w="1800"/>
            <w:shd w:fill="DCE6F1" w:val="clear"/>
            <w:tcMar>
              <w:top w:type="dxa" w:w="60"/>
              <w:left w:type="dxa" w:w="100"/>
              <w:bottom w:type="dxa" w:w="60"/>
              <w:right w:type="dxa" w:w="100"/>
            </w:tcMar>
          </w:tcPr>
          <w:p>
            <w:pPr>
              <w:jc w:val="left"/>
            </w:pPr>
            <w:r>
              <w:rPr>
                <w:b w:val="false"/>
                <w:bCs w:val="false"/>
                <w:color w:val="000000"/>
                <w:sz w:val="20"/>
                <w:szCs w:val="20"/>
              </w:rPr>
              <w:t xml:space="preserve">11,256億円</w:t>
            </w:r>
          </w:p>
        </w:tc>
        <w:tc>
          <w:tcPr>
            <w:tcW w:type="dxa" w:w="1800"/>
            <w:shd w:fill="DCE6F1" w:val="clear"/>
            <w:tcMar>
              <w:top w:type="dxa" w:w="60"/>
              <w:left w:type="dxa" w:w="100"/>
              <w:bottom w:type="dxa" w:w="60"/>
              <w:right w:type="dxa" w:w="100"/>
            </w:tcMar>
          </w:tcPr>
          <w:p>
            <w:pPr>
              <w:jc w:val="left"/>
            </w:pPr>
            <w:r>
              <w:rPr>
                <w:b w:val="false"/>
                <w:bCs w:val="false"/>
                <w:color w:val="000000"/>
                <w:sz w:val="20"/>
                <w:szCs w:val="20"/>
              </w:rPr>
              <w:t xml:space="preserve">14,603億円</w:t>
            </w:r>
          </w:p>
        </w:tc>
        <w:tc>
          <w:tcPr>
            <w:tcW w:type="dxa" w:w="1400"/>
            <w:shd w:fill="DCE6F1" w:val="clear"/>
            <w:tcMar>
              <w:top w:type="dxa" w:w="60"/>
              <w:left w:type="dxa" w:w="100"/>
              <w:bottom w:type="dxa" w:w="60"/>
              <w:right w:type="dxa" w:w="100"/>
            </w:tcMar>
          </w:tcPr>
          <w:p>
            <w:pPr>
              <w:jc w:val="left"/>
            </w:pPr>
            <w:r>
              <w:rPr>
                <w:b w:val="false"/>
                <w:bCs w:val="false"/>
                <w:color w:val="000000"/>
                <w:sz w:val="20"/>
                <w:szCs w:val="20"/>
              </w:rPr>
              <w:t xml:space="preserve">+3,346億円（+29.7%）</w:t>
            </w:r>
          </w:p>
        </w:tc>
        <w:tc>
          <w:tcPr>
            <w:tcW w:type="dxa" w:w="1826"/>
            <w:shd w:fill="DCE6F1" w:val="clear"/>
            <w:tcMar>
              <w:top w:type="dxa" w:w="60"/>
              <w:left w:type="dxa" w:w="100"/>
              <w:bottom w:type="dxa" w:w="60"/>
              <w:right w:type="dxa" w:w="100"/>
            </w:tcMar>
          </w:tcPr>
          <w:p>
            <w:pPr>
              <w:jc w:val="left"/>
            </w:pPr>
            <w:r>
              <w:rPr>
                <w:b w:val="false"/>
                <w:bCs w:val="false"/>
                <w:color w:val="000000"/>
                <w:sz w:val="20"/>
                <w:szCs w:val="20"/>
              </w:rPr>
              <w:t xml:space="preserve">52,000億円（DC事業除き）</w:t>
            </w:r>
          </w:p>
        </w:tc>
      </w:tr>
    </w:tbl>
    <w:p>
      <w:pPr>
        <w:spacing w:after="200"/>
      </w:pPr>
    </w:p>
    <w:p>
      <w:pPr>
        <w:spacing w:after="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pPr>
        <w:spacing w:after="240"/>
      </w:pPr>
      <w:r>
        <w:rPr>
          <w:i/>
          <w:iCs/>
          <w:color w:val="666666"/>
          <w:sz w:val="18"/>
          <w:szCs w:val="18"/>
        </w:rPr>
        <w:t xml:space="preserve">資料P4：2026年度 第1四半期実績（対前年比増減概要）</w:t>
      </w:r>
    </w:p>
    <w:p>
      <w:pPr>
        <w:pStyle w:val="Heading1"/>
        <w:spacing w:after="150" w:before="300"/>
      </w:pPr>
      <w:r>
        <w:t xml:space="preserve">2. 受注高・売上高・営業利益の増減要因</w:t>
      </w:r>
    </w:p>
    <w:p>
      <w:pPr>
        <w:pStyle w:val="Heading2"/>
        <w:spacing w:after="120" w:before="240"/>
      </w:pPr>
      <w:r>
        <w:t xml:space="preserve">受注高：+3,346億円（14,603億円）</w:t>
      </w:r>
    </w:p>
    <w:p>
      <w:pPr>
        <w:pStyle w:val="ListParagraph"/>
        <w:numPr>
          <w:ilvl w:val="0"/>
          <w:numId w:val="1"/>
        </w:numPr>
        <w:spacing w:after="60"/>
      </w:pPr>
      <w:r>
        <w:t xml:space="preserve">日本セグメント +886億円：公共・社会基盤+323／金融+405／法人+133</w:t>
      </w:r>
    </w:p>
    <w:p>
      <w:pPr>
        <w:pStyle w:val="ListParagraph"/>
        <w:numPr>
          <w:ilvl w:val="0"/>
          <w:numId w:val="1"/>
        </w:numPr>
        <w:spacing w:after="60"/>
      </w:pPr>
      <w:r>
        <w:t xml:space="preserve">海外セグメント（為替影響除き）+1,695億円：North America+200／EMEAL+663／APAC+109／GTSS+698</w:t>
      </w:r>
    </w:p>
    <w:p>
      <w:pPr>
        <w:pStyle w:val="ListParagraph"/>
        <w:numPr>
          <w:ilvl w:val="0"/>
          <w:numId w:val="1"/>
        </w:numPr>
        <w:spacing w:after="60"/>
      </w:pPr>
      <w:r>
        <w:t xml:space="preserve">為替影響 +798億円（円安による押し上げ）、その他 ▲32億円</w:t>
      </w:r>
    </w:p>
    <w:p>
      <w:pPr>
        <w:spacing w:after="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05150"/>
                    </a:xfrm>
                    <a:prstGeom prst="rect">
                      <a:avLst/>
                    </a:prstGeom>
                  </pic:spPr>
                </pic:pic>
              </a:graphicData>
            </a:graphic>
          </wp:inline>
        </w:drawing>
      </w:r>
    </w:p>
    <w:p>
      <w:pPr>
        <w:spacing w:after="240"/>
      </w:pPr>
      <w:r>
        <w:rPr>
          <w:i/>
          <w:iCs/>
          <w:color w:val="666666"/>
          <w:sz w:val="18"/>
          <w:szCs w:val="18"/>
        </w:rPr>
        <w:t xml:space="preserve">資料P5：受注高｜増減内訳（2026年度第1四半期実績）</w:t>
      </w:r>
    </w:p>
    <w:p>
      <w:pPr>
        <w:pStyle w:val="Heading2"/>
        <w:spacing w:after="120" w:before="240"/>
      </w:pPr>
      <w:r>
        <w:t xml:space="preserve">売上高：+1,746億円（12,789億円）</w:t>
      </w:r>
    </w:p>
    <w:p>
      <w:pPr>
        <w:pStyle w:val="ListParagraph"/>
        <w:numPr>
          <w:ilvl w:val="0"/>
          <w:numId w:val="1"/>
        </w:numPr>
        <w:spacing w:after="60"/>
      </w:pPr>
      <w:r>
        <w:t xml:space="preserve">日本セグメント +436億円：公共・社会基盤+236／金融+89／法人+105</w:t>
      </w:r>
    </w:p>
    <w:p>
      <w:pPr>
        <w:pStyle w:val="ListParagraph"/>
        <w:numPr>
          <w:ilvl w:val="0"/>
          <w:numId w:val="1"/>
        </w:numPr>
        <w:spacing w:after="60"/>
      </w:pPr>
      <w:r>
        <w:t xml:space="preserve">海外セグメント（為替影響除き）+625億円：全ユニットで増収（North America+148／EMEAL+237／APAC+54／GTSS+100）</w:t>
      </w:r>
    </w:p>
    <w:p>
      <w:pPr>
        <w:pStyle w:val="ListParagraph"/>
        <w:numPr>
          <w:ilvl w:val="0"/>
          <w:numId w:val="1"/>
        </w:numPr>
        <w:spacing w:after="60"/>
      </w:pPr>
      <w:r>
        <w:t xml:space="preserve">為替影響 +744億円、その他 ▲60億円</w:t>
      </w:r>
    </w:p>
    <w:p>
      <w:pPr>
        <w:spacing w:after="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240"/>
      </w:pPr>
      <w:r>
        <w:rPr>
          <w:i/>
          <w:iCs/>
          <w:color w:val="666666"/>
          <w:sz w:val="18"/>
          <w:szCs w:val="18"/>
        </w:rPr>
        <w:t xml:space="preserve">資料P6：売上高｜増減内訳（2026年度第1四半期実績）</w:t>
      </w:r>
    </w:p>
    <w:p>
      <w:pPr>
        <w:pStyle w:val="Heading2"/>
        <w:spacing w:after="120" w:before="240"/>
      </w:pPr>
      <w:r>
        <w:t xml:space="preserve">営業利益：+57億円（635億円）</w:t>
      </w:r>
    </w:p>
    <w:p>
      <w:pPr>
        <w:pStyle w:val="ListParagraph"/>
        <w:numPr>
          <w:ilvl w:val="0"/>
          <w:numId w:val="1"/>
        </w:numPr>
        <w:spacing w:after="60"/>
      </w:pPr>
      <w:r>
        <w:t xml:space="preserve">日本セグメント +98億円：公共・社会基盤+72／金融+48／法人+18。増収による増益で三分野すべて増益</w:t>
      </w:r>
    </w:p>
    <w:p>
      <w:pPr>
        <w:pStyle w:val="ListParagraph"/>
        <w:numPr>
          <w:ilvl w:val="0"/>
          <w:numId w:val="1"/>
        </w:numPr>
        <w:spacing w:after="60"/>
      </w:pPr>
      <w:r>
        <w:t xml:space="preserve">海外セグメント（為替影響除き）▲21億円：2025年度に売却したデータセンターの非連結化影響（約40億円）等が主因。この影響を除くと実質増益</w:t>
      </w:r>
    </w:p>
    <w:p>
      <w:pPr>
        <w:pStyle w:val="ListParagraph"/>
        <w:numPr>
          <w:ilvl w:val="0"/>
          <w:numId w:val="1"/>
        </w:numPr>
        <w:spacing w:after="60"/>
      </w:pPr>
      <w:r>
        <w:t xml:space="preserve">為替影響 +13億円、その他 ▲33億円</w:t>
      </w:r>
    </w:p>
    <w:p>
      <w:pPr>
        <w:spacing w:after="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240"/>
      </w:pPr>
      <w:r>
        <w:rPr>
          <w:i/>
          <w:iCs/>
          <w:color w:val="666666"/>
          <w:sz w:val="18"/>
          <w:szCs w:val="18"/>
        </w:rPr>
        <w:t xml:space="preserve">資料P7：営業利益｜増減内訳（2026年度第1四半期実績）</w:t>
      </w:r>
    </w:p>
    <w:p>
      <w:r>
        <w:br w:type="page"/>
      </w:r>
    </w:p>
    <w:p>
      <w:pPr>
        <w:pStyle w:val="Heading1"/>
        <w:spacing w:after="150" w:before="300"/>
      </w:pPr>
      <w:r>
        <w:t xml:space="preserve">3. セグメント別業績</w:t>
      </w:r>
    </w:p>
    <w:p>
      <w:pPr>
        <w:pStyle w:val="Heading2"/>
        <w:spacing w:after="120" w:before="240"/>
      </w:pPr>
      <w:r>
        <w:t xml:space="preserve">日本セグメント（公共・社会基盤／金融／法人）</w:t>
      </w:r>
    </w:p>
    <w:p>
      <w:pPr>
        <w:pStyle w:val="ListParagraph"/>
        <w:numPr>
          <w:ilvl w:val="0"/>
          <w:numId w:val="1"/>
        </w:numPr>
        <w:spacing w:after="60"/>
      </w:pPr>
      <w:r>
        <w:t xml:space="preserve">受注高：金融・公共社会基盤分野の大型案件獲得等により3分野すべてで増加</w:t>
      </w:r>
    </w:p>
    <w:p>
      <w:pPr>
        <w:pStyle w:val="ListParagraph"/>
        <w:numPr>
          <w:ilvl w:val="0"/>
          <w:numId w:val="1"/>
        </w:numPr>
        <w:spacing w:after="60"/>
      </w:pPr>
      <w:r>
        <w:t xml:space="preserve">売上高：公共・社会基盤分野の中央省庁向け案件拡大等により3分野すべてで増収</w:t>
      </w:r>
    </w:p>
    <w:p>
      <w:pPr>
        <w:pStyle w:val="ListParagraph"/>
        <w:numPr>
          <w:ilvl w:val="0"/>
          <w:numId w:val="1"/>
        </w:numPr>
        <w:spacing w:after="60"/>
      </w:pPr>
      <w:r>
        <w:t xml:space="preserve">営業利益：公共・社会基盤分野の増収による増益等により3分野すべてで増益。特に公共・社会基盤は営業利益率11.1%（前年8.5%から+2.6pt）と大きく改善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26"/>
        <w:gridCol w:w="1600"/>
        <w:gridCol w:w="1700"/>
        <w:gridCol w:w="1700"/>
      </w:tblGrid>
      <w:tr>
        <w:tc>
          <w:tcPr>
            <w:tcW w:type="dxa" w:w="2400"/>
            <w:shd w:fill="1F3864" w:val="clear"/>
            <w:tcMar>
              <w:top w:type="dxa" w:w="60"/>
              <w:left w:type="dxa" w:w="100"/>
              <w:bottom w:type="dxa" w:w="60"/>
              <w:right w:type="dxa" w:w="100"/>
            </w:tcMar>
          </w:tcPr>
          <w:p>
            <w:pPr>
              <w:jc w:val="left"/>
            </w:pPr>
            <w:r>
              <w:rPr>
                <w:b/>
                <w:bCs/>
                <w:color w:val="FFFFFF"/>
                <w:sz w:val="20"/>
                <w:szCs w:val="20"/>
              </w:rPr>
              <w:t xml:space="preserve">区分</w:t>
            </w:r>
          </w:p>
        </w:tc>
        <w:tc>
          <w:tcPr>
            <w:tcW w:type="dxa" w:w="1626"/>
            <w:shd w:fill="1F3864" w:val="clear"/>
            <w:tcMar>
              <w:top w:type="dxa" w:w="60"/>
              <w:left w:type="dxa" w:w="100"/>
              <w:bottom w:type="dxa" w:w="60"/>
              <w:right w:type="dxa" w:w="100"/>
            </w:tcMar>
          </w:tcPr>
          <w:p>
            <w:pPr>
              <w:jc w:val="left"/>
            </w:pPr>
            <w:r>
              <w:rPr>
                <w:b/>
                <w:bCs/>
                <w:color w:val="FFFFFF"/>
                <w:sz w:val="20"/>
                <w:szCs w:val="20"/>
              </w:rPr>
              <w:t xml:space="preserve">2025年度Q1</w:t>
            </w:r>
          </w:p>
        </w:tc>
        <w:tc>
          <w:tcPr>
            <w:tcW w:type="dxa" w:w="1600"/>
            <w:shd w:fill="1F3864" w:val="clear"/>
            <w:tcMar>
              <w:top w:type="dxa" w:w="60"/>
              <w:left w:type="dxa" w:w="100"/>
              <w:bottom w:type="dxa" w:w="60"/>
              <w:right w:type="dxa" w:w="100"/>
            </w:tcMar>
          </w:tcPr>
          <w:p>
            <w:pPr>
              <w:jc w:val="left"/>
            </w:pPr>
            <w:r>
              <w:rPr>
                <w:b/>
                <w:bCs/>
                <w:color w:val="FFFFFF"/>
                <w:sz w:val="20"/>
                <w:szCs w:val="20"/>
              </w:rPr>
              <w:t xml:space="preserve">2026年度Q1</w:t>
            </w:r>
          </w:p>
        </w:tc>
        <w:tc>
          <w:tcPr>
            <w:tcW w:type="dxa" w:w="1700"/>
            <w:shd w:fill="1F3864" w:val="clear"/>
            <w:tcMar>
              <w:top w:type="dxa" w:w="60"/>
              <w:left w:type="dxa" w:w="100"/>
              <w:bottom w:type="dxa" w:w="60"/>
              <w:right w:type="dxa" w:w="100"/>
            </w:tcMar>
          </w:tcPr>
          <w:p>
            <w:pPr>
              <w:jc w:val="left"/>
            </w:pPr>
            <w:r>
              <w:rPr>
                <w:b/>
                <w:bCs/>
                <w:color w:val="FFFFFF"/>
                <w:sz w:val="20"/>
                <w:szCs w:val="20"/>
              </w:rPr>
              <w:t xml:space="preserve">対前年比</w:t>
            </w:r>
          </w:p>
        </w:tc>
        <w:tc>
          <w:tcPr>
            <w:tcW w:type="dxa" w:w="1700"/>
            <w:shd w:fill="1F3864" w:val="clear"/>
            <w:tcMar>
              <w:top w:type="dxa" w:w="60"/>
              <w:left w:type="dxa" w:w="100"/>
              <w:bottom w:type="dxa" w:w="60"/>
              <w:right w:type="dxa" w:w="100"/>
            </w:tcMar>
          </w:tcPr>
          <w:p>
            <w:pPr>
              <w:jc w:val="left"/>
            </w:pPr>
            <w:r>
              <w:rPr>
                <w:b/>
                <w:bCs/>
                <w:color w:val="FFFFFF"/>
                <w:sz w:val="20"/>
                <w:szCs w:val="20"/>
              </w:rPr>
              <w:t xml:space="preserve">2026年度通期予想</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受注高（合計）</w:t>
            </w:r>
          </w:p>
        </w:tc>
        <w:tc>
          <w:tcPr>
            <w:tcW w:type="dxa" w:w="1626"/>
            <w:tcMar>
              <w:top w:type="dxa" w:w="60"/>
              <w:left w:type="dxa" w:w="100"/>
              <w:bottom w:type="dxa" w:w="60"/>
              <w:right w:type="dxa" w:w="100"/>
            </w:tcMar>
          </w:tcPr>
          <w:p>
            <w:pPr>
              <w:jc w:val="left"/>
            </w:pPr>
            <w:r>
              <w:rPr>
                <w:b w:val="false"/>
                <w:bCs w:val="false"/>
                <w:color w:val="000000"/>
                <w:sz w:val="20"/>
                <w:szCs w:val="20"/>
              </w:rPr>
              <w:t xml:space="preserve">5,219億円</w:t>
            </w:r>
          </w:p>
        </w:tc>
        <w:tc>
          <w:tcPr>
            <w:tcW w:type="dxa" w:w="1600"/>
            <w:tcMar>
              <w:top w:type="dxa" w:w="60"/>
              <w:left w:type="dxa" w:w="100"/>
              <w:bottom w:type="dxa" w:w="60"/>
              <w:right w:type="dxa" w:w="100"/>
            </w:tcMar>
          </w:tcPr>
          <w:p>
            <w:pPr>
              <w:jc w:val="left"/>
            </w:pPr>
            <w:r>
              <w:rPr>
                <w:b w:val="false"/>
                <w:bCs w:val="false"/>
                <w:color w:val="000000"/>
                <w:sz w:val="20"/>
                <w:szCs w:val="20"/>
              </w:rPr>
              <w:t xml:space="preserve">6,104億円</w:t>
            </w:r>
          </w:p>
        </w:tc>
        <w:tc>
          <w:tcPr>
            <w:tcW w:type="dxa" w:w="1700"/>
            <w:tcMar>
              <w:top w:type="dxa" w:w="60"/>
              <w:left w:type="dxa" w:w="100"/>
              <w:bottom w:type="dxa" w:w="60"/>
              <w:right w:type="dxa" w:w="100"/>
            </w:tcMar>
          </w:tcPr>
          <w:p>
            <w:pPr>
              <w:jc w:val="left"/>
            </w:pPr>
            <w:r>
              <w:rPr>
                <w:b w:val="false"/>
                <w:bCs w:val="false"/>
                <w:color w:val="000000"/>
                <w:sz w:val="20"/>
                <w:szCs w:val="20"/>
              </w:rPr>
              <w:t xml:space="preserve">+886億円</w:t>
            </w:r>
          </w:p>
        </w:tc>
        <w:tc>
          <w:tcPr>
            <w:tcW w:type="dxa" w:w="1700"/>
            <w:tcMar>
              <w:top w:type="dxa" w:w="60"/>
              <w:left w:type="dxa" w:w="100"/>
              <w:bottom w:type="dxa" w:w="60"/>
              <w:right w:type="dxa" w:w="100"/>
            </w:tcMar>
          </w:tcPr>
          <w:p>
            <w:pPr>
              <w:jc w:val="left"/>
            </w:pPr>
            <w:r>
              <w:rPr>
                <w:b w:val="false"/>
                <w:bCs w:val="false"/>
                <w:color w:val="000000"/>
                <w:sz w:val="20"/>
                <w:szCs w:val="20"/>
              </w:rPr>
              <w:t xml:space="preserve">21,100億円</w:t>
            </w:r>
          </w:p>
        </w:tc>
      </w:tr>
      <w:tr>
        <w:tc>
          <w:tcPr>
            <w:tcW w:type="dxa" w:w="2400"/>
            <w:shd w:fill="DCE6F1" w:val="clear"/>
            <w:tcMar>
              <w:top w:type="dxa" w:w="60"/>
              <w:left w:type="dxa" w:w="100"/>
              <w:bottom w:type="dxa" w:w="60"/>
              <w:right w:type="dxa" w:w="100"/>
            </w:tcMar>
          </w:tcPr>
          <w:p>
            <w:pPr>
              <w:jc w:val="left"/>
            </w:pPr>
            <w:r>
              <w:rPr>
                <w:b w:val="false"/>
                <w:bCs w:val="false"/>
                <w:color w:val="000000"/>
                <w:sz w:val="20"/>
                <w:szCs w:val="20"/>
              </w:rPr>
              <w:t xml:space="preserve">　公共・社会基盤</w:t>
            </w:r>
          </w:p>
        </w:tc>
        <w:tc>
          <w:tcPr>
            <w:tcW w:type="dxa" w:w="1626"/>
            <w:shd w:fill="DCE6F1" w:val="clear"/>
            <w:tcMar>
              <w:top w:type="dxa" w:w="60"/>
              <w:left w:type="dxa" w:w="100"/>
              <w:bottom w:type="dxa" w:w="60"/>
              <w:right w:type="dxa" w:w="100"/>
            </w:tcMar>
          </w:tcPr>
          <w:p>
            <w:pPr>
              <w:jc w:val="left"/>
            </w:pPr>
            <w:r>
              <w:rPr>
                <w:b w:val="false"/>
                <w:bCs w:val="false"/>
                <w:color w:val="000000"/>
                <w:sz w:val="20"/>
                <w:szCs w:val="20"/>
              </w:rPr>
              <w:t xml:space="preserve">2,312億円</w:t>
            </w:r>
          </w:p>
        </w:tc>
        <w:tc>
          <w:tcPr>
            <w:tcW w:type="dxa" w:w="1600"/>
            <w:shd w:fill="DCE6F1" w:val="clear"/>
            <w:tcMar>
              <w:top w:type="dxa" w:w="60"/>
              <w:left w:type="dxa" w:w="100"/>
              <w:bottom w:type="dxa" w:w="60"/>
              <w:right w:type="dxa" w:w="100"/>
            </w:tcMar>
          </w:tcPr>
          <w:p>
            <w:pPr>
              <w:jc w:val="left"/>
            </w:pPr>
            <w:r>
              <w:rPr>
                <w:b w:val="false"/>
                <w:bCs w:val="false"/>
                <w:color w:val="000000"/>
                <w:sz w:val="20"/>
                <w:szCs w:val="20"/>
              </w:rPr>
              <w:t xml:space="preserve">2,635億円</w:t>
            </w:r>
          </w:p>
        </w:tc>
        <w:tc>
          <w:tcPr>
            <w:tcW w:type="dxa" w:w="1700"/>
            <w:shd w:fill="DCE6F1" w:val="clear"/>
            <w:tcMar>
              <w:top w:type="dxa" w:w="60"/>
              <w:left w:type="dxa" w:w="100"/>
              <w:bottom w:type="dxa" w:w="60"/>
              <w:right w:type="dxa" w:w="100"/>
            </w:tcMar>
          </w:tcPr>
          <w:p>
            <w:pPr>
              <w:jc w:val="left"/>
            </w:pPr>
            <w:r>
              <w:rPr>
                <w:b w:val="false"/>
                <w:bCs w:val="false"/>
                <w:color w:val="000000"/>
                <w:sz w:val="20"/>
                <w:szCs w:val="20"/>
              </w:rPr>
              <w:t xml:space="preserve">+323億円</w:t>
            </w:r>
          </w:p>
        </w:tc>
        <w:tc>
          <w:tcPr>
            <w:tcW w:type="dxa" w:w="1700"/>
            <w:shd w:fill="DCE6F1" w:val="clear"/>
            <w:tcMar>
              <w:top w:type="dxa" w:w="60"/>
              <w:left w:type="dxa" w:w="100"/>
              <w:bottom w:type="dxa" w:w="60"/>
              <w:right w:type="dxa" w:w="100"/>
            </w:tcMar>
          </w:tcPr>
          <w:p>
            <w:pPr>
              <w:jc w:val="left"/>
            </w:pPr>
            <w:r>
              <w:rPr>
                <w:b w:val="false"/>
                <w:bCs w:val="false"/>
                <w:color w:val="000000"/>
                <w:sz w:val="20"/>
                <w:szCs w:val="20"/>
              </w:rPr>
              <w:t xml:space="preserve">6,710億円</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　金融</w:t>
            </w:r>
          </w:p>
        </w:tc>
        <w:tc>
          <w:tcPr>
            <w:tcW w:type="dxa" w:w="1626"/>
            <w:tcMar>
              <w:top w:type="dxa" w:w="60"/>
              <w:left w:type="dxa" w:w="100"/>
              <w:bottom w:type="dxa" w:w="60"/>
              <w:right w:type="dxa" w:w="100"/>
            </w:tcMar>
          </w:tcPr>
          <w:p>
            <w:pPr>
              <w:jc w:val="left"/>
            </w:pPr>
            <w:r>
              <w:rPr>
                <w:b w:val="false"/>
                <w:bCs w:val="false"/>
                <w:color w:val="000000"/>
                <w:sz w:val="20"/>
                <w:szCs w:val="20"/>
              </w:rPr>
              <w:t xml:space="preserve">1,777億円</w:t>
            </w:r>
          </w:p>
        </w:tc>
        <w:tc>
          <w:tcPr>
            <w:tcW w:type="dxa" w:w="1600"/>
            <w:tcMar>
              <w:top w:type="dxa" w:w="60"/>
              <w:left w:type="dxa" w:w="100"/>
              <w:bottom w:type="dxa" w:w="60"/>
              <w:right w:type="dxa" w:w="100"/>
            </w:tcMar>
          </w:tcPr>
          <w:p>
            <w:pPr>
              <w:jc w:val="left"/>
            </w:pPr>
            <w:r>
              <w:rPr>
                <w:b w:val="false"/>
                <w:bCs w:val="false"/>
                <w:color w:val="000000"/>
                <w:sz w:val="20"/>
                <w:szCs w:val="20"/>
              </w:rPr>
              <w:t xml:space="preserve">2,183億円</w:t>
            </w:r>
          </w:p>
        </w:tc>
        <w:tc>
          <w:tcPr>
            <w:tcW w:type="dxa" w:w="1700"/>
            <w:tcMar>
              <w:top w:type="dxa" w:w="60"/>
              <w:left w:type="dxa" w:w="100"/>
              <w:bottom w:type="dxa" w:w="60"/>
              <w:right w:type="dxa" w:w="100"/>
            </w:tcMar>
          </w:tcPr>
          <w:p>
            <w:pPr>
              <w:jc w:val="left"/>
            </w:pPr>
            <w:r>
              <w:rPr>
                <w:b w:val="false"/>
                <w:bCs w:val="false"/>
                <w:color w:val="000000"/>
                <w:sz w:val="20"/>
                <w:szCs w:val="20"/>
              </w:rPr>
              <w:t xml:space="preserve">+405億円</w:t>
            </w:r>
          </w:p>
        </w:tc>
        <w:tc>
          <w:tcPr>
            <w:tcW w:type="dxa" w:w="1700"/>
            <w:tcMar>
              <w:top w:type="dxa" w:w="60"/>
              <w:left w:type="dxa" w:w="100"/>
              <w:bottom w:type="dxa" w:w="60"/>
              <w:right w:type="dxa" w:w="100"/>
            </w:tcMar>
          </w:tcPr>
          <w:p>
            <w:pPr>
              <w:jc w:val="left"/>
            </w:pPr>
            <w:r>
              <w:rPr>
                <w:b w:val="false"/>
                <w:bCs w:val="false"/>
                <w:color w:val="000000"/>
                <w:sz w:val="20"/>
                <w:szCs w:val="20"/>
              </w:rPr>
              <w:t xml:space="preserve">9,110億円</w:t>
            </w:r>
          </w:p>
        </w:tc>
      </w:tr>
      <w:tr>
        <w:tc>
          <w:tcPr>
            <w:tcW w:type="dxa" w:w="2400"/>
            <w:shd w:fill="DCE6F1" w:val="clear"/>
            <w:tcMar>
              <w:top w:type="dxa" w:w="60"/>
              <w:left w:type="dxa" w:w="100"/>
              <w:bottom w:type="dxa" w:w="60"/>
              <w:right w:type="dxa" w:w="100"/>
            </w:tcMar>
          </w:tcPr>
          <w:p>
            <w:pPr>
              <w:jc w:val="left"/>
            </w:pPr>
            <w:r>
              <w:rPr>
                <w:b w:val="false"/>
                <w:bCs w:val="false"/>
                <w:color w:val="000000"/>
                <w:sz w:val="20"/>
                <w:szCs w:val="20"/>
              </w:rPr>
              <w:t xml:space="preserve">　法人</w:t>
            </w:r>
          </w:p>
        </w:tc>
        <w:tc>
          <w:tcPr>
            <w:tcW w:type="dxa" w:w="1626"/>
            <w:shd w:fill="DCE6F1" w:val="clear"/>
            <w:tcMar>
              <w:top w:type="dxa" w:w="60"/>
              <w:left w:type="dxa" w:w="100"/>
              <w:bottom w:type="dxa" w:w="60"/>
              <w:right w:type="dxa" w:w="100"/>
            </w:tcMar>
          </w:tcPr>
          <w:p>
            <w:pPr>
              <w:jc w:val="left"/>
            </w:pPr>
            <w:r>
              <w:rPr>
                <w:b w:val="false"/>
                <w:bCs w:val="false"/>
                <w:color w:val="000000"/>
                <w:sz w:val="20"/>
                <w:szCs w:val="20"/>
              </w:rPr>
              <w:t xml:space="preserve">909億円</w:t>
            </w:r>
          </w:p>
        </w:tc>
        <w:tc>
          <w:tcPr>
            <w:tcW w:type="dxa" w:w="1600"/>
            <w:shd w:fill="DCE6F1" w:val="clear"/>
            <w:tcMar>
              <w:top w:type="dxa" w:w="60"/>
              <w:left w:type="dxa" w:w="100"/>
              <w:bottom w:type="dxa" w:w="60"/>
              <w:right w:type="dxa" w:w="100"/>
            </w:tcMar>
          </w:tcPr>
          <w:p>
            <w:pPr>
              <w:jc w:val="left"/>
            </w:pPr>
            <w:r>
              <w:rPr>
                <w:b w:val="false"/>
                <w:bCs w:val="false"/>
                <w:color w:val="000000"/>
                <w:sz w:val="20"/>
                <w:szCs w:val="20"/>
              </w:rPr>
              <w:t xml:space="preserve">1,042億円</w:t>
            </w:r>
          </w:p>
        </w:tc>
        <w:tc>
          <w:tcPr>
            <w:tcW w:type="dxa" w:w="1700"/>
            <w:shd w:fill="DCE6F1" w:val="clear"/>
            <w:tcMar>
              <w:top w:type="dxa" w:w="60"/>
              <w:left w:type="dxa" w:w="100"/>
              <w:bottom w:type="dxa" w:w="60"/>
              <w:right w:type="dxa" w:w="100"/>
            </w:tcMar>
          </w:tcPr>
          <w:p>
            <w:pPr>
              <w:jc w:val="left"/>
            </w:pPr>
            <w:r>
              <w:rPr>
                <w:b w:val="false"/>
                <w:bCs w:val="false"/>
                <w:color w:val="000000"/>
                <w:sz w:val="20"/>
                <w:szCs w:val="20"/>
              </w:rPr>
              <w:t xml:space="preserve">+133億円</w:t>
            </w:r>
          </w:p>
        </w:tc>
        <w:tc>
          <w:tcPr>
            <w:tcW w:type="dxa" w:w="1700"/>
            <w:shd w:fill="DCE6F1" w:val="clear"/>
            <w:tcMar>
              <w:top w:type="dxa" w:w="60"/>
              <w:left w:type="dxa" w:w="100"/>
              <w:bottom w:type="dxa" w:w="60"/>
              <w:right w:type="dxa" w:w="100"/>
            </w:tcMar>
          </w:tcPr>
          <w:p>
            <w:pPr>
              <w:jc w:val="left"/>
            </w:pPr>
            <w:r>
              <w:rPr>
                <w:b w:val="false"/>
                <w:bCs w:val="false"/>
                <w:color w:val="000000"/>
                <w:sz w:val="20"/>
                <w:szCs w:val="20"/>
              </w:rPr>
              <w:t xml:space="preserve">4,460億円</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売上高（合計）</w:t>
            </w:r>
          </w:p>
        </w:tc>
        <w:tc>
          <w:tcPr>
            <w:tcW w:type="dxa" w:w="1626"/>
            <w:tcMar>
              <w:top w:type="dxa" w:w="60"/>
              <w:left w:type="dxa" w:w="100"/>
              <w:bottom w:type="dxa" w:w="60"/>
              <w:right w:type="dxa" w:w="100"/>
            </w:tcMar>
          </w:tcPr>
          <w:p>
            <w:pPr>
              <w:jc w:val="left"/>
            </w:pPr>
            <w:r>
              <w:rPr>
                <w:b w:val="false"/>
                <w:bCs w:val="false"/>
                <w:color w:val="000000"/>
                <w:sz w:val="20"/>
                <w:szCs w:val="20"/>
              </w:rPr>
              <w:t xml:space="preserve">4,581億円</w:t>
            </w:r>
          </w:p>
        </w:tc>
        <w:tc>
          <w:tcPr>
            <w:tcW w:type="dxa" w:w="1600"/>
            <w:tcMar>
              <w:top w:type="dxa" w:w="60"/>
              <w:left w:type="dxa" w:w="100"/>
              <w:bottom w:type="dxa" w:w="60"/>
              <w:right w:type="dxa" w:w="100"/>
            </w:tcMar>
          </w:tcPr>
          <w:p>
            <w:pPr>
              <w:jc w:val="left"/>
            </w:pPr>
            <w:r>
              <w:rPr>
                <w:b w:val="false"/>
                <w:bCs w:val="false"/>
                <w:color w:val="000000"/>
                <w:sz w:val="20"/>
                <w:szCs w:val="20"/>
              </w:rPr>
              <w:t xml:space="preserve">5,017億円</w:t>
            </w:r>
          </w:p>
        </w:tc>
        <w:tc>
          <w:tcPr>
            <w:tcW w:type="dxa" w:w="1700"/>
            <w:tcMar>
              <w:top w:type="dxa" w:w="60"/>
              <w:left w:type="dxa" w:w="100"/>
              <w:bottom w:type="dxa" w:w="60"/>
              <w:right w:type="dxa" w:w="100"/>
            </w:tcMar>
          </w:tcPr>
          <w:p>
            <w:pPr>
              <w:jc w:val="left"/>
            </w:pPr>
            <w:r>
              <w:rPr>
                <w:b w:val="false"/>
                <w:bCs w:val="false"/>
                <w:color w:val="000000"/>
                <w:sz w:val="20"/>
                <w:szCs w:val="20"/>
              </w:rPr>
              <w:t xml:space="preserve">+436億円</w:t>
            </w:r>
          </w:p>
        </w:tc>
        <w:tc>
          <w:tcPr>
            <w:tcW w:type="dxa" w:w="1700"/>
            <w:tcMar>
              <w:top w:type="dxa" w:w="60"/>
              <w:left w:type="dxa" w:w="100"/>
              <w:bottom w:type="dxa" w:w="60"/>
              <w:right w:type="dxa" w:w="100"/>
            </w:tcMar>
          </w:tcPr>
          <w:p>
            <w:pPr>
              <w:jc w:val="left"/>
            </w:pPr>
            <w:r>
              <w:rPr>
                <w:b w:val="false"/>
                <w:bCs w:val="false"/>
                <w:color w:val="000000"/>
                <w:sz w:val="20"/>
                <w:szCs w:val="20"/>
              </w:rPr>
              <w:t xml:space="preserve">21,700億円</w:t>
            </w:r>
          </w:p>
        </w:tc>
      </w:tr>
      <w:tr>
        <w:tc>
          <w:tcPr>
            <w:tcW w:type="dxa" w:w="2400"/>
            <w:shd w:fill="DCE6F1" w:val="clear"/>
            <w:tcMar>
              <w:top w:type="dxa" w:w="60"/>
              <w:left w:type="dxa" w:w="100"/>
              <w:bottom w:type="dxa" w:w="60"/>
              <w:right w:type="dxa" w:w="100"/>
            </w:tcMar>
          </w:tcPr>
          <w:p>
            <w:pPr>
              <w:jc w:val="left"/>
            </w:pPr>
            <w:r>
              <w:rPr>
                <w:b w:val="false"/>
                <w:bCs w:val="false"/>
                <w:color w:val="000000"/>
                <w:sz w:val="20"/>
                <w:szCs w:val="20"/>
              </w:rPr>
              <w:t xml:space="preserve">　公共・社会基盤</w:t>
            </w:r>
          </w:p>
        </w:tc>
        <w:tc>
          <w:tcPr>
            <w:tcW w:type="dxa" w:w="1626"/>
            <w:shd w:fill="DCE6F1" w:val="clear"/>
            <w:tcMar>
              <w:top w:type="dxa" w:w="60"/>
              <w:left w:type="dxa" w:w="100"/>
              <w:bottom w:type="dxa" w:w="60"/>
              <w:right w:type="dxa" w:w="100"/>
            </w:tcMar>
          </w:tcPr>
          <w:p>
            <w:pPr>
              <w:jc w:val="left"/>
            </w:pPr>
            <w:r>
              <w:rPr>
                <w:b w:val="false"/>
                <w:bCs w:val="false"/>
                <w:color w:val="000000"/>
                <w:sz w:val="20"/>
                <w:szCs w:val="20"/>
              </w:rPr>
              <w:t xml:space="preserve">1,763億円</w:t>
            </w:r>
          </w:p>
        </w:tc>
        <w:tc>
          <w:tcPr>
            <w:tcW w:type="dxa" w:w="1600"/>
            <w:shd w:fill="DCE6F1" w:val="clear"/>
            <w:tcMar>
              <w:top w:type="dxa" w:w="60"/>
              <w:left w:type="dxa" w:w="100"/>
              <w:bottom w:type="dxa" w:w="60"/>
              <w:right w:type="dxa" w:w="100"/>
            </w:tcMar>
          </w:tcPr>
          <w:p>
            <w:pPr>
              <w:jc w:val="left"/>
            </w:pPr>
            <w:r>
              <w:rPr>
                <w:b w:val="false"/>
                <w:bCs w:val="false"/>
                <w:color w:val="000000"/>
                <w:sz w:val="20"/>
                <w:szCs w:val="20"/>
              </w:rPr>
              <w:t xml:space="preserve">1,999億円</w:t>
            </w:r>
          </w:p>
        </w:tc>
        <w:tc>
          <w:tcPr>
            <w:tcW w:type="dxa" w:w="1700"/>
            <w:shd w:fill="DCE6F1" w:val="clear"/>
            <w:tcMar>
              <w:top w:type="dxa" w:w="60"/>
              <w:left w:type="dxa" w:w="100"/>
              <w:bottom w:type="dxa" w:w="60"/>
              <w:right w:type="dxa" w:w="100"/>
            </w:tcMar>
          </w:tcPr>
          <w:p>
            <w:pPr>
              <w:jc w:val="left"/>
            </w:pPr>
            <w:r>
              <w:rPr>
                <w:b w:val="false"/>
                <w:bCs w:val="false"/>
                <w:color w:val="000000"/>
                <w:sz w:val="20"/>
                <w:szCs w:val="20"/>
              </w:rPr>
              <w:t xml:space="preserve">+236億円</w:t>
            </w:r>
          </w:p>
        </w:tc>
        <w:tc>
          <w:tcPr>
            <w:tcW w:type="dxa" w:w="1700"/>
            <w:shd w:fill="DCE6F1" w:val="clear"/>
            <w:tcMar>
              <w:top w:type="dxa" w:w="60"/>
              <w:left w:type="dxa" w:w="100"/>
              <w:bottom w:type="dxa" w:w="60"/>
              <w:right w:type="dxa" w:w="100"/>
            </w:tcMar>
          </w:tcPr>
          <w:p>
            <w:pPr>
              <w:jc w:val="left"/>
            </w:pPr>
            <w:r>
              <w:rPr>
                <w:b w:val="false"/>
                <w:bCs w:val="false"/>
                <w:color w:val="000000"/>
                <w:sz w:val="20"/>
                <w:szCs w:val="20"/>
              </w:rPr>
              <w:t xml:space="preserve">9,170億円</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　金融</w:t>
            </w:r>
          </w:p>
        </w:tc>
        <w:tc>
          <w:tcPr>
            <w:tcW w:type="dxa" w:w="1626"/>
            <w:tcMar>
              <w:top w:type="dxa" w:w="60"/>
              <w:left w:type="dxa" w:w="100"/>
              <w:bottom w:type="dxa" w:w="60"/>
              <w:right w:type="dxa" w:w="100"/>
            </w:tcMar>
          </w:tcPr>
          <w:p>
            <w:pPr>
              <w:jc w:val="left"/>
            </w:pPr>
            <w:r>
              <w:rPr>
                <w:b w:val="false"/>
                <w:bCs w:val="false"/>
                <w:color w:val="000000"/>
                <w:sz w:val="20"/>
                <w:szCs w:val="20"/>
              </w:rPr>
              <w:t xml:space="preserve">1,730億円</w:t>
            </w:r>
          </w:p>
        </w:tc>
        <w:tc>
          <w:tcPr>
            <w:tcW w:type="dxa" w:w="1600"/>
            <w:tcMar>
              <w:top w:type="dxa" w:w="60"/>
              <w:left w:type="dxa" w:w="100"/>
              <w:bottom w:type="dxa" w:w="60"/>
              <w:right w:type="dxa" w:w="100"/>
            </w:tcMar>
          </w:tcPr>
          <w:p>
            <w:pPr>
              <w:jc w:val="left"/>
            </w:pPr>
            <w:r>
              <w:rPr>
                <w:b w:val="false"/>
                <w:bCs w:val="false"/>
                <w:color w:val="000000"/>
                <w:sz w:val="20"/>
                <w:szCs w:val="20"/>
              </w:rPr>
              <w:t xml:space="preserve">1,819億円</w:t>
            </w:r>
          </w:p>
        </w:tc>
        <w:tc>
          <w:tcPr>
            <w:tcW w:type="dxa" w:w="1700"/>
            <w:tcMar>
              <w:top w:type="dxa" w:w="60"/>
              <w:left w:type="dxa" w:w="100"/>
              <w:bottom w:type="dxa" w:w="60"/>
              <w:right w:type="dxa" w:w="100"/>
            </w:tcMar>
          </w:tcPr>
          <w:p>
            <w:pPr>
              <w:jc w:val="left"/>
            </w:pPr>
            <w:r>
              <w:rPr>
                <w:b w:val="false"/>
                <w:bCs w:val="false"/>
                <w:color w:val="000000"/>
                <w:sz w:val="20"/>
                <w:szCs w:val="20"/>
              </w:rPr>
              <w:t xml:space="preserve">+89億円</w:t>
            </w:r>
          </w:p>
        </w:tc>
        <w:tc>
          <w:tcPr>
            <w:tcW w:type="dxa" w:w="1700"/>
            <w:tcMar>
              <w:top w:type="dxa" w:w="60"/>
              <w:left w:type="dxa" w:w="100"/>
              <w:bottom w:type="dxa" w:w="60"/>
              <w:right w:type="dxa" w:w="100"/>
            </w:tcMar>
          </w:tcPr>
          <w:p>
            <w:pPr>
              <w:jc w:val="left"/>
            </w:pPr>
            <w:r>
              <w:rPr>
                <w:b w:val="false"/>
                <w:bCs w:val="false"/>
                <w:color w:val="000000"/>
                <w:sz w:val="20"/>
                <w:szCs w:val="20"/>
              </w:rPr>
              <w:t xml:space="preserve">8,130億円</w:t>
            </w:r>
          </w:p>
        </w:tc>
      </w:tr>
      <w:tr>
        <w:tc>
          <w:tcPr>
            <w:tcW w:type="dxa" w:w="2400"/>
            <w:shd w:fill="DCE6F1" w:val="clear"/>
            <w:tcMar>
              <w:top w:type="dxa" w:w="60"/>
              <w:left w:type="dxa" w:w="100"/>
              <w:bottom w:type="dxa" w:w="60"/>
              <w:right w:type="dxa" w:w="100"/>
            </w:tcMar>
          </w:tcPr>
          <w:p>
            <w:pPr>
              <w:jc w:val="left"/>
            </w:pPr>
            <w:r>
              <w:rPr>
                <w:b w:val="false"/>
                <w:bCs w:val="false"/>
                <w:color w:val="000000"/>
                <w:sz w:val="20"/>
                <w:szCs w:val="20"/>
              </w:rPr>
              <w:t xml:space="preserve">　法人</w:t>
            </w:r>
          </w:p>
        </w:tc>
        <w:tc>
          <w:tcPr>
            <w:tcW w:type="dxa" w:w="1626"/>
            <w:shd w:fill="DCE6F1" w:val="clear"/>
            <w:tcMar>
              <w:top w:type="dxa" w:w="60"/>
              <w:left w:type="dxa" w:w="100"/>
              <w:bottom w:type="dxa" w:w="60"/>
              <w:right w:type="dxa" w:w="100"/>
            </w:tcMar>
          </w:tcPr>
          <w:p>
            <w:pPr>
              <w:jc w:val="left"/>
            </w:pPr>
            <w:r>
              <w:rPr>
                <w:b w:val="false"/>
                <w:bCs w:val="false"/>
                <w:color w:val="000000"/>
                <w:sz w:val="20"/>
                <w:szCs w:val="20"/>
              </w:rPr>
              <w:t xml:space="preserve">1,394億円</w:t>
            </w:r>
          </w:p>
        </w:tc>
        <w:tc>
          <w:tcPr>
            <w:tcW w:type="dxa" w:w="1600"/>
            <w:shd w:fill="DCE6F1" w:val="clear"/>
            <w:tcMar>
              <w:top w:type="dxa" w:w="60"/>
              <w:left w:type="dxa" w:w="100"/>
              <w:bottom w:type="dxa" w:w="60"/>
              <w:right w:type="dxa" w:w="100"/>
            </w:tcMar>
          </w:tcPr>
          <w:p>
            <w:pPr>
              <w:jc w:val="left"/>
            </w:pPr>
            <w:r>
              <w:rPr>
                <w:b w:val="false"/>
                <w:bCs w:val="false"/>
                <w:color w:val="000000"/>
                <w:sz w:val="20"/>
                <w:szCs w:val="20"/>
              </w:rPr>
              <w:t xml:space="preserve">1,499億円</w:t>
            </w:r>
          </w:p>
        </w:tc>
        <w:tc>
          <w:tcPr>
            <w:tcW w:type="dxa" w:w="1700"/>
            <w:shd w:fill="DCE6F1" w:val="clear"/>
            <w:tcMar>
              <w:top w:type="dxa" w:w="60"/>
              <w:left w:type="dxa" w:w="100"/>
              <w:bottom w:type="dxa" w:w="60"/>
              <w:right w:type="dxa" w:w="100"/>
            </w:tcMar>
          </w:tcPr>
          <w:p>
            <w:pPr>
              <w:jc w:val="left"/>
            </w:pPr>
            <w:r>
              <w:rPr>
                <w:b w:val="false"/>
                <w:bCs w:val="false"/>
                <w:color w:val="000000"/>
                <w:sz w:val="20"/>
                <w:szCs w:val="20"/>
              </w:rPr>
              <w:t xml:space="preserve">+105億円</w:t>
            </w:r>
          </w:p>
        </w:tc>
        <w:tc>
          <w:tcPr>
            <w:tcW w:type="dxa" w:w="1700"/>
            <w:shd w:fill="DCE6F1" w:val="clear"/>
            <w:tcMar>
              <w:top w:type="dxa" w:w="60"/>
              <w:left w:type="dxa" w:w="100"/>
              <w:bottom w:type="dxa" w:w="60"/>
              <w:right w:type="dxa" w:w="100"/>
            </w:tcMar>
          </w:tcPr>
          <w:p>
            <w:pPr>
              <w:jc w:val="left"/>
            </w:pPr>
            <w:r>
              <w:rPr>
                <w:b w:val="false"/>
                <w:bCs w:val="false"/>
                <w:color w:val="000000"/>
                <w:sz w:val="20"/>
                <w:szCs w:val="20"/>
              </w:rPr>
              <w:t xml:space="preserve">6,500億円</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営業利益率（合計）</w:t>
            </w:r>
          </w:p>
        </w:tc>
        <w:tc>
          <w:tcPr>
            <w:tcW w:type="dxa" w:w="1626"/>
            <w:tcMar>
              <w:top w:type="dxa" w:w="60"/>
              <w:left w:type="dxa" w:w="100"/>
              <w:bottom w:type="dxa" w:w="60"/>
              <w:right w:type="dxa" w:w="100"/>
            </w:tcMar>
          </w:tcPr>
          <w:p>
            <w:pPr>
              <w:jc w:val="left"/>
            </w:pPr>
            <w:r>
              <w:rPr>
                <w:b w:val="false"/>
                <w:bCs w:val="false"/>
                <w:color w:val="000000"/>
                <w:sz w:val="20"/>
                <w:szCs w:val="20"/>
              </w:rPr>
              <w:t xml:space="preserve">7.7%</w:t>
            </w:r>
          </w:p>
        </w:tc>
        <w:tc>
          <w:tcPr>
            <w:tcW w:type="dxa" w:w="1600"/>
            <w:tcMar>
              <w:top w:type="dxa" w:w="60"/>
              <w:left w:type="dxa" w:w="100"/>
              <w:bottom w:type="dxa" w:w="60"/>
              <w:right w:type="dxa" w:w="100"/>
            </w:tcMar>
          </w:tcPr>
          <w:p>
            <w:pPr>
              <w:jc w:val="left"/>
            </w:pPr>
            <w:r>
              <w:rPr>
                <w:b w:val="false"/>
                <w:bCs w:val="false"/>
                <w:color w:val="000000"/>
                <w:sz w:val="20"/>
                <w:szCs w:val="20"/>
              </w:rPr>
              <w:t xml:space="preserve">9.0%</w:t>
            </w:r>
          </w:p>
        </w:tc>
        <w:tc>
          <w:tcPr>
            <w:tcW w:type="dxa" w:w="1700"/>
            <w:tcMar>
              <w:top w:type="dxa" w:w="60"/>
              <w:left w:type="dxa" w:w="100"/>
              <w:bottom w:type="dxa" w:w="60"/>
              <w:right w:type="dxa" w:w="100"/>
            </w:tcMar>
          </w:tcPr>
          <w:p>
            <w:pPr>
              <w:jc w:val="left"/>
            </w:pPr>
            <w:r>
              <w:rPr>
                <w:b w:val="false"/>
                <w:bCs w:val="false"/>
                <w:color w:val="000000"/>
                <w:sz w:val="20"/>
                <w:szCs w:val="20"/>
              </w:rPr>
              <w:t xml:space="preserve">+1.3pt</w:t>
            </w:r>
          </w:p>
        </w:tc>
        <w:tc>
          <w:tcPr>
            <w:tcW w:type="dxa" w:w="1700"/>
            <w:tcMar>
              <w:top w:type="dxa" w:w="60"/>
              <w:left w:type="dxa" w:w="100"/>
              <w:bottom w:type="dxa" w:w="60"/>
              <w:right w:type="dxa" w:w="100"/>
            </w:tcMar>
          </w:tcPr>
          <w:p>
            <w:pPr>
              <w:jc w:val="left"/>
            </w:pPr>
            <w:r>
              <w:rPr>
                <w:b w:val="false"/>
                <w:bCs w:val="false"/>
                <w:color w:val="000000"/>
                <w:sz w:val="20"/>
                <w:szCs w:val="20"/>
              </w:rPr>
              <w:t xml:space="preserve">12.0%（予想）</w:t>
            </w:r>
          </w:p>
        </w:tc>
      </w:tr>
      <w:tr>
        <w:tc>
          <w:tcPr>
            <w:tcW w:type="dxa" w:w="2400"/>
            <w:shd w:fill="DCE6F1" w:val="clear"/>
            <w:tcMar>
              <w:top w:type="dxa" w:w="60"/>
              <w:left w:type="dxa" w:w="100"/>
              <w:bottom w:type="dxa" w:w="60"/>
              <w:right w:type="dxa" w:w="100"/>
            </w:tcMar>
          </w:tcPr>
          <w:p>
            <w:pPr>
              <w:jc w:val="left"/>
            </w:pPr>
            <w:r>
              <w:rPr>
                <w:b w:val="false"/>
                <w:bCs w:val="false"/>
                <w:color w:val="000000"/>
                <w:sz w:val="20"/>
                <w:szCs w:val="20"/>
              </w:rPr>
              <w:t xml:space="preserve">　公共・社会基盤</w:t>
            </w:r>
          </w:p>
        </w:tc>
        <w:tc>
          <w:tcPr>
            <w:tcW w:type="dxa" w:w="1626"/>
            <w:shd w:fill="DCE6F1" w:val="clear"/>
            <w:tcMar>
              <w:top w:type="dxa" w:w="60"/>
              <w:left w:type="dxa" w:w="100"/>
              <w:bottom w:type="dxa" w:w="60"/>
              <w:right w:type="dxa" w:w="100"/>
            </w:tcMar>
          </w:tcPr>
          <w:p>
            <w:pPr>
              <w:jc w:val="left"/>
            </w:pPr>
            <w:r>
              <w:rPr>
                <w:b w:val="false"/>
                <w:bCs w:val="false"/>
                <w:color w:val="000000"/>
                <w:sz w:val="20"/>
                <w:szCs w:val="20"/>
              </w:rPr>
              <w:t xml:space="preserve">8.5%</w:t>
            </w:r>
          </w:p>
        </w:tc>
        <w:tc>
          <w:tcPr>
            <w:tcW w:type="dxa" w:w="1600"/>
            <w:shd w:fill="DCE6F1" w:val="clear"/>
            <w:tcMar>
              <w:top w:type="dxa" w:w="60"/>
              <w:left w:type="dxa" w:w="100"/>
              <w:bottom w:type="dxa" w:w="60"/>
              <w:right w:type="dxa" w:w="100"/>
            </w:tcMar>
          </w:tcPr>
          <w:p>
            <w:pPr>
              <w:jc w:val="left"/>
            </w:pPr>
            <w:r>
              <w:rPr>
                <w:b w:val="false"/>
                <w:bCs w:val="false"/>
                <w:color w:val="000000"/>
                <w:sz w:val="20"/>
                <w:szCs w:val="20"/>
              </w:rPr>
              <w:t xml:space="preserve">11.1%</w:t>
            </w:r>
          </w:p>
        </w:tc>
        <w:tc>
          <w:tcPr>
            <w:tcW w:type="dxa" w:w="1700"/>
            <w:shd w:fill="DCE6F1" w:val="clear"/>
            <w:tcMar>
              <w:top w:type="dxa" w:w="60"/>
              <w:left w:type="dxa" w:w="100"/>
              <w:bottom w:type="dxa" w:w="60"/>
              <w:right w:type="dxa" w:w="100"/>
            </w:tcMar>
          </w:tcPr>
          <w:p>
            <w:pPr>
              <w:jc w:val="left"/>
            </w:pPr>
            <w:r>
              <w:rPr>
                <w:b w:val="false"/>
                <w:bCs w:val="false"/>
                <w:color w:val="000000"/>
                <w:sz w:val="20"/>
                <w:szCs w:val="20"/>
              </w:rPr>
              <w:t xml:space="preserve">+2.6pt</w:t>
            </w:r>
          </w:p>
        </w:tc>
        <w:tc>
          <w:tcPr>
            <w:tcW w:type="dxa" w:w="1700"/>
            <w:shd w:fill="DCE6F1" w:val="clear"/>
            <w:tcMar>
              <w:top w:type="dxa" w:w="60"/>
              <w:left w:type="dxa" w:w="100"/>
              <w:bottom w:type="dxa" w:w="60"/>
              <w:right w:type="dxa" w:w="100"/>
            </w:tcMar>
          </w:tcPr>
          <w:p>
            <w:pPr>
              <w:jc w:val="left"/>
            </w:pPr>
            <w:r>
              <w:rPr>
                <w:b w:val="false"/>
                <w:bCs w:val="false"/>
                <w:color w:val="000000"/>
                <w:sz w:val="20"/>
                <w:szCs w:val="20"/>
              </w:rPr>
              <w:t xml:space="preserve">14.1%（予想）</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　金融</w:t>
            </w:r>
          </w:p>
        </w:tc>
        <w:tc>
          <w:tcPr>
            <w:tcW w:type="dxa" w:w="1626"/>
            <w:tcMar>
              <w:top w:type="dxa" w:w="60"/>
              <w:left w:type="dxa" w:w="100"/>
              <w:bottom w:type="dxa" w:w="60"/>
              <w:right w:type="dxa" w:w="100"/>
            </w:tcMar>
          </w:tcPr>
          <w:p>
            <w:pPr>
              <w:jc w:val="left"/>
            </w:pPr>
            <w:r>
              <w:rPr>
                <w:b w:val="false"/>
                <w:bCs w:val="false"/>
                <w:color w:val="000000"/>
                <w:sz w:val="20"/>
                <w:szCs w:val="20"/>
              </w:rPr>
              <w:t xml:space="preserve">11.1%</w:t>
            </w:r>
          </w:p>
        </w:tc>
        <w:tc>
          <w:tcPr>
            <w:tcW w:type="dxa" w:w="1600"/>
            <w:tcMar>
              <w:top w:type="dxa" w:w="60"/>
              <w:left w:type="dxa" w:w="100"/>
              <w:bottom w:type="dxa" w:w="60"/>
              <w:right w:type="dxa" w:w="100"/>
            </w:tcMar>
          </w:tcPr>
          <w:p>
            <w:pPr>
              <w:jc w:val="left"/>
            </w:pPr>
            <w:r>
              <w:rPr>
                <w:b w:val="false"/>
                <w:bCs w:val="false"/>
                <w:color w:val="000000"/>
                <w:sz w:val="20"/>
                <w:szCs w:val="20"/>
              </w:rPr>
              <w:t xml:space="preserve">13.1%</w:t>
            </w:r>
          </w:p>
        </w:tc>
        <w:tc>
          <w:tcPr>
            <w:tcW w:type="dxa" w:w="1700"/>
            <w:tcMar>
              <w:top w:type="dxa" w:w="60"/>
              <w:left w:type="dxa" w:w="100"/>
              <w:bottom w:type="dxa" w:w="60"/>
              <w:right w:type="dxa" w:w="100"/>
            </w:tcMar>
          </w:tcPr>
          <w:p>
            <w:pPr>
              <w:jc w:val="left"/>
            </w:pPr>
            <w:r>
              <w:rPr>
                <w:b w:val="false"/>
                <w:bCs w:val="false"/>
                <w:color w:val="000000"/>
                <w:sz w:val="20"/>
                <w:szCs w:val="20"/>
              </w:rPr>
              <w:t xml:space="preserve">+2.1pt</w:t>
            </w:r>
          </w:p>
        </w:tc>
        <w:tc>
          <w:tcPr>
            <w:tcW w:type="dxa" w:w="1700"/>
            <w:tcMar>
              <w:top w:type="dxa" w:w="60"/>
              <w:left w:type="dxa" w:w="100"/>
              <w:bottom w:type="dxa" w:w="60"/>
              <w:right w:type="dxa" w:w="100"/>
            </w:tcMar>
          </w:tcPr>
          <w:p>
            <w:pPr>
              <w:jc w:val="left"/>
            </w:pPr>
            <w:r>
              <w:rPr>
                <w:b w:val="false"/>
                <w:bCs w:val="false"/>
                <w:color w:val="000000"/>
                <w:sz w:val="20"/>
                <w:szCs w:val="20"/>
              </w:rPr>
              <w:t xml:space="preserve">14.0%（予想）</w:t>
            </w:r>
          </w:p>
        </w:tc>
      </w:tr>
      <w:tr>
        <w:tc>
          <w:tcPr>
            <w:tcW w:type="dxa" w:w="2400"/>
            <w:shd w:fill="DCE6F1" w:val="clear"/>
            <w:tcMar>
              <w:top w:type="dxa" w:w="60"/>
              <w:left w:type="dxa" w:w="100"/>
              <w:bottom w:type="dxa" w:w="60"/>
              <w:right w:type="dxa" w:w="100"/>
            </w:tcMar>
          </w:tcPr>
          <w:p>
            <w:pPr>
              <w:jc w:val="left"/>
            </w:pPr>
            <w:r>
              <w:rPr>
                <w:b w:val="false"/>
                <w:bCs w:val="false"/>
                <w:color w:val="000000"/>
                <w:sz w:val="20"/>
                <w:szCs w:val="20"/>
              </w:rPr>
              <w:t xml:space="preserve">　法人</w:t>
            </w:r>
          </w:p>
        </w:tc>
        <w:tc>
          <w:tcPr>
            <w:tcW w:type="dxa" w:w="1626"/>
            <w:shd w:fill="DCE6F1" w:val="clear"/>
            <w:tcMar>
              <w:top w:type="dxa" w:w="60"/>
              <w:left w:type="dxa" w:w="100"/>
              <w:bottom w:type="dxa" w:w="60"/>
              <w:right w:type="dxa" w:w="100"/>
            </w:tcMar>
          </w:tcPr>
          <w:p>
            <w:pPr>
              <w:jc w:val="left"/>
            </w:pPr>
            <w:r>
              <w:rPr>
                <w:b w:val="false"/>
                <w:bCs w:val="false"/>
                <w:color w:val="000000"/>
                <w:sz w:val="20"/>
                <w:szCs w:val="20"/>
              </w:rPr>
              <w:t xml:space="preserve">10.5%</w:t>
            </w:r>
          </w:p>
        </w:tc>
        <w:tc>
          <w:tcPr>
            <w:tcW w:type="dxa" w:w="1600"/>
            <w:shd w:fill="DCE6F1" w:val="clear"/>
            <w:tcMar>
              <w:top w:type="dxa" w:w="60"/>
              <w:left w:type="dxa" w:w="100"/>
              <w:bottom w:type="dxa" w:w="60"/>
              <w:right w:type="dxa" w:w="100"/>
            </w:tcMar>
          </w:tcPr>
          <w:p>
            <w:pPr>
              <w:jc w:val="left"/>
            </w:pPr>
            <w:r>
              <w:rPr>
                <w:b w:val="false"/>
                <w:bCs w:val="false"/>
                <w:color w:val="000000"/>
                <w:sz w:val="20"/>
                <w:szCs w:val="20"/>
              </w:rPr>
              <w:t xml:space="preserve">11.0%</w:t>
            </w:r>
          </w:p>
        </w:tc>
        <w:tc>
          <w:tcPr>
            <w:tcW w:type="dxa" w:w="1700"/>
            <w:shd w:fill="DCE6F1" w:val="clear"/>
            <w:tcMar>
              <w:top w:type="dxa" w:w="60"/>
              <w:left w:type="dxa" w:w="100"/>
              <w:bottom w:type="dxa" w:w="60"/>
              <w:right w:type="dxa" w:w="100"/>
            </w:tcMar>
          </w:tcPr>
          <w:p>
            <w:pPr>
              <w:jc w:val="left"/>
            </w:pPr>
            <w:r>
              <w:rPr>
                <w:b w:val="false"/>
                <w:bCs w:val="false"/>
                <w:color w:val="000000"/>
                <w:sz w:val="20"/>
                <w:szCs w:val="20"/>
              </w:rPr>
              <w:t xml:space="preserve">+0.5pt</w:t>
            </w:r>
          </w:p>
        </w:tc>
        <w:tc>
          <w:tcPr>
            <w:tcW w:type="dxa" w:w="1700"/>
            <w:shd w:fill="DCE6F1" w:val="clear"/>
            <w:tcMar>
              <w:top w:type="dxa" w:w="60"/>
              <w:left w:type="dxa" w:w="100"/>
              <w:bottom w:type="dxa" w:w="60"/>
              <w:right w:type="dxa" w:w="100"/>
            </w:tcMar>
          </w:tcPr>
          <w:p>
            <w:pPr>
              <w:jc w:val="left"/>
            </w:pPr>
            <w:r>
              <w:rPr>
                <w:b w:val="false"/>
                <w:bCs w:val="false"/>
                <w:color w:val="000000"/>
                <w:sz w:val="20"/>
                <w:szCs w:val="20"/>
              </w:rPr>
              <w:t xml:space="preserve">12.5%（予想）</w:t>
            </w:r>
          </w:p>
        </w:tc>
      </w:tr>
    </w:tbl>
    <w:p>
      <w:pPr>
        <w:spacing w:after="200"/>
      </w:pPr>
    </w:p>
    <w:p>
      <w:pPr>
        <w:spacing w:after="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240"/>
      </w:pPr>
      <w:r>
        <w:rPr>
          <w:i/>
          <w:iCs/>
          <w:color w:val="666666"/>
          <w:sz w:val="18"/>
          <w:szCs w:val="18"/>
        </w:rPr>
        <w:t xml:space="preserve">資料P9：日本セグメントの業績内訳</w:t>
      </w:r>
    </w:p>
    <w:p>
      <w:pPr>
        <w:pStyle w:val="Heading2"/>
        <w:spacing w:after="120" w:before="240"/>
      </w:pPr>
      <w:r>
        <w:t xml:space="preserve">海外セグメント（North America／EMEAL／APAC／GTSS）</w:t>
      </w:r>
    </w:p>
    <w:p>
      <w:pPr>
        <w:pStyle w:val="ListParagraph"/>
        <w:numPr>
          <w:ilvl w:val="0"/>
          <w:numId w:val="1"/>
        </w:numPr>
        <w:spacing w:after="60"/>
      </w:pPr>
      <w:r>
        <w:t xml:space="preserve">受注高：GTSS・EMEALにおける大型案件獲得等により全ユニットで増加（合計8,496億円、+2,493億円）</w:t>
      </w:r>
    </w:p>
    <w:p>
      <w:pPr>
        <w:pStyle w:val="ListParagraph"/>
        <w:numPr>
          <w:ilvl w:val="0"/>
          <w:numId w:val="1"/>
        </w:numPr>
        <w:spacing w:after="60"/>
      </w:pPr>
      <w:r>
        <w:t xml:space="preserve">売上高：EMEALのITサービス事業やNorth Americaのネットワーク機器関連事業の規模拡大等により全ユニットで増収（合計7,921億円、+1,369億円）</w:t>
      </w:r>
    </w:p>
    <w:p>
      <w:pPr>
        <w:pStyle w:val="ListParagraph"/>
        <w:numPr>
          <w:ilvl w:val="0"/>
          <w:numId w:val="1"/>
        </w:numPr>
        <w:spacing w:after="60"/>
      </w:pPr>
      <w:r>
        <w:t xml:space="preserve">Adjusted EBITA：2025年度に売却したデータセンターの非連結化影響等により為替影響除きでは減益（312億円、+1億円）だが、この影響を除くと実質増益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26"/>
        <w:gridCol w:w="1626"/>
        <w:gridCol w:w="1700"/>
        <w:gridCol w:w="1674"/>
      </w:tblGrid>
      <w:tr>
        <w:tc>
          <w:tcPr>
            <w:tcW w:type="dxa" w:w="2400"/>
            <w:shd w:fill="1F3864" w:val="clear"/>
            <w:tcMar>
              <w:top w:type="dxa" w:w="60"/>
              <w:left w:type="dxa" w:w="100"/>
              <w:bottom w:type="dxa" w:w="60"/>
              <w:right w:type="dxa" w:w="100"/>
            </w:tcMar>
          </w:tcPr>
          <w:p>
            <w:pPr>
              <w:jc w:val="left"/>
            </w:pPr>
            <w:r>
              <w:rPr>
                <w:b/>
                <w:bCs/>
                <w:color w:val="FFFFFF"/>
                <w:sz w:val="20"/>
                <w:szCs w:val="20"/>
              </w:rPr>
              <w:t xml:space="preserve">ユニット</w:t>
            </w:r>
          </w:p>
        </w:tc>
        <w:tc>
          <w:tcPr>
            <w:tcW w:type="dxa" w:w="1626"/>
            <w:shd w:fill="1F3864" w:val="clear"/>
            <w:tcMar>
              <w:top w:type="dxa" w:w="60"/>
              <w:left w:type="dxa" w:w="100"/>
              <w:bottom w:type="dxa" w:w="60"/>
              <w:right w:type="dxa" w:w="100"/>
            </w:tcMar>
          </w:tcPr>
          <w:p>
            <w:pPr>
              <w:jc w:val="left"/>
            </w:pPr>
            <w:r>
              <w:rPr>
                <w:b/>
                <w:bCs/>
                <w:color w:val="FFFFFF"/>
                <w:sz w:val="20"/>
                <w:szCs w:val="20"/>
              </w:rPr>
              <w:t xml:space="preserve">2025年度Q1受注高</w:t>
            </w:r>
          </w:p>
        </w:tc>
        <w:tc>
          <w:tcPr>
            <w:tcW w:type="dxa" w:w="1626"/>
            <w:shd w:fill="1F3864" w:val="clear"/>
            <w:tcMar>
              <w:top w:type="dxa" w:w="60"/>
              <w:left w:type="dxa" w:w="100"/>
              <w:bottom w:type="dxa" w:w="60"/>
              <w:right w:type="dxa" w:w="100"/>
            </w:tcMar>
          </w:tcPr>
          <w:p>
            <w:pPr>
              <w:jc w:val="left"/>
            </w:pPr>
            <w:r>
              <w:rPr>
                <w:b/>
                <w:bCs/>
                <w:color w:val="FFFFFF"/>
                <w:sz w:val="20"/>
                <w:szCs w:val="20"/>
              </w:rPr>
              <w:t xml:space="preserve">2026年度Q1受注高</w:t>
            </w:r>
          </w:p>
        </w:tc>
        <w:tc>
          <w:tcPr>
            <w:tcW w:type="dxa" w:w="1700"/>
            <w:shd w:fill="1F3864" w:val="clear"/>
            <w:tcMar>
              <w:top w:type="dxa" w:w="60"/>
              <w:left w:type="dxa" w:w="100"/>
              <w:bottom w:type="dxa" w:w="60"/>
              <w:right w:type="dxa" w:w="100"/>
            </w:tcMar>
          </w:tcPr>
          <w:p>
            <w:pPr>
              <w:jc w:val="left"/>
            </w:pPr>
            <w:r>
              <w:rPr>
                <w:b/>
                <w:bCs/>
                <w:color w:val="FFFFFF"/>
                <w:sz w:val="20"/>
                <w:szCs w:val="20"/>
              </w:rPr>
              <w:t xml:space="preserve">2025年度Q1売上高</w:t>
            </w:r>
          </w:p>
        </w:tc>
        <w:tc>
          <w:tcPr>
            <w:tcW w:type="dxa" w:w="1674"/>
            <w:shd w:fill="1F3864" w:val="clear"/>
            <w:tcMar>
              <w:top w:type="dxa" w:w="60"/>
              <w:left w:type="dxa" w:w="100"/>
              <w:bottom w:type="dxa" w:w="60"/>
              <w:right w:type="dxa" w:w="100"/>
            </w:tcMar>
          </w:tcPr>
          <w:p>
            <w:pPr>
              <w:jc w:val="left"/>
            </w:pPr>
            <w:r>
              <w:rPr>
                <w:b/>
                <w:bCs/>
                <w:color w:val="FFFFFF"/>
                <w:sz w:val="20"/>
                <w:szCs w:val="20"/>
              </w:rPr>
              <w:t xml:space="preserve">2026年度Q1売上高</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North America</w:t>
            </w:r>
          </w:p>
        </w:tc>
        <w:tc>
          <w:tcPr>
            <w:tcW w:type="dxa" w:w="1626"/>
            <w:tcMar>
              <w:top w:type="dxa" w:w="60"/>
              <w:left w:type="dxa" w:w="100"/>
              <w:bottom w:type="dxa" w:w="60"/>
              <w:right w:type="dxa" w:w="100"/>
            </w:tcMar>
          </w:tcPr>
          <w:p>
            <w:pPr>
              <w:jc w:val="left"/>
            </w:pPr>
            <w:r>
              <w:rPr>
                <w:b w:val="false"/>
                <w:bCs w:val="false"/>
                <w:color w:val="000000"/>
                <w:sz w:val="20"/>
                <w:szCs w:val="20"/>
              </w:rPr>
              <w:t xml:space="preserve">1,564億円</w:t>
            </w:r>
          </w:p>
        </w:tc>
        <w:tc>
          <w:tcPr>
            <w:tcW w:type="dxa" w:w="1626"/>
            <w:tcMar>
              <w:top w:type="dxa" w:w="60"/>
              <w:left w:type="dxa" w:w="100"/>
              <w:bottom w:type="dxa" w:w="60"/>
              <w:right w:type="dxa" w:w="100"/>
            </w:tcMar>
          </w:tcPr>
          <w:p>
            <w:pPr>
              <w:jc w:val="left"/>
            </w:pPr>
            <w:r>
              <w:rPr>
                <w:b w:val="false"/>
                <w:bCs w:val="false"/>
                <w:color w:val="000000"/>
                <w:sz w:val="20"/>
                <w:szCs w:val="20"/>
              </w:rPr>
              <w:t xml:space="preserve">1,947億円</w:t>
            </w:r>
          </w:p>
        </w:tc>
        <w:tc>
          <w:tcPr>
            <w:tcW w:type="dxa" w:w="1700"/>
            <w:tcMar>
              <w:top w:type="dxa" w:w="60"/>
              <w:left w:type="dxa" w:w="100"/>
              <w:bottom w:type="dxa" w:w="60"/>
              <w:right w:type="dxa" w:w="100"/>
            </w:tcMar>
          </w:tcPr>
          <w:p>
            <w:pPr>
              <w:jc w:val="left"/>
            </w:pPr>
            <w:r>
              <w:rPr>
                <w:b w:val="false"/>
                <w:bCs w:val="false"/>
                <w:color w:val="000000"/>
                <w:sz w:val="20"/>
                <w:szCs w:val="20"/>
              </w:rPr>
              <w:t xml:space="preserve">1,373億円</w:t>
            </w:r>
          </w:p>
        </w:tc>
        <w:tc>
          <w:tcPr>
            <w:tcW w:type="dxa" w:w="1674"/>
            <w:tcMar>
              <w:top w:type="dxa" w:w="60"/>
              <w:left w:type="dxa" w:w="100"/>
              <w:bottom w:type="dxa" w:w="60"/>
              <w:right w:type="dxa" w:w="100"/>
            </w:tcMar>
          </w:tcPr>
          <w:p>
            <w:pPr>
              <w:jc w:val="left"/>
            </w:pPr>
            <w:r>
              <w:rPr>
                <w:b w:val="false"/>
                <w:bCs w:val="false"/>
                <w:color w:val="000000"/>
                <w:sz w:val="20"/>
                <w:szCs w:val="20"/>
              </w:rPr>
              <w:t xml:space="preserve">1,679億円</w:t>
            </w:r>
          </w:p>
        </w:tc>
      </w:tr>
      <w:tr>
        <w:tc>
          <w:tcPr>
            <w:tcW w:type="dxa" w:w="2400"/>
            <w:shd w:fill="DCE6F1" w:val="clear"/>
            <w:tcMar>
              <w:top w:type="dxa" w:w="60"/>
              <w:left w:type="dxa" w:w="100"/>
              <w:bottom w:type="dxa" w:w="60"/>
              <w:right w:type="dxa" w:w="100"/>
            </w:tcMar>
          </w:tcPr>
          <w:p>
            <w:pPr>
              <w:jc w:val="left"/>
            </w:pPr>
            <w:r>
              <w:rPr>
                <w:b w:val="false"/>
                <w:bCs w:val="false"/>
                <w:color w:val="000000"/>
                <w:sz w:val="20"/>
                <w:szCs w:val="20"/>
              </w:rPr>
              <w:t xml:space="preserve">EMEAL</w:t>
            </w:r>
          </w:p>
        </w:tc>
        <w:tc>
          <w:tcPr>
            <w:tcW w:type="dxa" w:w="1626"/>
            <w:shd w:fill="DCE6F1" w:val="clear"/>
            <w:tcMar>
              <w:top w:type="dxa" w:w="60"/>
              <w:left w:type="dxa" w:w="100"/>
              <w:bottom w:type="dxa" w:w="60"/>
              <w:right w:type="dxa" w:w="100"/>
            </w:tcMar>
          </w:tcPr>
          <w:p>
            <w:pPr>
              <w:jc w:val="left"/>
            </w:pPr>
            <w:r>
              <w:rPr>
                <w:b w:val="false"/>
                <w:bCs w:val="false"/>
                <w:color w:val="000000"/>
                <w:sz w:val="20"/>
                <w:szCs w:val="20"/>
              </w:rPr>
              <w:t xml:space="preserve">2,381億円</w:t>
            </w:r>
          </w:p>
        </w:tc>
        <w:tc>
          <w:tcPr>
            <w:tcW w:type="dxa" w:w="1626"/>
            <w:shd w:fill="DCE6F1" w:val="clear"/>
            <w:tcMar>
              <w:top w:type="dxa" w:w="60"/>
              <w:left w:type="dxa" w:w="100"/>
              <w:bottom w:type="dxa" w:w="60"/>
              <w:right w:type="dxa" w:w="100"/>
            </w:tcMar>
          </w:tcPr>
          <w:p>
            <w:pPr>
              <w:jc w:val="left"/>
            </w:pPr>
            <w:r>
              <w:rPr>
                <w:b w:val="false"/>
                <w:bCs w:val="false"/>
                <w:color w:val="000000"/>
                <w:sz w:val="20"/>
                <w:szCs w:val="20"/>
              </w:rPr>
              <w:t xml:space="preserve">3,359億円</w:t>
            </w:r>
          </w:p>
        </w:tc>
        <w:tc>
          <w:tcPr>
            <w:tcW w:type="dxa" w:w="1700"/>
            <w:shd w:fill="DCE6F1" w:val="clear"/>
            <w:tcMar>
              <w:top w:type="dxa" w:w="60"/>
              <w:left w:type="dxa" w:w="100"/>
              <w:bottom w:type="dxa" w:w="60"/>
              <w:right w:type="dxa" w:w="100"/>
            </w:tcMar>
          </w:tcPr>
          <w:p>
            <w:pPr>
              <w:jc w:val="left"/>
            </w:pPr>
            <w:r>
              <w:rPr>
                <w:b w:val="false"/>
                <w:bCs w:val="false"/>
                <w:color w:val="000000"/>
                <w:sz w:val="20"/>
                <w:szCs w:val="20"/>
              </w:rPr>
              <w:t xml:space="preserve">2,455億円</w:t>
            </w:r>
          </w:p>
        </w:tc>
        <w:tc>
          <w:tcPr>
            <w:tcW w:type="dxa" w:w="1674"/>
            <w:shd w:fill="DCE6F1" w:val="clear"/>
            <w:tcMar>
              <w:top w:type="dxa" w:w="60"/>
              <w:left w:type="dxa" w:w="100"/>
              <w:bottom w:type="dxa" w:w="60"/>
              <w:right w:type="dxa" w:w="100"/>
            </w:tcMar>
          </w:tcPr>
          <w:p>
            <w:pPr>
              <w:jc w:val="left"/>
            </w:pPr>
            <w:r>
              <w:rPr>
                <w:b w:val="false"/>
                <w:bCs w:val="false"/>
                <w:color w:val="000000"/>
                <w:sz w:val="20"/>
                <w:szCs w:val="20"/>
              </w:rPr>
              <w:t xml:space="preserve">2,972億円</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APAC</w:t>
            </w:r>
          </w:p>
        </w:tc>
        <w:tc>
          <w:tcPr>
            <w:tcW w:type="dxa" w:w="1626"/>
            <w:tcMar>
              <w:top w:type="dxa" w:w="60"/>
              <w:left w:type="dxa" w:w="100"/>
              <w:bottom w:type="dxa" w:w="60"/>
              <w:right w:type="dxa" w:w="100"/>
            </w:tcMar>
          </w:tcPr>
          <w:p>
            <w:pPr>
              <w:jc w:val="left"/>
            </w:pPr>
            <w:r>
              <w:rPr>
                <w:b w:val="false"/>
                <w:bCs w:val="false"/>
                <w:color w:val="000000"/>
                <w:sz w:val="20"/>
                <w:szCs w:val="20"/>
              </w:rPr>
              <w:t xml:space="preserve">905億円</w:t>
            </w:r>
          </w:p>
        </w:tc>
        <w:tc>
          <w:tcPr>
            <w:tcW w:type="dxa" w:w="1626"/>
            <w:tcMar>
              <w:top w:type="dxa" w:w="60"/>
              <w:left w:type="dxa" w:w="100"/>
              <w:bottom w:type="dxa" w:w="60"/>
              <w:right w:type="dxa" w:w="100"/>
            </w:tcMar>
          </w:tcPr>
          <w:p>
            <w:pPr>
              <w:jc w:val="left"/>
            </w:pPr>
            <w:r>
              <w:rPr>
                <w:b w:val="false"/>
                <w:bCs w:val="false"/>
                <w:color w:val="000000"/>
                <w:sz w:val="20"/>
                <w:szCs w:val="20"/>
              </w:rPr>
              <w:t xml:space="preserve">1,119億円</w:t>
            </w:r>
          </w:p>
        </w:tc>
        <w:tc>
          <w:tcPr>
            <w:tcW w:type="dxa" w:w="1700"/>
            <w:tcMar>
              <w:top w:type="dxa" w:w="60"/>
              <w:left w:type="dxa" w:w="100"/>
              <w:bottom w:type="dxa" w:w="60"/>
              <w:right w:type="dxa" w:w="100"/>
            </w:tcMar>
          </w:tcPr>
          <w:p>
            <w:pPr>
              <w:jc w:val="left"/>
            </w:pPr>
            <w:r>
              <w:rPr>
                <w:b w:val="false"/>
                <w:bCs w:val="false"/>
                <w:color w:val="000000"/>
                <w:sz w:val="20"/>
                <w:szCs w:val="20"/>
              </w:rPr>
              <w:t xml:space="preserve">821億円</w:t>
            </w:r>
          </w:p>
        </w:tc>
        <w:tc>
          <w:tcPr>
            <w:tcW w:type="dxa" w:w="1674"/>
            <w:tcMar>
              <w:top w:type="dxa" w:w="60"/>
              <w:left w:type="dxa" w:w="100"/>
              <w:bottom w:type="dxa" w:w="60"/>
              <w:right w:type="dxa" w:w="100"/>
            </w:tcMar>
          </w:tcPr>
          <w:p>
            <w:pPr>
              <w:jc w:val="left"/>
            </w:pPr>
            <w:r>
              <w:rPr>
                <w:b w:val="false"/>
                <w:bCs w:val="false"/>
                <w:color w:val="000000"/>
                <w:sz w:val="20"/>
                <w:szCs w:val="20"/>
              </w:rPr>
              <w:t xml:space="preserve">966億円</w:t>
            </w:r>
          </w:p>
        </w:tc>
      </w:tr>
      <w:tr>
        <w:tc>
          <w:tcPr>
            <w:tcW w:type="dxa" w:w="2400"/>
            <w:shd w:fill="DCE6F1" w:val="clear"/>
            <w:tcMar>
              <w:top w:type="dxa" w:w="60"/>
              <w:left w:type="dxa" w:w="100"/>
              <w:bottom w:type="dxa" w:w="60"/>
              <w:right w:type="dxa" w:w="100"/>
            </w:tcMar>
          </w:tcPr>
          <w:p>
            <w:pPr>
              <w:jc w:val="left"/>
            </w:pPr>
            <w:r>
              <w:rPr>
                <w:b w:val="false"/>
                <w:bCs w:val="false"/>
                <w:color w:val="000000"/>
                <w:sz w:val="20"/>
                <w:szCs w:val="20"/>
              </w:rPr>
              <w:t xml:space="preserve">GTSS</w:t>
            </w:r>
          </w:p>
        </w:tc>
        <w:tc>
          <w:tcPr>
            <w:tcW w:type="dxa" w:w="1626"/>
            <w:shd w:fill="DCE6F1" w:val="clear"/>
            <w:tcMar>
              <w:top w:type="dxa" w:w="60"/>
              <w:left w:type="dxa" w:w="100"/>
              <w:bottom w:type="dxa" w:w="60"/>
              <w:right w:type="dxa" w:w="100"/>
            </w:tcMar>
          </w:tcPr>
          <w:p>
            <w:pPr>
              <w:jc w:val="left"/>
            </w:pPr>
            <w:r>
              <w:rPr>
                <w:b w:val="false"/>
                <w:bCs w:val="false"/>
                <w:color w:val="000000"/>
                <w:sz w:val="20"/>
                <w:szCs w:val="20"/>
              </w:rPr>
              <w:t xml:space="preserve">1,154億円</w:t>
            </w:r>
          </w:p>
        </w:tc>
        <w:tc>
          <w:tcPr>
            <w:tcW w:type="dxa" w:w="1626"/>
            <w:shd w:fill="DCE6F1" w:val="clear"/>
            <w:tcMar>
              <w:top w:type="dxa" w:w="60"/>
              <w:left w:type="dxa" w:w="100"/>
              <w:bottom w:type="dxa" w:w="60"/>
              <w:right w:type="dxa" w:w="100"/>
            </w:tcMar>
          </w:tcPr>
          <w:p>
            <w:pPr>
              <w:jc w:val="left"/>
            </w:pPr>
            <w:r>
              <w:rPr>
                <w:b w:val="false"/>
                <w:bCs w:val="false"/>
                <w:color w:val="000000"/>
                <w:sz w:val="20"/>
                <w:szCs w:val="20"/>
              </w:rPr>
              <w:t xml:space="preserve">2,044億円</w:t>
            </w:r>
          </w:p>
        </w:tc>
        <w:tc>
          <w:tcPr>
            <w:tcW w:type="dxa" w:w="1700"/>
            <w:shd w:fill="DCE6F1" w:val="clear"/>
            <w:tcMar>
              <w:top w:type="dxa" w:w="60"/>
              <w:left w:type="dxa" w:w="100"/>
              <w:bottom w:type="dxa" w:w="60"/>
              <w:right w:type="dxa" w:w="100"/>
            </w:tcMar>
          </w:tcPr>
          <w:p>
            <w:pPr>
              <w:jc w:val="left"/>
            </w:pPr>
            <w:r>
              <w:rPr>
                <w:b w:val="false"/>
                <w:bCs w:val="false"/>
                <w:color w:val="000000"/>
                <w:sz w:val="20"/>
                <w:szCs w:val="20"/>
              </w:rPr>
              <w:t xml:space="preserve">2,120億円</w:t>
            </w:r>
          </w:p>
        </w:tc>
        <w:tc>
          <w:tcPr>
            <w:tcW w:type="dxa" w:w="1674"/>
            <w:shd w:fill="DCE6F1" w:val="clear"/>
            <w:tcMar>
              <w:top w:type="dxa" w:w="60"/>
              <w:left w:type="dxa" w:w="100"/>
              <w:bottom w:type="dxa" w:w="60"/>
              <w:right w:type="dxa" w:w="100"/>
            </w:tcMar>
          </w:tcPr>
          <w:p>
            <w:pPr>
              <w:jc w:val="left"/>
            </w:pPr>
            <w:r>
              <w:rPr>
                <w:b w:val="false"/>
                <w:bCs w:val="false"/>
                <w:color w:val="000000"/>
                <w:sz w:val="20"/>
                <w:szCs w:val="20"/>
              </w:rPr>
              <w:t xml:space="preserve">2,450億円</w:t>
            </w:r>
          </w:p>
        </w:tc>
      </w:tr>
    </w:tbl>
    <w:p>
      <w:pPr>
        <w:pStyle w:val="Heading2"/>
        <w:spacing w:after="120" w:before="240"/>
      </w:pPr>
      <w:r>
        <w:t xml:space="preserve">データセンター事業（海外セグメント内）</w:t>
      </w:r>
    </w:p>
    <w:p>
      <w:pPr>
        <w:pStyle w:val="ListParagraph"/>
        <w:numPr>
          <w:ilvl w:val="0"/>
          <w:numId w:val="1"/>
        </w:numPr>
        <w:spacing w:after="60"/>
      </w:pPr>
      <w:r>
        <w:t xml:space="preserve">第1四半期投資実績：634百万ドル（1,012億円）。通期計画3,322百万ドル（5,050億円）に対し順調に進捗</w:t>
      </w:r>
    </w:p>
    <w:p>
      <w:pPr>
        <w:pStyle w:val="ListParagraph"/>
        <w:numPr>
          <w:ilvl w:val="0"/>
          <w:numId w:val="1"/>
        </w:numPr>
        <w:spacing w:after="60"/>
      </w:pPr>
      <w:r>
        <w:t xml:space="preserve">売上高733百万ドル（1,169億円、対前年増収）。EBITDAは2025年度に売却したデータセンターの非連結化影響（28百万ドル）等により244百万ドル（389億円）へ減少</w:t>
      </w:r>
    </w:p>
    <w:p>
      <w:pPr>
        <w:pStyle w:val="ListParagraph"/>
        <w:numPr>
          <w:ilvl w:val="0"/>
          <w:numId w:val="1"/>
        </w:numPr>
        <w:spacing w:after="60"/>
      </w:pPr>
      <w:r>
        <w:t xml:space="preserve">EBITDAマージンは対前年で33%（前年22%からは改善しているが、一過性収入の減少や利益率の低い初期構築工事の売上構成比が高かったことが影響）</w:t>
      </w:r>
    </w:p>
    <w:p>
      <w:pPr>
        <w:pStyle w:val="ListParagraph"/>
        <w:numPr>
          <w:ilvl w:val="0"/>
          <w:numId w:val="1"/>
        </w:numPr>
        <w:spacing w:after="60"/>
      </w:pPr>
      <w:r>
        <w:t xml:space="preserve">サービス提供状況：2026年6月末実績 約1,630MW（North America675／EMEA430／India425／APAC100） → 2027年3月末見込み 約2,040MW（+約410MW）</w:t>
      </w:r>
    </w:p>
    <w:p>
      <w:pPr>
        <w:spacing w:after="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after="240"/>
      </w:pPr>
      <w:r>
        <w:rPr>
          <w:i/>
          <w:iCs/>
          <w:color w:val="666666"/>
          <w:sz w:val="18"/>
          <w:szCs w:val="18"/>
        </w:rPr>
        <w:t xml:space="preserve">資料P11：データセンター事業の投資・収支等の状況</w:t>
      </w:r>
    </w:p>
    <w:p>
      <w:r>
        <w:br w:type="page"/>
      </w:r>
    </w:p>
    <w:p>
      <w:pPr>
        <w:pStyle w:val="Heading1"/>
        <w:spacing w:after="150" w:before="300"/>
      </w:pPr>
      <w:r>
        <w:t xml:space="preserve">4. 主な事業トピックス（AI関連4件）</w:t>
      </w:r>
    </w:p>
    <w:p>
      <w:pPr>
        <w:spacing w:after="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05150"/>
                    </a:xfrm>
                    <a:prstGeom prst="rect">
                      <a:avLst/>
                    </a:prstGeom>
                  </pic:spPr>
                </pic:pic>
              </a:graphicData>
            </a:graphic>
          </wp:inline>
        </w:drawing>
      </w:r>
    </w:p>
    <w:p>
      <w:pPr>
        <w:spacing w:after="240"/>
      </w:pPr>
      <w:r>
        <w:rPr>
          <w:i/>
          <w:iCs/>
          <w:color w:val="666666"/>
          <w:sz w:val="18"/>
          <w:szCs w:val="18"/>
        </w:rPr>
        <w:t xml:space="preserve">資料P13：Quality Growthの実現に向けた2つの注力領域</w:t>
      </w:r>
    </w:p>
    <w:p>
      <w:pPr>
        <w:pStyle w:val="Heading2"/>
        <w:spacing w:after="120" w:before="240"/>
      </w:pPr>
      <w:r>
        <w:t xml:space="preserve">①NTT DATA AIVista コアAIプラットフォーム提供開始</w:t>
      </w:r>
    </w:p>
    <w:p>
      <w:pPr>
        <w:pStyle w:val="ListParagraph"/>
        <w:numPr>
          <w:ilvl w:val="0"/>
          <w:numId w:val="1"/>
        </w:numPr>
        <w:spacing w:after="60"/>
      </w:pPr>
      <w:r>
        <w:t xml:space="preserve">業界特化型AIエージェントの実現に向けたコアAIプラットフォームの提供を開始し、保険業界における欧米の複数顧客から案件を受注</w:t>
      </w:r>
    </w:p>
    <w:p>
      <w:pPr>
        <w:pStyle w:val="ListParagraph"/>
        <w:numPr>
          <w:ilvl w:val="0"/>
          <w:numId w:val="1"/>
        </w:numPr>
        <w:spacing w:after="60"/>
      </w:pPr>
      <w:r>
        <w:t xml:space="preserve">海外：欧米の複数顧客から受注、製造業等の他業界への展開を企画中／国内：銀行・保険業界への展開を推進中</w:t>
      </w:r>
    </w:p>
    <w:p>
      <w:pPr>
        <w:pStyle w:val="Heading2"/>
        <w:spacing w:after="120" w:before="240"/>
      </w:pPr>
      <w:r>
        <w:t xml:space="preserve">②フロンティアAIによるサイバーリスク対応サービスを提供開始</w:t>
      </w:r>
    </w:p>
    <w:p>
      <w:pPr>
        <w:pStyle w:val="ListParagraph"/>
        <w:numPr>
          <w:ilvl w:val="0"/>
          <w:numId w:val="1"/>
        </w:numPr>
        <w:spacing w:after="60"/>
      </w:pPr>
      <w:r>
        <w:t xml:space="preserve">複数のフロンティアAI（その時点で最先端の能力を有する汎用AI）の検証知見と10,000システム以上の運用実績を活用し、脆弱性対応（発見・分析〜継続対応まで6段階）を一貫支援</w:t>
      </w:r>
    </w:p>
    <w:p>
      <w:pPr>
        <w:pStyle w:val="ListParagraph"/>
        <w:numPr>
          <w:ilvl w:val="0"/>
          <w:numId w:val="1"/>
        </w:numPr>
        <w:spacing w:after="60"/>
      </w:pPr>
      <w:r>
        <w:t xml:space="preserve">NTTドコモビジネスと連携したフルスタックのセキュリティ知見による分析も特徴</w:t>
      </w:r>
    </w:p>
    <w:p>
      <w:pPr>
        <w:pStyle w:val="Heading2"/>
        <w:spacing w:after="120" w:before="240"/>
      </w:pPr>
      <w:r>
        <w:t xml:space="preserve">③NTTマーケティングアクトProCX合弁会社化（2026年10月予定）</w:t>
      </w:r>
    </w:p>
    <w:p>
      <w:pPr>
        <w:pStyle w:val="ListParagraph"/>
        <w:numPr>
          <w:ilvl w:val="0"/>
          <w:numId w:val="1"/>
        </w:numPr>
        <w:spacing w:after="60"/>
      </w:pPr>
      <w:r>
        <w:t xml:space="preserve">NTTデータ（AI技術・コンサル力・システム構築力）×NTT西日本グループ（顧客接点・コンタクトセンター・BPOノウハウ）</w:t>
      </w:r>
    </w:p>
    <w:p>
      <w:pPr>
        <w:pStyle w:val="ListParagraph"/>
        <w:numPr>
          <w:ilvl w:val="0"/>
          <w:numId w:val="1"/>
        </w:numPr>
        <w:spacing w:after="60"/>
      </w:pPr>
      <w:r>
        <w:t xml:space="preserve">BPS（ビジネスプロセスサービス）領域のケイパビリティを強化し、約1,000億円規模のBPS関連事業への拡大を目指す。AIプラットフォーム「LITRON®」を中核に次世代BPS運営、顧客体験向上・顧客生涯価値（LTV）最大化・コスト最適化を実現</w:t>
      </w:r>
    </w:p>
    <w:p>
      <w:pPr>
        <w:pStyle w:val="Heading2"/>
        <w:spacing w:after="120" w:before="240"/>
      </w:pPr>
      <w:r>
        <w:t xml:space="preserve">④米国WinWire Technologies買収</w:t>
      </w:r>
    </w:p>
    <w:p>
      <w:pPr>
        <w:pStyle w:val="ListParagraph"/>
        <w:numPr>
          <w:ilvl w:val="0"/>
          <w:numId w:val="1"/>
        </w:numPr>
        <w:spacing w:after="60"/>
      </w:pPr>
      <w:r>
        <w:t xml:space="preserve">Microsoft Azureに特化したAI・データ・クラウド企業（1,000名超の専門人材）を買収し、AI・データ・クラウド領域のケイパビリティを拡充</w:t>
      </w:r>
    </w:p>
    <w:p>
      <w:pPr>
        <w:pStyle w:val="ListParagraph"/>
        <w:numPr>
          <w:ilvl w:val="0"/>
          <w:numId w:val="1"/>
        </w:numPr>
        <w:spacing w:after="60"/>
      </w:pPr>
      <w:r>
        <w:t xml:space="preserve">北米を中心とした海外事業拡大（AI業務変革ビジネスの成長）を加速する狙い</w:t>
      </w:r>
    </w:p>
    <w:p>
      <w:pPr>
        <w:pStyle w:val="Heading1"/>
        <w:spacing w:after="150" w:before="300"/>
      </w:pPr>
      <w:r>
        <w:t xml:space="preserve">5. 連結業績の詳細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gridCol w:w="726"/>
      </w:tblGrid>
      <w:tr>
        <w:tc>
          <w:tcPr>
            <w:tcW w:type="dxa" w:w="2600"/>
            <w:shd w:fill="1F3864" w:val="clear"/>
            <w:tcMar>
              <w:top w:type="dxa" w:w="60"/>
              <w:left w:type="dxa" w:w="100"/>
              <w:bottom w:type="dxa" w:w="60"/>
              <w:right w:type="dxa" w:w="100"/>
            </w:tcMar>
          </w:tcPr>
          <w:p>
            <w:pPr>
              <w:jc w:val="left"/>
            </w:pPr>
            <w:r>
              <w:rPr>
                <w:b/>
                <w:bCs/>
                <w:color w:val="FFFFFF"/>
                <w:sz w:val="20"/>
                <w:szCs w:val="20"/>
              </w:rPr>
              <w:t xml:space="preserve">項目</w:t>
            </w:r>
          </w:p>
        </w:tc>
        <w:tc>
          <w:tcPr>
            <w:tcW w:type="dxa" w:w="1900"/>
            <w:shd w:fill="1F3864" w:val="clear"/>
            <w:tcMar>
              <w:top w:type="dxa" w:w="60"/>
              <w:left w:type="dxa" w:w="100"/>
              <w:bottom w:type="dxa" w:w="60"/>
              <w:right w:type="dxa" w:w="100"/>
            </w:tcMar>
          </w:tcPr>
          <w:p>
            <w:pPr>
              <w:jc w:val="left"/>
            </w:pPr>
            <w:r>
              <w:rPr>
                <w:b/>
                <w:bCs/>
                <w:color w:val="FFFFFF"/>
                <w:sz w:val="20"/>
                <w:szCs w:val="20"/>
              </w:rPr>
              <w:t xml:space="preserve">2025年度実績</w:t>
            </w:r>
          </w:p>
        </w:tc>
        <w:tc>
          <w:tcPr>
            <w:tcW w:type="dxa" w:w="1900"/>
            <w:shd w:fill="1F3864" w:val="clear"/>
            <w:tcMar>
              <w:top w:type="dxa" w:w="60"/>
              <w:left w:type="dxa" w:w="100"/>
              <w:bottom w:type="dxa" w:w="60"/>
              <w:right w:type="dxa" w:w="100"/>
            </w:tcMar>
          </w:tcPr>
          <w:p>
            <w:pPr>
              <w:jc w:val="left"/>
            </w:pPr>
            <w:r>
              <w:rPr>
                <w:b/>
                <w:bCs/>
                <w:color w:val="FFFFFF"/>
                <w:sz w:val="20"/>
                <w:szCs w:val="20"/>
              </w:rPr>
              <w:t xml:space="preserve">2026年度予想</w:t>
            </w:r>
          </w:p>
        </w:tc>
        <w:tc>
          <w:tcPr>
            <w:tcW w:type="dxa" w:w="1900"/>
            <w:shd w:fill="1F3864" w:val="clear"/>
            <w:tcMar>
              <w:top w:type="dxa" w:w="60"/>
              <w:left w:type="dxa" w:w="100"/>
              <w:bottom w:type="dxa" w:w="60"/>
              <w:right w:type="dxa" w:w="100"/>
            </w:tcMar>
          </w:tcPr>
          <w:p>
            <w:pPr>
              <w:jc w:val="left"/>
            </w:pPr>
            <w:r>
              <w:rPr>
                <w:b/>
                <w:bCs/>
                <w:color w:val="FFFFFF"/>
                <w:sz w:val="20"/>
                <w:szCs w:val="20"/>
              </w:rPr>
              <w:t xml:space="preserve">対前年比</w:t>
            </w:r>
          </w:p>
        </w:tc>
        <w:tc>
          <w:tcPr>
            <w:tcW w:type="dxa" w:w="726"/>
            <w:shd w:fill="1F3864" w:val="clear"/>
            <w:tcMar>
              <w:top w:type="dxa" w:w="60"/>
              <w:left w:type="dxa" w:w="100"/>
              <w:bottom w:type="dxa" w:w="60"/>
              <w:right w:type="dxa" w:w="100"/>
            </w:tcMar>
          </w:tcPr>
          <w:p>
            <w:pPr>
              <w:jc w:val="left"/>
            </w:pPr>
            <w:r>
              <w:rPr>
                <w:b/>
                <w:bCs/>
                <w:color w:val="FFFFFF"/>
                <w:sz w:val="20"/>
                <w:szCs w:val="20"/>
              </w:rPr>
              <w:t xml:space="preserve"/>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売上高</w:t>
            </w:r>
          </w:p>
        </w:tc>
        <w:tc>
          <w:tcPr>
            <w:tcW w:type="dxa" w:w="1900"/>
            <w:tcMar>
              <w:top w:type="dxa" w:w="60"/>
              <w:left w:type="dxa" w:w="100"/>
              <w:bottom w:type="dxa" w:w="60"/>
              <w:right w:type="dxa" w:w="100"/>
            </w:tcMar>
          </w:tcPr>
          <w:p>
            <w:pPr>
              <w:jc w:val="left"/>
            </w:pPr>
            <w:r>
              <w:rPr>
                <w:b w:val="false"/>
                <w:bCs w:val="false"/>
                <w:color w:val="000000"/>
                <w:sz w:val="20"/>
                <w:szCs w:val="20"/>
              </w:rPr>
              <w:t xml:space="preserve">50,046億円</w:t>
            </w:r>
          </w:p>
        </w:tc>
        <w:tc>
          <w:tcPr>
            <w:tcW w:type="dxa" w:w="1900"/>
            <w:tcMar>
              <w:top w:type="dxa" w:w="60"/>
              <w:left w:type="dxa" w:w="100"/>
              <w:bottom w:type="dxa" w:w="60"/>
              <w:right w:type="dxa" w:w="100"/>
            </w:tcMar>
          </w:tcPr>
          <w:p>
            <w:pPr>
              <w:jc w:val="left"/>
            </w:pPr>
            <w:r>
              <w:rPr>
                <w:b w:val="false"/>
                <w:bCs w:val="false"/>
                <w:color w:val="000000"/>
                <w:sz w:val="20"/>
                <w:szCs w:val="20"/>
              </w:rPr>
              <w:t xml:space="preserve">51,900億円</w:t>
            </w:r>
          </w:p>
        </w:tc>
        <w:tc>
          <w:tcPr>
            <w:tcW w:type="dxa" w:w="1900"/>
            <w:tcMar>
              <w:top w:type="dxa" w:w="60"/>
              <w:left w:type="dxa" w:w="100"/>
              <w:bottom w:type="dxa" w:w="60"/>
              <w:right w:type="dxa" w:w="100"/>
            </w:tcMar>
          </w:tcPr>
          <w:p>
            <w:pPr>
              <w:jc w:val="left"/>
            </w:pPr>
            <w:r>
              <w:rPr>
                <w:b w:val="false"/>
                <w:bCs w:val="false"/>
                <w:color w:val="000000"/>
                <w:sz w:val="20"/>
                <w:szCs w:val="20"/>
              </w:rPr>
              <w:t xml:space="preserve">+1,854億円</w:t>
            </w:r>
          </w:p>
        </w:tc>
        <w:tc>
          <w:tcPr>
            <w:tcW w:type="dxa" w:w="726"/>
            <w:tcMar>
              <w:top w:type="dxa" w:w="60"/>
              <w:left w:type="dxa" w:w="100"/>
              <w:bottom w:type="dxa" w:w="60"/>
              <w:right w:type="dxa" w:w="100"/>
            </w:tcMar>
          </w:tcPr>
          <w:p>
            <w:pPr>
              <w:jc w:val="left"/>
            </w:pPr>
            <w:r>
              <w:rPr>
                <w:b w:val="false"/>
                <w:bCs w:val="false"/>
                <w:color w:val="000000"/>
                <w:sz w:val="20"/>
                <w:szCs w:val="20"/>
              </w:rPr>
              <w:t xml:space="preserve"/>
            </w:r>
          </w:p>
        </w:tc>
      </w:tr>
      <w:tr>
        <w:tc>
          <w:tcPr>
            <w:tcW w:type="dxa" w:w="2600"/>
            <w:shd w:fill="DCE6F1" w:val="clear"/>
            <w:tcMar>
              <w:top w:type="dxa" w:w="60"/>
              <w:left w:type="dxa" w:w="100"/>
              <w:bottom w:type="dxa" w:w="60"/>
              <w:right w:type="dxa" w:w="100"/>
            </w:tcMar>
          </w:tcPr>
          <w:p>
            <w:pPr>
              <w:jc w:val="left"/>
            </w:pPr>
            <w:r>
              <w:rPr>
                <w:b w:val="false"/>
                <w:bCs w:val="false"/>
                <w:color w:val="000000"/>
                <w:sz w:val="20"/>
                <w:szCs w:val="20"/>
              </w:rPr>
              <w:t xml:space="preserve">営業利益（利益率）</w:t>
            </w:r>
          </w:p>
        </w:tc>
        <w:tc>
          <w:tcPr>
            <w:tcW w:type="dxa" w:w="1900"/>
            <w:shd w:fill="DCE6F1" w:val="clear"/>
            <w:tcMar>
              <w:top w:type="dxa" w:w="60"/>
              <w:left w:type="dxa" w:w="100"/>
              <w:bottom w:type="dxa" w:w="60"/>
              <w:right w:type="dxa" w:w="100"/>
            </w:tcMar>
          </w:tcPr>
          <w:p>
            <w:pPr>
              <w:jc w:val="left"/>
            </w:pPr>
            <w:r>
              <w:rPr>
                <w:b w:val="false"/>
                <w:bCs w:val="false"/>
                <w:color w:val="000000"/>
                <w:sz w:val="20"/>
                <w:szCs w:val="20"/>
              </w:rPr>
              <w:t xml:space="preserve">4,882億円（9.8%）</w:t>
            </w:r>
          </w:p>
        </w:tc>
        <w:tc>
          <w:tcPr>
            <w:tcW w:type="dxa" w:w="1900"/>
            <w:shd w:fill="DCE6F1" w:val="clear"/>
            <w:tcMar>
              <w:top w:type="dxa" w:w="60"/>
              <w:left w:type="dxa" w:w="100"/>
              <w:bottom w:type="dxa" w:w="60"/>
              <w:right w:type="dxa" w:w="100"/>
            </w:tcMar>
          </w:tcPr>
          <w:p>
            <w:pPr>
              <w:jc w:val="left"/>
            </w:pPr>
            <w:r>
              <w:rPr>
                <w:b w:val="false"/>
                <w:bCs w:val="false"/>
                <w:color w:val="000000"/>
                <w:sz w:val="20"/>
                <w:szCs w:val="20"/>
              </w:rPr>
              <w:t xml:space="preserve">4,700億円（9.1%）</w:t>
            </w:r>
          </w:p>
        </w:tc>
        <w:tc>
          <w:tcPr>
            <w:tcW w:type="dxa" w:w="1900"/>
            <w:shd w:fill="DCE6F1" w:val="clear"/>
            <w:tcMar>
              <w:top w:type="dxa" w:w="60"/>
              <w:left w:type="dxa" w:w="100"/>
              <w:bottom w:type="dxa" w:w="60"/>
              <w:right w:type="dxa" w:w="100"/>
            </w:tcMar>
          </w:tcPr>
          <w:p>
            <w:pPr>
              <w:jc w:val="left"/>
            </w:pPr>
            <w:r>
              <w:rPr>
                <w:b w:val="false"/>
                <w:bCs w:val="false"/>
                <w:color w:val="000000"/>
                <w:sz w:val="20"/>
                <w:szCs w:val="20"/>
              </w:rPr>
              <w:t xml:space="preserve">▲182億円（▲0.7pt）</w:t>
            </w:r>
          </w:p>
        </w:tc>
        <w:tc>
          <w:tcPr>
            <w:tcW w:type="dxa" w:w="726"/>
            <w:shd w:fill="DCE6F1"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四半期利益（当社株主）</w:t>
            </w:r>
          </w:p>
        </w:tc>
        <w:tc>
          <w:tcPr>
            <w:tcW w:type="dxa" w:w="1900"/>
            <w:tcMar>
              <w:top w:type="dxa" w:w="60"/>
              <w:left w:type="dxa" w:w="100"/>
              <w:bottom w:type="dxa" w:w="60"/>
              <w:right w:type="dxa" w:w="100"/>
            </w:tcMar>
          </w:tcPr>
          <w:p>
            <w:pPr>
              <w:jc w:val="left"/>
            </w:pPr>
            <w:r>
              <w:rPr>
                <w:b w:val="false"/>
                <w:bCs w:val="false"/>
                <w:color w:val="000000"/>
                <w:sz w:val="20"/>
                <w:szCs w:val="20"/>
              </w:rPr>
              <w:t xml:space="preserve">2,014億円</w:t>
            </w:r>
          </w:p>
        </w:tc>
        <w:tc>
          <w:tcPr>
            <w:tcW w:type="dxa" w:w="1900"/>
            <w:tcMar>
              <w:top w:type="dxa" w:w="60"/>
              <w:left w:type="dxa" w:w="100"/>
              <w:bottom w:type="dxa" w:w="60"/>
              <w:right w:type="dxa" w:w="100"/>
            </w:tcMar>
          </w:tcPr>
          <w:p>
            <w:pPr>
              <w:jc w:val="left"/>
            </w:pPr>
            <w:r>
              <w:rPr>
                <w:b w:val="false"/>
                <w:bCs w:val="false"/>
                <w:color w:val="000000"/>
                <w:sz w:val="20"/>
                <w:szCs w:val="20"/>
              </w:rPr>
              <w:t xml:space="preserve">1,910億円</w:t>
            </w:r>
          </w:p>
        </w:tc>
        <w:tc>
          <w:tcPr>
            <w:tcW w:type="dxa" w:w="1900"/>
            <w:tcMar>
              <w:top w:type="dxa" w:w="60"/>
              <w:left w:type="dxa" w:w="100"/>
              <w:bottom w:type="dxa" w:w="60"/>
              <w:right w:type="dxa" w:w="100"/>
            </w:tcMar>
          </w:tcPr>
          <w:p>
            <w:pPr>
              <w:jc w:val="left"/>
            </w:pPr>
            <w:r>
              <w:rPr>
                <w:b w:val="false"/>
                <w:bCs w:val="false"/>
                <w:color w:val="000000"/>
                <w:sz w:val="20"/>
                <w:szCs w:val="20"/>
              </w:rPr>
              <w:t xml:space="preserve">▲104億円</w:t>
            </w:r>
          </w:p>
        </w:tc>
        <w:tc>
          <w:tcPr>
            <w:tcW w:type="dxa" w:w="726"/>
            <w:tcMar>
              <w:top w:type="dxa" w:w="60"/>
              <w:left w:type="dxa" w:w="100"/>
              <w:bottom w:type="dxa" w:w="60"/>
              <w:right w:type="dxa" w:w="100"/>
            </w:tcMar>
          </w:tcPr>
          <w:p>
            <w:pPr>
              <w:jc w:val="left"/>
            </w:pPr>
            <w:r>
              <w:rPr>
                <w:b w:val="false"/>
                <w:bCs w:val="false"/>
                <w:color w:val="000000"/>
                <w:sz w:val="20"/>
                <w:szCs w:val="20"/>
              </w:rPr>
              <w:t xml:space="preserve"/>
            </w:r>
          </w:p>
        </w:tc>
      </w:tr>
      <w:tr>
        <w:tc>
          <w:tcPr>
            <w:tcW w:type="dxa" w:w="2600"/>
            <w:shd w:fill="DCE6F1" w:val="clear"/>
            <w:tcMar>
              <w:top w:type="dxa" w:w="60"/>
              <w:left w:type="dxa" w:w="100"/>
              <w:bottom w:type="dxa" w:w="60"/>
              <w:right w:type="dxa" w:w="100"/>
            </w:tcMar>
          </w:tcPr>
          <w:p>
            <w:pPr>
              <w:jc w:val="left"/>
            </w:pPr>
            <w:r>
              <w:rPr>
                <w:b w:val="false"/>
                <w:bCs w:val="false"/>
                <w:color w:val="000000"/>
                <w:sz w:val="20"/>
                <w:szCs w:val="20"/>
              </w:rPr>
              <w:t xml:space="preserve">設備投資</w:t>
            </w:r>
          </w:p>
        </w:tc>
        <w:tc>
          <w:tcPr>
            <w:tcW w:type="dxa" w:w="1900"/>
            <w:shd w:fill="DCE6F1" w:val="clear"/>
            <w:tcMar>
              <w:top w:type="dxa" w:w="60"/>
              <w:left w:type="dxa" w:w="100"/>
              <w:bottom w:type="dxa" w:w="60"/>
              <w:right w:type="dxa" w:w="100"/>
            </w:tcMar>
          </w:tcPr>
          <w:p>
            <w:pPr>
              <w:jc w:val="left"/>
            </w:pPr>
            <w:r>
              <w:rPr>
                <w:b w:val="false"/>
                <w:bCs w:val="false"/>
                <w:color w:val="000000"/>
                <w:sz w:val="20"/>
                <w:szCs w:val="20"/>
              </w:rPr>
              <w:t xml:space="preserve">6,358億円</w:t>
            </w:r>
          </w:p>
        </w:tc>
        <w:tc>
          <w:tcPr>
            <w:tcW w:type="dxa" w:w="1900"/>
            <w:shd w:fill="DCE6F1" w:val="clear"/>
            <w:tcMar>
              <w:top w:type="dxa" w:w="60"/>
              <w:left w:type="dxa" w:w="100"/>
              <w:bottom w:type="dxa" w:w="60"/>
              <w:right w:type="dxa" w:w="100"/>
            </w:tcMar>
          </w:tcPr>
          <w:p>
            <w:pPr>
              <w:jc w:val="left"/>
            </w:pPr>
            <w:r>
              <w:rPr>
                <w:b w:val="false"/>
                <w:bCs w:val="false"/>
                <w:color w:val="000000"/>
                <w:sz w:val="20"/>
                <w:szCs w:val="20"/>
              </w:rPr>
              <w:t xml:space="preserve">8,040億円</w:t>
            </w:r>
          </w:p>
        </w:tc>
        <w:tc>
          <w:tcPr>
            <w:tcW w:type="dxa" w:w="1900"/>
            <w:shd w:fill="DCE6F1" w:val="clear"/>
            <w:tcMar>
              <w:top w:type="dxa" w:w="60"/>
              <w:left w:type="dxa" w:w="100"/>
              <w:bottom w:type="dxa" w:w="60"/>
              <w:right w:type="dxa" w:w="100"/>
            </w:tcMar>
          </w:tcPr>
          <w:p>
            <w:pPr>
              <w:jc w:val="left"/>
            </w:pPr>
            <w:r>
              <w:rPr>
                <w:b w:val="false"/>
                <w:bCs w:val="false"/>
                <w:color w:val="000000"/>
                <w:sz w:val="20"/>
                <w:szCs w:val="20"/>
              </w:rPr>
              <w:t xml:space="preserve">+1,682億円</w:t>
            </w:r>
          </w:p>
        </w:tc>
        <w:tc>
          <w:tcPr>
            <w:tcW w:type="dxa" w:w="726"/>
            <w:shd w:fill="DCE6F1" w:val="clear"/>
            <w:tcMar>
              <w:top w:type="dxa" w:w="60"/>
              <w:left w:type="dxa" w:w="100"/>
              <w:bottom w:type="dxa" w:w="60"/>
              <w:right w:type="dxa" w:w="100"/>
            </w:tcMar>
          </w:tcPr>
          <w:p>
            <w:pPr>
              <w:jc w:val="left"/>
            </w:pPr>
            <w:r>
              <w:rPr>
                <w:b w:val="false"/>
                <w:bCs w:val="false"/>
                <w:color w:val="000000"/>
                <w:sz w:val="20"/>
                <w:szCs w:val="20"/>
              </w:rPr>
              <w:t xml:space="preserve"/>
            </w:r>
          </w:p>
        </w:tc>
      </w:tr>
    </w:tbl>
    <w:p>
      <w:pPr>
        <w:spacing w:after="120"/>
      </w:pPr>
    </w:p>
    <w:p>
      <w:pPr>
        <w:spacing w:after="120"/>
      </w:pPr>
      <w:r>
        <w:rPr>
          <w:i/>
          <w:iCs/>
          <w:color w:val="666666"/>
          <w:sz w:val="18"/>
          <w:szCs w:val="18"/>
        </w:rPr>
        <w:t xml:space="preserve">※2026年度は営業利益の反動減を見込む計画。2025年度はデータセンターのREITへの譲渡益（一過性）が営業利益を押し上げていたため、2026年度はその反動で営業利益が前年比で減少する予想となっている点に注意（詳細は本資料の対象範囲外だが、直近の重要な経営トピックとして押さえておきたい）。</w:t>
      </w:r>
    </w:p>
    <w:p>
      <w:pPr>
        <w:spacing w:after="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05150"/>
                    </a:xfrm>
                    <a:prstGeom prst="rect">
                      <a:avLst/>
                    </a:prstGeom>
                  </pic:spPr>
                </pic:pic>
              </a:graphicData>
            </a:graphic>
          </wp:inline>
        </w:drawing>
      </w:r>
    </w:p>
    <w:p>
      <w:pPr>
        <w:spacing w:after="240"/>
      </w:pPr>
      <w:r>
        <w:rPr>
          <w:i/>
          <w:iCs/>
          <w:color w:val="666666"/>
          <w:sz w:val="18"/>
          <w:szCs w:val="18"/>
        </w:rPr>
        <w:t xml:space="preserve">資料P18：連結業績（四半期実績・通期実績・予想の対比）</w:t>
      </w:r>
    </w:p>
    <w:p>
      <w:pPr>
        <w:pStyle w:val="Heading1"/>
        <w:spacing w:after="150" w:before="300"/>
      </w:pPr>
      <w:r>
        <w:t xml:space="preserve">6. 大貴のインターンとの接続</w:t>
      </w:r>
    </w:p>
    <w:p>
      <w:pPr>
        <w:pStyle w:val="ListParagraph"/>
        <w:numPr>
          <w:ilvl w:val="0"/>
          <w:numId w:val="1"/>
        </w:numPr>
        <w:spacing w:after="60"/>
      </w:pPr>
      <w:r>
        <w:t xml:space="preserve">大貴が参加する「現場受け入れ型」インターン（データサイエンティストコース／公社基-39）の受け入れ組織はテレコム・ユーティリティ事業本部→デジタルエクスペリエンス事業部→データドリブン統括部。案件コード「公社基」が示す通り、日本セグメントの「公共・社会基盤」分野に属する（詳細は[[NTTデータインターン情報]]参照）</w:t>
      </w:r>
    </w:p>
    <w:p>
      <w:pPr>
        <w:pStyle w:val="ListParagraph"/>
        <w:numPr>
          <w:ilvl w:val="0"/>
          <w:numId w:val="1"/>
        </w:numPr>
        <w:spacing w:after="60"/>
      </w:pPr>
      <w:r>
        <w:t xml:space="preserve">今四半期、日本セグメントの中でも公共・社会基盤分野は受注・売上・利益率のいずれも最も伸びが大きく（営業利益率+2.6pt改善）、NTTデータの成長ドライバーの一つになっている。インターン当日の議論で「なぜ公共・社会基盤が伸びているのか」を数字で説明できると評価されやすい</w:t>
      </w:r>
    </w:p>
    <w:p>
      <w:pPr>
        <w:pStyle w:val="ListParagraph"/>
        <w:numPr>
          <w:ilvl w:val="0"/>
          <w:numId w:val="1"/>
        </w:numPr>
        <w:spacing w:after="60"/>
      </w:pPr>
      <w:r>
        <w:t xml:space="preserve">事業トピックスの①AIVista・③ProCX合弁は、いずれも「データ活用×顧客体験（CX）」という文脈で、大貴の配属領域（データドリブン統括部＝CXデータ分析部門）と直接つながるテーマ。特にProCX合弁は「顧客体験向上・LTV最大化」を掲げており、データサイエンティストコースのテーマ（データ取り込み〜可視化・分析）と親和性が高い</w:t>
      </w:r>
    </w:p>
    <w:p>
      <w:pPr>
        <w:pStyle w:val="Heading1"/>
        <w:spacing w:after="150" w:before="300"/>
      </w:pPr>
      <w:r>
        <w:t xml:space="preserve">出典</w:t>
      </w:r>
    </w:p>
    <w:p>
      <w:pPr>
        <w:spacing w:after="120"/>
      </w:pPr>
      <w:r>
        <w:rPr>
          <w:sz w:val="20"/>
          <w:szCs w:val="20"/>
        </w:rPr>
        <w:t xml:space="preserve">株式会社NTTデータグループ「2026年度 第1四半期 決算説明資料」（2026年8月6日発表）</w:t>
      </w:r>
    </w:p>
    <w:p>
      <w:pPr>
        <w:spacing w:after="120"/>
      </w:pPr>
      <w:r>
        <w:rPr>
          <w:color w:val="666666"/>
          <w:sz w:val="18"/>
          <w:szCs w:val="18"/>
        </w:rPr>
        <w:t xml:space="preserve">本資料の図表・数値は上記IR資料のスライドを要約・転記したもの。詳細は原資料を参照。</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7132ec5f845a36b67f28c2ae6670ddd07128ac.png"/><Relationship Id="rId8" Type="http://schemas.openxmlformats.org/officeDocument/2006/relationships/image" Target="media/13d26d351af5d45b809fa626d3eac8744b65af66.png"/><Relationship Id="rId9" Type="http://schemas.openxmlformats.org/officeDocument/2006/relationships/image" Target="media/9afee5a0b204814f38828c8524c5c12e95c76fc8.png"/><Relationship Id="rId10" Type="http://schemas.openxmlformats.org/officeDocument/2006/relationships/image" Target="media/1ce341a819be99213b059e86e571e7b83e549d36.png"/><Relationship Id="rId11" Type="http://schemas.openxmlformats.org/officeDocument/2006/relationships/image" Target="media/61623f40b84cfccd41e10193033aecc96fa35eb2.png"/><Relationship Id="rId12" Type="http://schemas.openxmlformats.org/officeDocument/2006/relationships/image" Target="media/e466707875ad93979d399d7e94e0d599331e3284.png"/><Relationship Id="rId13" Type="http://schemas.openxmlformats.org/officeDocument/2006/relationships/image" Target="media/f4e6bb919bad2b848109fe69011c85389274241b.png"/><Relationship Id="rId14" Type="http://schemas.openxmlformats.org/officeDocument/2006/relationships/image" Target="media/afa52d23bc1fe3cc70fc625881ebf81d21f2a86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2026-09-02T00:14:30.090Z</dcterms:created>
  <dcterms:modified xsi:type="dcterms:W3CDTF">2026-09-02T00:14:30.090Z</dcterms:modified>
</cp:coreProperties>
</file>

<file path=docProps/custom.xml><?xml version="1.0" encoding="utf-8"?>
<Properties xmlns="http://schemas.openxmlformats.org/officeDocument/2006/custom-properties" xmlns:vt="http://schemas.openxmlformats.org/officeDocument/2006/docPropsVTypes"/>
</file>