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游ゴシック" w:cs="游ゴシック" w:eastAsia="游ゴシック" w:hAnsi="游ゴシック"/>
          <w:b/>
          <w:bCs/>
          <w:color w:val="1F3864"/>
          <w:sz w:val="44"/>
          <w:szCs w:val="44"/>
        </w:rPr>
        <w:t xml:space="preserve">KDDI企業研究</w:t>
      </w:r>
    </w:p>
    <w:p>
      <w:pPr>
        <w:spacing w:after="60"/>
      </w:pPr>
      <w:r>
        <w:rPr>
          <w:rFonts w:ascii="游ゴシック" w:cs="游ゴシック" w:eastAsia="游ゴシック" w:hAnsi="游ゴシック"/>
          <w:color w:val="555555"/>
          <w:sz w:val="24"/>
          <w:szCs w:val="24"/>
        </w:rPr>
        <w:t xml:space="preserve">KDDIアカウンティングインターン対策</w:t>
      </w:r>
    </w:p>
    <w:p>
      <w:pPr>
        <w:spacing w:after="400"/>
      </w:pPr>
      <w:r>
        <w:rPr>
          <w:rFonts w:ascii="游ゴシック" w:cs="游ゴシック" w:eastAsia="游ゴシック" w:hAnsi="游ゴシック"/>
          <w:color w:val="888888"/>
          <w:sz w:val="20"/>
          <w:szCs w:val="20"/>
        </w:rPr>
        <w:t xml:space="preserve">作成：信吾　2026年9月</w:t>
      </w:r>
    </w:p>
    <w:p>
      <w:pPr>
        <w:pStyle w:val="Heading1"/>
        <w:spacing w:after="160" w:before="320"/>
      </w:pPr>
      <w:r>
        <w:t xml:space="preserve">会社概要</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項目</w:t>
            </w:r>
          </w:p>
        </w:tc>
        <w:tc>
          <w:tcPr>
            <w:tcW w:type="dxa" w:w="72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内容</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正式名称</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KDDI株式会社（英文：KDDI CORPORATION）</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証券コード</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9433（東証プライム上場）</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設立</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1984年6月1日（前身・第二電電企画株式会社＝DDI）。現KDDI株式会社は2000年10月1日、DDI・KDD（国際電信電話）・IDOの合併により発足</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本社</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東京都港区高輪（THE LINKPILLAR 1 NORTH）</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代表取締役社長CEO</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松田浩路</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資本金</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1,418億5,200万円</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従業員数</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64,636名（連結ベース、2025年3月末時点）</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事業規模</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連結売上高60,719億円（2026年3月期）</w:t>
            </w:r>
          </w:p>
        </w:tc>
      </w:tr>
    </w:tbl>
    <w:p>
      <w:pPr>
        <w:spacing w:after="100"/>
      </w:pPr>
    </w:p>
    <w:p>
      <w:pPr>
        <w:pBdr>
          <w:bottom w:val="single" w:color="C0392B" w:sz="12" w:space="4"/>
        </w:pBdr>
        <w:spacing w:after="160" w:before="320"/>
      </w:pPr>
      <w:r>
        <w:rPr>
          <w:rFonts w:ascii="游ゴシック" w:cs="游ゴシック" w:eastAsia="游ゴシック" w:hAnsi="游ゴシック"/>
          <w:b/>
          <w:bCs/>
          <w:color w:val="C0392B"/>
          <w:sz w:val="32"/>
          <w:szCs w:val="32"/>
        </w:rPr>
        <w:t xml:space="preserve">財務・会計業務に関連する注力ポイント（最重要）</w:t>
      </w:r>
    </w:p>
    <w:p>
      <w:pPr>
        <w:spacing w:after="120"/>
      </w:pPr>
      <w:r>
        <w:rPr>
          <w:rFonts w:ascii="游ゴシック" w:cs="游ゴシック" w:eastAsia="游ゴシック" w:hAnsi="游ゴシック"/>
          <w:sz w:val="21"/>
          <w:szCs w:val="21"/>
        </w:rPr>
        <w:t xml:space="preserve">KDDIが今、経営として何に力を入れているかを「財務・会計・M&amp;A」の切り口で整理。アカウンティング職種のES・面接で最も直接使える内容。</w:t>
      </w:r>
    </w:p>
    <w:p>
      <w:pPr>
        <w:spacing w:after="100" w:before="180"/>
      </w:pPr>
      <w:r>
        <w:rPr>
          <w:rFonts w:ascii="游ゴシック" w:cs="游ゴシック" w:eastAsia="游ゴシック" w:hAnsi="游ゴシック"/>
          <w:b/>
          <w:bCs/>
          <w:color w:val="C0392B"/>
          <w:sz w:val="22"/>
          <w:szCs w:val="22"/>
        </w:rPr>
        <w:t xml:space="preserve">1. M&amp;A・キャピタルアロケーション戦略</w:t>
      </w:r>
    </w:p>
    <w:p>
      <w:pPr>
        <w:pStyle w:val="ListParagraph"/>
        <w:numPr>
          <w:ilvl w:val="0"/>
          <w:numId w:val="2"/>
        </w:numPr>
        <w:spacing w:after="80"/>
      </w:pPr>
      <w:r>
        <w:t xml:space="preserve">新中期経営戦略「Power-to-Connect 2028」（27.3期〜29.3期）のキャピタルアロケーションポリシーとして、Net Debt/EBITDA 2.0倍目安にコントロールしつつ、レバレッジを活用した成長投資（M&amp;A等）を「規律に基づき積極検討」する方針を明示</w:t>
      </w:r>
    </w:p>
    <w:p>
      <w:pPr>
        <w:pStyle w:val="ListParagraph"/>
        <w:numPr>
          <w:ilvl w:val="0"/>
          <w:numId w:val="2"/>
        </w:numPr>
        <w:spacing w:after="80"/>
      </w:pPr>
      <w:r>
        <w:t xml:space="preserve">主な投資領域（パーソナルグロース・ビジネスグロース）に1兆円/3年の投資枠を設定。投資検討は「戦略的合理性」×「資本コスト（WACC対比）」のマトリクスで評価し、対象は子会社・孫会社・関連会社・政策保有株式まで及ぶ</w:t>
      </w:r>
    </w:p>
    <w:p>
      <w:pPr>
        <w:pStyle w:val="ListParagraph"/>
        <w:numPr>
          <w:ilvl w:val="0"/>
          <w:numId w:val="2"/>
        </w:numPr>
        <w:spacing w:after="80"/>
      </w:pPr>
      <w:r>
        <w:t xml:space="preserve">投資後も効率と戦略的合理性を継続検証し、合わないものは売却・撤退（過去の売却事例：auカブコム証券、ライフネット生命）</w:t>
      </w:r>
    </w:p>
    <w:p>
      <w:pPr>
        <w:spacing w:after="120"/>
      </w:pPr>
      <w:r>
        <w:rPr>
          <w:rFonts w:ascii="游ゴシック" w:cs="游ゴシック" w:eastAsia="游ゴシック" w:hAnsi="游ゴシック"/>
          <w:sz w:val="21"/>
          <w:szCs w:val="21"/>
        </w:rPr>
        <w:t xml:space="preserve">直近の主要M&amp;A：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200"/>
        <w:gridCol w:w="1600"/>
      </w:tblGrid>
      <w:tr>
        <w:trPr>
          <w:tblHeader/>
        </w:trPr>
        <w:tc>
          <w:tcPr>
            <w:tcW w:type="dxa" w:w="26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時期</w:t>
            </w:r>
          </w:p>
        </w:tc>
        <w:tc>
          <w:tcPr>
            <w:tcW w:type="dxa" w:w="26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対象</w:t>
            </w:r>
          </w:p>
        </w:tc>
        <w:tc>
          <w:tcPr>
            <w:tcW w:type="dxa" w:w="32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概要</w:t>
            </w:r>
          </w:p>
        </w:tc>
        <w:tc>
          <w:tcPr>
            <w:tcW w:type="dxa" w:w="16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金額</w:t>
            </w:r>
          </w:p>
        </w:tc>
      </w:tr>
      <w:tr>
        <w:tc>
          <w:tcPr>
            <w:tcW w:type="dxa" w:w="2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2024年4〜5月</w:t>
            </w:r>
          </w:p>
        </w:tc>
        <w:tc>
          <w:tcPr>
            <w:tcW w:type="dxa" w:w="2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ローソン</w:t>
            </w:r>
          </w:p>
        </w:tc>
        <w:tc>
          <w:tcPr>
            <w:tcW w:type="dxa" w:w="3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三菱商事と共同TOB、50%ずつ出資の持分法適用関連会社化</w:t>
            </w:r>
          </w:p>
        </w:tc>
        <w:tc>
          <w:tcPr>
            <w:tcW w:type="dxa" w:w="1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約4,971億円</w:t>
            </w:r>
          </w:p>
        </w:tc>
      </w:tr>
      <w:tr>
        <w:tc>
          <w:tcPr>
            <w:tcW w:type="dxa" w:w="2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2024年11月〜2025年1月</w:t>
            </w:r>
          </w:p>
        </w:tc>
        <w:tc>
          <w:tcPr>
            <w:tcW w:type="dxa" w:w="2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ラック（LAC）</w:t>
            </w:r>
          </w:p>
        </w:tc>
        <w:tc>
          <w:tcPr>
            <w:tcW w:type="dxa" w:w="3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TOBで完全子会社化、サイバーセキュリティ強化</w:t>
            </w:r>
          </w:p>
        </w:tc>
        <w:tc>
          <w:tcPr>
            <w:tcW w:type="dxa" w:w="1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約246億円</w:t>
            </w:r>
          </w:p>
        </w:tc>
      </w:tr>
      <w:tr>
        <w:tc>
          <w:tcPr>
            <w:tcW w:type="dxa" w:w="2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2025年11月</w:t>
            </w:r>
          </w:p>
        </w:tc>
        <w:tc>
          <w:tcPr>
            <w:tcW w:type="dxa" w:w="2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United Cyber Force（NEC合弁）</w:t>
            </w:r>
          </w:p>
        </w:tc>
        <w:tc>
          <w:tcPr>
            <w:tcW w:type="dxa" w:w="3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サイバーセキュリティ分野の合弁会社設立</w:t>
            </w:r>
          </w:p>
        </w:tc>
        <w:tc>
          <w:tcPr>
            <w:tcW w:type="dxa" w:w="1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w:t>
            </w:r>
          </w:p>
        </w:tc>
      </w:tr>
    </w:tbl>
    <w:p>
      <w:pPr>
        <w:spacing w:after="160"/>
      </w:pPr>
      <w:r>
        <w:rPr>
          <w:rFonts w:ascii="游ゴシック" w:cs="游ゴシック" w:eastAsia="游ゴシック" w:hAnsi="游ゴシック"/>
          <w:color w:val="666666"/>
          <w:sz w:val="18"/>
          <w:szCs w:val="18"/>
        </w:rPr>
        <w:t xml:space="preserve">※個別M&amp;A案件・出資形態（持分法／完全子会社の使い分け）・無限∞ラボとの関係の詳細は別紙「KDDIのM&amp;A動向」を参照</w:t>
      </w:r>
    </w:p>
    <w:p>
      <w:pPr>
        <w:pStyle w:val="ListParagraph"/>
        <w:numPr>
          <w:ilvl w:val="0"/>
          <w:numId w:val="2"/>
        </w:numPr>
        <w:spacing w:after="80"/>
      </w:pPr>
      <w:r>
        <w:t xml:space="preserve">直近のダイベストメント（事業ポートフォリオ見直し）：合計11件・約1,500億円のキャッシュ創出を決定（売却未了案件含む）。ライフネット生命（2026年4月、生命保険）、Loco Partners（2026年6月、旅行業）、Gunosy（2026年8月、ニュース・ゲームメディア）、カカクコム（売却意思決定済）等。「M&amp;Aで広げるだけでなく、資本効率で絞る」の両輪を同時に運用している点が特徴</w:t>
      </w:r>
    </w:p>
    <w:p>
      <w:pPr>
        <w:spacing w:after="100" w:before="180"/>
      </w:pPr>
      <w:r>
        <w:rPr>
          <w:rFonts w:ascii="游ゴシック" w:cs="游ゴシック" w:eastAsia="游ゴシック" w:hAnsi="游ゴシック"/>
          <w:b/>
          <w:bCs/>
          <w:color w:val="C0392B"/>
          <w:sz w:val="22"/>
          <w:szCs w:val="22"/>
        </w:rPr>
        <w:t xml:space="preserve">2. グループガバナンス強化 —「不適切取引事案」への対応</w:t>
      </w:r>
    </w:p>
    <w:p>
      <w:pPr>
        <w:pStyle w:val="ListParagraph"/>
        <w:numPr>
          <w:ilvl w:val="0"/>
          <w:numId w:val="2"/>
        </w:numPr>
        <w:spacing w:after="80"/>
      </w:pPr>
      <w:r>
        <w:t xml:space="preserve">2026年に発覚した架空循環取引により、グループ会社のビッグローブとジー・プランから代理店への手数料329億円が外部流出。代理店4社に損害賠償請求訴訟を提起、警察の捜査にも協力中</w:t>
      </w:r>
    </w:p>
    <w:p>
      <w:pPr>
        <w:pStyle w:val="ListParagraph"/>
        <w:numPr>
          <w:ilvl w:val="0"/>
          <w:numId w:val="2"/>
        </w:numPr>
        <w:spacing w:after="80"/>
      </w:pPr>
      <w:r>
        <w:t xml:space="preserve">対応：対象110社の総点検完了、取引先の与信管理・権限分離ルールの整備、グループファイナンスの管理強化、与信審査AIシステム・財務データの異常値探知ツールの導入</w:t>
      </w:r>
    </w:p>
    <w:p>
      <w:pPr>
        <w:pStyle w:val="ListParagraph"/>
        <w:numPr>
          <w:ilvl w:val="0"/>
          <w:numId w:val="2"/>
        </w:numPr>
        <w:spacing w:after="80"/>
      </w:pPr>
      <w:r>
        <w:t xml:space="preserve">組織再編：経営管理本部の下に「ガバナンス推進本部」を新設し、CFOが本部長を兼任。財務・経理機能とガバナンス機能を一体運用する体制に転換</w:t>
      </w:r>
    </w:p>
    <w:p>
      <w:pPr>
        <w:spacing w:after="100" w:before="180"/>
      </w:pPr>
      <w:r>
        <w:rPr>
          <w:rFonts w:ascii="游ゴシック" w:cs="游ゴシック" w:eastAsia="游ゴシック" w:hAnsi="游ゴシック"/>
          <w:b/>
          <w:bCs/>
          <w:color w:val="C0392B"/>
          <w:sz w:val="22"/>
          <w:szCs w:val="22"/>
        </w:rPr>
        <w:t xml:space="preserve">3. 財務報告そのものの変更 —「調整後利益」の新設</w:t>
      </w:r>
    </w:p>
    <w:p>
      <w:pPr>
        <w:pStyle w:val="ListParagraph"/>
        <w:numPr>
          <w:ilvl w:val="0"/>
          <w:numId w:val="2"/>
        </w:numPr>
        <w:spacing w:after="80"/>
      </w:pPr>
      <w:r>
        <w:t xml:space="preserve">IFRS第18号（28.3期から適用）に先立ち、27.3期から「調整後利益」を開示開始</w:t>
      </w:r>
    </w:p>
    <w:p>
      <w:pPr>
        <w:pStyle w:val="ListParagraph"/>
        <w:numPr>
          <w:ilvl w:val="0"/>
          <w:numId w:val="2"/>
        </w:numPr>
        <w:spacing w:after="80"/>
      </w:pPr>
      <w:r>
        <w:t xml:space="preserve">連結営業利益・当期利益から、①非経常的かつ大規模なコストの除外（戦略的設備更改、事業構造改革等）、②ポートフォリオ見直しに伴う一時損益の除外（株式売却損益、のれん減損等）を調整</w:t>
      </w:r>
    </w:p>
    <w:p>
      <w:pPr>
        <w:pStyle w:val="ListParagraph"/>
        <w:numPr>
          <w:ilvl w:val="0"/>
          <w:numId w:val="2"/>
        </w:numPr>
        <w:spacing w:after="80"/>
      </w:pPr>
      <w:r>
        <w:t xml:space="preserve">目的は「成長力の可視化」と「資本効率性の維持向上」の同時実現。会計基準変更への実務対応そのものであり、アカウンティング部門の役割が直接見える事例</w:t>
      </w:r>
    </w:p>
    <w:p>
      <w:pPr>
        <w:spacing w:after="100" w:before="180"/>
      </w:pPr>
      <w:r>
        <w:rPr>
          <w:rFonts w:ascii="游ゴシック" w:cs="游ゴシック" w:eastAsia="游ゴシック" w:hAnsi="游ゴシック"/>
          <w:b/>
          <w:bCs/>
          <w:color w:val="C0392B"/>
          <w:sz w:val="22"/>
          <w:szCs w:val="22"/>
        </w:rPr>
        <w:t xml:space="preserve">4. 資本政策・資本効率経営の強化</w:t>
      </w:r>
    </w:p>
    <w:p>
      <w:pPr>
        <w:pStyle w:val="ListParagraph"/>
        <w:numPr>
          <w:ilvl w:val="0"/>
          <w:numId w:val="2"/>
        </w:numPr>
        <w:spacing w:after="80"/>
      </w:pPr>
      <w:r>
        <w:t xml:space="preserve">auフィナンシャルホールディングスの株式上場を検討開始（2026年5月公表）。目的は「KDDI連結のバランスシート最適化」「事業ポートフォリオ集約による資本集中」「機動的な資本政策」。市場区分は東証プライム市場（案）、機関設計は監査等委員会設置会社（案）</w:t>
      </w:r>
    </w:p>
    <w:p>
      <w:pPr>
        <w:pStyle w:val="ListParagraph"/>
        <w:numPr>
          <w:ilvl w:val="0"/>
          <w:numId w:val="2"/>
        </w:numPr>
        <w:spacing w:after="80"/>
      </w:pPr>
      <w:r>
        <w:t xml:space="preserve">株主還元：配当性向40%超（調整後当期利益ベース）を維持し安定増配（27.3期はDPS84.0円、24期連続増配）。自己株式取得は総額3,000億円（上限）を決議</w:t>
      </w:r>
    </w:p>
    <w:p>
      <w:pPr>
        <w:pStyle w:val="ListParagraph"/>
        <w:numPr>
          <w:ilvl w:val="0"/>
          <w:numId w:val="2"/>
        </w:numPr>
        <w:spacing w:after="80"/>
      </w:pPr>
      <w:r>
        <w:t xml:space="preserve">役員報酬の評価指標にROE・ROICスプレッドを追加し、資本効率経営へのコミットメントを強化</w:t>
      </w:r>
    </w:p>
    <w:p>
      <w:pPr>
        <w:spacing w:after="100" w:before="180"/>
      </w:pPr>
      <w:r>
        <w:rPr>
          <w:rFonts w:ascii="游ゴシック" w:cs="游ゴシック" w:eastAsia="游ゴシック" w:hAnsi="游ゴシック"/>
          <w:b/>
          <w:bCs/>
          <w:color w:val="C0392B"/>
          <w:sz w:val="22"/>
          <w:szCs w:val="22"/>
        </w:rPr>
        <w:t xml:space="preserve">（参考）不正アクセス事案</w:t>
      </w:r>
    </w:p>
    <w:p>
      <w:pPr>
        <w:spacing w:after="120"/>
      </w:pPr>
      <w:r>
        <w:rPr>
          <w:rFonts w:ascii="游ゴシック" w:cs="游ゴシック" w:eastAsia="游ゴシック" w:hAnsi="游ゴシック"/>
          <w:sz w:val="21"/>
          <w:szCs w:val="21"/>
        </w:rPr>
        <w:t xml:space="preserve">ISP事業者向けメールシステムへの不正アクセスにより、メールアドレス1,223万件・パスワード762万件が漏えい（2026年5〜6月）。行政指導を受け対応中。会計・財務とは別軸だが、①の不適切取引事案と並ぶ「1Qの2大ガバナンス課題」として決算資料で説明されている。</w:t>
      </w:r>
    </w:p>
    <w:p>
      <w:pPr>
        <w:spacing w:after="100"/>
      </w:pPr>
    </w:p>
    <w:p>
      <w:pPr>
        <w:pStyle w:val="Heading1"/>
        <w:spacing w:after="160" w:before="320"/>
      </w:pPr>
      <w:r>
        <w:t xml:space="preserve">沿革（転換点）</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年</w:t>
            </w:r>
          </w:p>
        </w:tc>
        <w:tc>
          <w:tcPr>
            <w:tcW w:type="dxa" w:w="72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出来事</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1984年6月</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第二電電企画株式会社（DDI）設立。国内電気通信事業の自由化に伴う新規参入</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2000年10月</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DDI・KDD（国際電信電話）・IDOの合併により現在の「KDDI株式会社」が発足</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2001年</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携帯電話ブランド「au」を統合ブランドとして展開開始</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2002年4月</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CDMA2000 1xによる3Gサービス「au」開始、通信方式をCDMAに統一</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2006年〜</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CATV・FTTH事業者の買収を本格化。通信・電話・インターネット・モバイルのクロスセル戦略を推進</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2017年1月</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ビッグローブを完全子会社化（約800億円）。非通信領域（ISP事業）を拡大</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2017年8月</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IoTベンチャーのソラコムを子会社化。無限∞ラボ／KOIF経由の協業から発展した事例</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2024年1月</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KDDIのCATV関連事業をJCOMに集約</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2024年4〜5月</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三菱商事と共同でローソンにTOB（約4,971億円）、50%ずつ出資の持分法適用関連会社化</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2024年11月〜2025年1月</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サイバーセキュリティ事業者ラック（LAC）をTOBで完全子会社化（約246億円）</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2026年5月</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新中期経営戦略「Power-to-Connect 2028」発表。auフィナンシャルホールディングスの株式上場検討を公表</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2026年8月</w:t>
            </w:r>
          </w:p>
        </w:tc>
        <w:tc>
          <w:tcPr>
            <w:tcW w:type="dxa" w:w="7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「不適切取引事案」（架空循環取引）の詳細判明、代理店への損害賠償請求訴訟提起</w:t>
            </w:r>
          </w:p>
        </w:tc>
      </w:tr>
    </w:tbl>
    <w:p>
      <w:pPr>
        <w:spacing w:after="100"/>
      </w:pPr>
    </w:p>
    <w:p>
      <w:pPr>
        <w:pStyle w:val="Heading1"/>
        <w:spacing w:after="160" w:before="320"/>
      </w:pPr>
      <w:r>
        <w:t xml:space="preserve">中期経営計画・ビジョン：「Power-to-Connect 2028」（27.3期〜29.3期）</w:t>
      </w:r>
    </w:p>
    <w:p>
      <w:pPr>
        <w:spacing w:after="120"/>
      </w:pPr>
      <w:r>
        <w:rPr>
          <w:rFonts w:ascii="游ゴシック" w:cs="游ゴシック" w:eastAsia="游ゴシック" w:hAnsi="游ゴシック"/>
          <w:sz w:val="21"/>
          <w:szCs w:val="21"/>
        </w:rPr>
        <w:t xml:space="preserve">通信を核に「AI前提社会」（AIが当たり前になる時代）への土台づくりを目指す中期経営戦略。3つの“Fusion”（異分野融合による価値創造手法）を戦略の軸に設定している。</w:t>
      </w:r>
    </w:p>
    <w:p>
      <w:pPr>
        <w:pStyle w:val="ListParagraph"/>
        <w:numPr>
          <w:ilvl w:val="0"/>
          <w:numId w:val="2"/>
        </w:numPr>
        <w:spacing w:after="80"/>
      </w:pPr>
      <w:r>
        <w:t xml:space="preserve">Infrastructure Fusion：日本全国の陸海空を網羅する次世代デジタルインフラ「デジタルベルト構想」に1.2兆円/3年を投資</w:t>
      </w:r>
    </w:p>
    <w:p>
      <w:pPr>
        <w:pStyle w:val="ListParagraph"/>
        <w:numPr>
          <w:ilvl w:val="0"/>
          <w:numId w:val="2"/>
        </w:numPr>
        <w:spacing w:after="80"/>
      </w:pPr>
      <w:r>
        <w:t xml:space="preserve">Real-Tech Fusion：お客さま起点でAI労働力（点検監視・商品仕分け・ロボタクシー等）・AI生活力（生活相談・健康支援等）を社会実装</w:t>
      </w:r>
    </w:p>
    <w:p>
      <w:pPr>
        <w:pStyle w:val="ListParagraph"/>
        <w:numPr>
          <w:ilvl w:val="0"/>
          <w:numId w:val="2"/>
        </w:numPr>
        <w:spacing w:after="80"/>
      </w:pPr>
      <w:r>
        <w:t xml:space="preserve">HR Fusion：グループ会社の現場実践を通じ、多様なスキルを持つ「両利き人財」を育成</w:t>
      </w:r>
    </w:p>
    <w:p>
      <w:pPr>
        <w:spacing w:after="120"/>
      </w:pPr>
      <w:r>
        <w:rPr>
          <w:rFonts w:ascii="游ゴシック" w:cs="游ゴシック" w:eastAsia="游ゴシック" w:hAnsi="游ゴシック"/>
          <w:sz w:val="21"/>
          <w:szCs w:val="21"/>
        </w:rPr>
        <w:t xml:space="preserve">財務目標：連結営業利益CAGR5%成長（前中期2023〜2026年度はCAGR2.9%）</w:t>
      </w:r>
    </w:p>
    <w:p>
      <w:pPr>
        <w:spacing w:after="160"/>
      </w:pPr>
      <w:r>
        <w:rPr>
          <w:rFonts w:ascii="游ゴシック" w:cs="游ゴシック" w:eastAsia="游ゴシック" w:hAnsi="游ゴシック"/>
          <w:color w:val="666666"/>
          <w:sz w:val="18"/>
          <w:szCs w:val="18"/>
        </w:rPr>
        <w:t xml:space="preserve">※キャピタルアロケーション・資本政策の詳細は前段「財務・会計業務に関連する注力ポイント」を参照</w:t>
      </w:r>
    </w:p>
    <w:p>
      <w:pPr>
        <w:spacing w:after="100"/>
      </w:pPr>
    </w:p>
    <w:p>
      <w:pPr>
        <w:pStyle w:val="Heading1"/>
        <w:spacing w:after="160" w:before="320"/>
      </w:pPr>
      <w:r>
        <w:t xml:space="preserve">事業ポートフォリオ・セグメント別施策</w:t>
      </w:r>
    </w:p>
    <w:p>
      <w:pPr>
        <w:spacing w:after="120"/>
      </w:pPr>
      <w:r>
        <w:rPr>
          <w:rFonts w:ascii="游ゴシック" w:cs="游ゴシック" w:eastAsia="游ゴシック" w:hAnsi="游ゴシック"/>
          <w:sz w:val="21"/>
          <w:szCs w:val="21"/>
        </w:rPr>
        <w:t xml:space="preserve">27.3期より新セグメント体制へ再編。「テレコムコア」を土台に、2つのグロースセグメントで二桁成長を狙う構造。</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3000"/>
      </w:tblGrid>
      <w:tr>
        <w:trPr>
          <w:tblHeader/>
        </w:trPr>
        <w:tc>
          <w:tcPr>
            <w:tcW w:type="dxa" w:w="18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セグメント</w:t>
            </w:r>
          </w:p>
        </w:tc>
        <w:tc>
          <w:tcPr>
            <w:tcW w:type="dxa" w:w="26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内容</w:t>
            </w:r>
          </w:p>
        </w:tc>
        <w:tc>
          <w:tcPr>
            <w:tcW w:type="dxa" w:w="22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27.3期1Q売上高（YOY）</w:t>
            </w:r>
          </w:p>
        </w:tc>
        <w:tc>
          <w:tcPr>
            <w:tcW w:type="dxa" w:w="30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主な事業領域</w:t>
            </w:r>
          </w:p>
        </w:tc>
      </w:tr>
      <w:tr>
        <w:tc>
          <w:tcPr>
            <w:tcW w:type="dxa" w:w="18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テレコムコア</w:t>
            </w:r>
          </w:p>
        </w:tc>
        <w:tc>
          <w:tcPr>
            <w:tcW w:type="dxa" w:w="2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通信（個人・法人）及び周辺領域</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10,837億円（+3.4%）</w:t>
            </w:r>
          </w:p>
        </w:tc>
        <w:tc>
          <w:tcPr>
            <w:tcW w:type="dxa" w:w="3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モバイル通信、固定通信</w:t>
            </w:r>
          </w:p>
        </w:tc>
      </w:tr>
      <w:tr>
        <w:tc>
          <w:tcPr>
            <w:tcW w:type="dxa" w:w="18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パーソナルグロース</w:t>
            </w:r>
          </w:p>
        </w:tc>
        <w:tc>
          <w:tcPr>
            <w:tcW w:type="dxa" w:w="2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個人向け非通信の成長領域（5領域）</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2,808億円（+8.6%）</w:t>
            </w:r>
          </w:p>
        </w:tc>
        <w:tc>
          <w:tcPr>
            <w:tcW w:type="dxa" w:w="3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金融、エネルギー、デバイス、Pontaパス・ローソン、グローバル</w:t>
            </w:r>
          </w:p>
        </w:tc>
      </w:tr>
      <w:tr>
        <w:tc>
          <w:tcPr>
            <w:tcW w:type="dxa" w:w="18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ビジネスグロース</w:t>
            </w:r>
          </w:p>
        </w:tc>
        <w:tc>
          <w:tcPr>
            <w:tcW w:type="dxa" w:w="2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法人向け非通信の成長領域（5領域）</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1,652億円（+11.7%）</w:t>
            </w:r>
          </w:p>
        </w:tc>
        <w:tc>
          <w:tcPr>
            <w:tcW w:type="dxa" w:w="3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Connected（旧IoT）、データセンター、AIインテグレーション、サイバーセキュリティ、AI-BPO</w:t>
            </w:r>
          </w:p>
        </w:tc>
      </w:tr>
    </w:tbl>
    <w:p>
      <w:pPr>
        <w:spacing w:after="100"/>
      </w:pPr>
    </w:p>
    <w:p>
      <w:pPr>
        <w:pStyle w:val="ListParagraph"/>
        <w:numPr>
          <w:ilvl w:val="0"/>
          <w:numId w:val="2"/>
        </w:numPr>
        <w:spacing w:after="80"/>
      </w:pPr>
      <w:r>
        <w:t xml:space="preserve">パーソナルグロース・ビジネスグロースともにCAGR二桁利益成長を目標。連結営業利益に占める両グロースセグメントの構成比を将来的に1/3規模まで引き上げる方針</w:t>
      </w:r>
    </w:p>
    <w:p>
      <w:pPr>
        <w:pStyle w:val="ListParagraph"/>
        <w:numPr>
          <w:ilvl w:val="0"/>
          <w:numId w:val="2"/>
        </w:numPr>
        <w:spacing w:after="80"/>
      </w:pPr>
      <w:r>
        <w:t xml:space="preserve">金融事業（auフィナンシャルホールディングス）：au PAYゴールドカード会員数207万（27.3期1Q、YOY+46万）、auじぶん銀行預金残高YOY1.2倍と基盤拡大中</w:t>
      </w:r>
    </w:p>
    <w:p>
      <w:pPr>
        <w:pStyle w:val="ListParagraph"/>
        <w:numPr>
          <w:ilvl w:val="0"/>
          <w:numId w:val="2"/>
        </w:numPr>
        <w:spacing w:after="80"/>
      </w:pPr>
      <w:r>
        <w:t xml:space="preserve">ローソン・Pontaパス：「ハッピーローソンタウン」を全国47都道府県で展開へ（2030年目標100か所）。Pontaパス会員数1,559万（YOY+67万）</w:t>
      </w:r>
    </w:p>
    <w:p>
      <w:pPr>
        <w:pStyle w:val="ListParagraph"/>
        <w:numPr>
          <w:ilvl w:val="0"/>
          <w:numId w:val="2"/>
        </w:numPr>
        <w:spacing w:after="80"/>
      </w:pPr>
      <w:r>
        <w:t xml:space="preserve">データセンター：「Telehouse」ブランドで世界45拠点以上、約3,000社にサービス提供。事業者接続数シェア世界第3位</w:t>
      </w:r>
    </w:p>
    <w:p>
      <w:pPr>
        <w:spacing w:after="100"/>
      </w:pPr>
    </w:p>
    <w:p>
      <w:pPr>
        <w:pStyle w:val="Heading1"/>
        <w:spacing w:after="160" w:before="320"/>
      </w:pPr>
      <w:r>
        <w:t xml:space="preserve">強み・差別化ポイント</w:t>
      </w:r>
    </w:p>
    <w:p>
      <w:pPr>
        <w:pStyle w:val="ListParagraph"/>
        <w:numPr>
          <w:ilvl w:val="0"/>
          <w:numId w:val="2"/>
        </w:numPr>
        <w:spacing w:after="80"/>
      </w:pPr>
      <w:r>
        <w:t xml:space="preserve">通信で培った圧倒的な顧客基盤×非通信事業への展開力：モバイル・固定のお客さま基盤を軸に、金融・エネルギー・コンビニ（ローソン）等へサービスを浸透させるクロスセル戦略</w:t>
      </w:r>
    </w:p>
    <w:p>
      <w:pPr>
        <w:pStyle w:val="ListParagraph"/>
        <w:numPr>
          <w:ilvl w:val="0"/>
          <w:numId w:val="2"/>
        </w:numPr>
        <w:spacing w:after="80"/>
      </w:pPr>
      <w:r>
        <w:t xml:space="preserve">無限∞ラボ／KOIF（CVC）による早期の事業の目利き力：2011年設立の国内初の大企業発アクセラレーター。ソラコムのように、早期に育てた事業を後にM&amp;Aで取り込む「二段構え」の事業創出モデル</w:t>
      </w:r>
    </w:p>
    <w:p>
      <w:pPr>
        <w:pStyle w:val="ListParagraph"/>
        <w:numPr>
          <w:ilvl w:val="0"/>
          <w:numId w:val="2"/>
        </w:numPr>
        <w:spacing w:after="80"/>
      </w:pPr>
      <w:r>
        <w:t xml:space="preserve">通信インフラの技術力を非通信領域へ転用：デジタルベルト構想、AIによる海底ケーブル・DC運用の効率化など、インフラ運営力をAI・DX事業の差別化要因に転換</w:t>
      </w:r>
    </w:p>
    <w:p>
      <w:pPr>
        <w:pStyle w:val="ListParagraph"/>
        <w:numPr>
          <w:ilvl w:val="0"/>
          <w:numId w:val="2"/>
        </w:numPr>
        <w:spacing w:after="80"/>
      </w:pPr>
      <w:r>
        <w:t xml:space="preserve">規律あるキャピタルアロケーション：M&amp;Aによる拡大だけでなく、資本コストと戦略的合理性のマトリクスで事業を評価し、11件・約1,500億円規模のダイベストメントを同時に実行する「攻めと守り」の両立</w:t>
      </w:r>
    </w:p>
    <w:p>
      <w:pPr>
        <w:spacing w:after="100"/>
      </w:pPr>
    </w:p>
    <w:p>
      <w:pPr>
        <w:pStyle w:val="Heading1"/>
        <w:spacing w:after="160" w:before="320"/>
      </w:pPr>
      <w:r>
        <w:t xml:space="preserve">直近の業績</w:t>
      </w:r>
    </w:p>
    <w:p>
      <w:pPr>
        <w:pStyle w:val="Heading2"/>
        <w:spacing w:after="120" w:before="240"/>
      </w:pPr>
      <w:r>
        <w:t xml:space="preserve">通期実績（2026年3月期）</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rPr>
          <w:tblHeader/>
        </w:trPr>
        <w:tc>
          <w:tcPr>
            <w:tcW w:type="dxa" w:w="30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指標</w:t>
            </w:r>
          </w:p>
        </w:tc>
        <w:tc>
          <w:tcPr>
            <w:tcW w:type="dxa" w:w="22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25.3期</w:t>
            </w:r>
          </w:p>
        </w:tc>
        <w:tc>
          <w:tcPr>
            <w:tcW w:type="dxa" w:w="22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26.3期</w:t>
            </w:r>
          </w:p>
        </w:tc>
        <w:tc>
          <w:tcPr>
            <w:tcW w:type="dxa" w:w="22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増減率</w:t>
            </w:r>
          </w:p>
        </w:tc>
      </w:tr>
      <w:tr>
        <w:tc>
          <w:tcPr>
            <w:tcW w:type="dxa" w:w="3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売上高</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58,355億円</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60,719億円</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+4.1%</w:t>
            </w:r>
          </w:p>
        </w:tc>
      </w:tr>
      <w:tr>
        <w:tc>
          <w:tcPr>
            <w:tcW w:type="dxa" w:w="3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営業利益（実力値）</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10,980億円</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11,643億円</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+6.0%</w:t>
            </w:r>
          </w:p>
        </w:tc>
      </w:tr>
      <w:tr>
        <w:tc>
          <w:tcPr>
            <w:tcW w:type="dxa" w:w="3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当期利益（実力値）</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6,659億円</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7,567億円</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+13.6%</w:t>
            </w:r>
          </w:p>
        </w:tc>
      </w:tr>
    </w:tbl>
    <w:p>
      <w:pPr>
        <w:spacing w:after="160"/>
      </w:pPr>
      <w:r>
        <w:rPr>
          <w:rFonts w:ascii="游ゴシック" w:cs="游ゴシック" w:eastAsia="游ゴシック" w:hAnsi="游ゴシック"/>
          <w:color w:val="666666"/>
          <w:sz w:val="18"/>
          <w:szCs w:val="18"/>
        </w:rPr>
        <w:t xml:space="preserve">※実力値：架空循環取引に伴う外部流出額、契約コスト減損の影響を除く</w:t>
      </w:r>
    </w:p>
    <w:p>
      <w:pPr>
        <w:pStyle w:val="Heading2"/>
        <w:spacing w:after="120" w:before="240"/>
      </w:pPr>
      <w:r>
        <w:t xml:space="preserve">27.3期業績予想</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200"/>
        <w:gridCol w:w="1200"/>
      </w:tblGrid>
      <w:tr>
        <w:trPr>
          <w:tblHeader/>
        </w:trPr>
        <w:tc>
          <w:tcPr>
            <w:tcW w:type="dxa" w:w="30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指標</w:t>
            </w:r>
          </w:p>
        </w:tc>
        <w:tc>
          <w:tcPr>
            <w:tcW w:type="dxa" w:w="22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26.3期</w:t>
            </w:r>
          </w:p>
        </w:tc>
        <w:tc>
          <w:tcPr>
            <w:tcW w:type="dxa" w:w="32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27.3期（予）</w:t>
            </w:r>
          </w:p>
        </w:tc>
        <w:tc>
          <w:tcPr>
            <w:tcW w:type="dxa" w:w="12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YOY</w:t>
            </w:r>
          </w:p>
        </w:tc>
      </w:tr>
      <w:tr>
        <w:tc>
          <w:tcPr>
            <w:tcW w:type="dxa" w:w="3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売上高</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60,719億円</w:t>
            </w:r>
          </w:p>
        </w:tc>
        <w:tc>
          <w:tcPr>
            <w:tcW w:type="dxa" w:w="3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64,100億円</w:t>
            </w:r>
          </w:p>
        </w:tc>
        <w:tc>
          <w:tcPr>
            <w:tcW w:type="dxa" w:w="1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+5.6%</w:t>
            </w:r>
          </w:p>
        </w:tc>
      </w:tr>
      <w:tr>
        <w:tc>
          <w:tcPr>
            <w:tcW w:type="dxa" w:w="3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調整後営業利益</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11,518億円</w:t>
            </w:r>
          </w:p>
        </w:tc>
        <w:tc>
          <w:tcPr>
            <w:tcW w:type="dxa" w:w="3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12,100億円</w:t>
            </w:r>
          </w:p>
        </w:tc>
        <w:tc>
          <w:tcPr>
            <w:tcW w:type="dxa" w:w="1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+5.0%</w:t>
            </w:r>
          </w:p>
        </w:tc>
      </w:tr>
      <w:tr>
        <w:tc>
          <w:tcPr>
            <w:tcW w:type="dxa" w:w="3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調整後当期利益</w:t>
            </w:r>
          </w:p>
        </w:tc>
        <w:tc>
          <w:tcPr>
            <w:tcW w:type="dxa" w:w="2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7,120億円</w:t>
            </w:r>
          </w:p>
        </w:tc>
        <w:tc>
          <w:tcPr>
            <w:tcW w:type="dxa" w:w="3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7,310億円（防衛増税影響あり）</w:t>
            </w:r>
          </w:p>
        </w:tc>
        <w:tc>
          <w:tcPr>
            <w:tcW w:type="dxa" w:w="12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+2.7%</w:t>
            </w:r>
          </w:p>
        </w:tc>
      </w:tr>
    </w:tbl>
    <w:p>
      <w:pPr>
        <w:pStyle w:val="Heading2"/>
        <w:spacing w:after="120" w:before="240"/>
      </w:pPr>
      <w:r>
        <w:t xml:space="preserve">27.3期1Q実績（2026年4〜6月）</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400"/>
        <w:gridCol w:w="1600"/>
      </w:tblGrid>
      <w:tr>
        <w:trPr>
          <w:tblHeader/>
        </w:trPr>
        <w:tc>
          <w:tcPr>
            <w:tcW w:type="dxa" w:w="26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指標</w:t>
            </w:r>
          </w:p>
        </w:tc>
        <w:tc>
          <w:tcPr>
            <w:tcW w:type="dxa" w:w="20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26.3期1Q</w:t>
            </w:r>
          </w:p>
        </w:tc>
        <w:tc>
          <w:tcPr>
            <w:tcW w:type="dxa" w:w="20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27.3期1Q</w:t>
            </w:r>
          </w:p>
        </w:tc>
        <w:tc>
          <w:tcPr>
            <w:tcW w:type="dxa" w:w="14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YOY</w:t>
            </w:r>
          </w:p>
        </w:tc>
        <w:tc>
          <w:tcPr>
            <w:tcW w:type="dxa" w:w="16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進捗率</w:t>
            </w:r>
          </w:p>
        </w:tc>
      </w:tr>
      <w:tr>
        <w:tc>
          <w:tcPr>
            <w:tcW w:type="dxa" w:w="2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売上高</w:t>
            </w:r>
          </w:p>
        </w:tc>
        <w:tc>
          <w:tcPr>
            <w:tcW w:type="dxa" w:w="2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14,157億円</w:t>
            </w:r>
          </w:p>
        </w:tc>
        <w:tc>
          <w:tcPr>
            <w:tcW w:type="dxa" w:w="2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14,873億円</w:t>
            </w:r>
          </w:p>
        </w:tc>
        <w:tc>
          <w:tcPr>
            <w:tcW w:type="dxa" w:w="1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+5.1%</w:t>
            </w:r>
          </w:p>
        </w:tc>
        <w:tc>
          <w:tcPr>
            <w:tcW w:type="dxa" w:w="1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23.2%</w:t>
            </w:r>
          </w:p>
        </w:tc>
      </w:tr>
      <w:tr>
        <w:tc>
          <w:tcPr>
            <w:tcW w:type="dxa" w:w="2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調整後営業利益</w:t>
            </w:r>
          </w:p>
        </w:tc>
        <w:tc>
          <w:tcPr>
            <w:tcW w:type="dxa" w:w="2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2,595億円</w:t>
            </w:r>
          </w:p>
        </w:tc>
        <w:tc>
          <w:tcPr>
            <w:tcW w:type="dxa" w:w="2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3,143億円</w:t>
            </w:r>
          </w:p>
        </w:tc>
        <w:tc>
          <w:tcPr>
            <w:tcW w:type="dxa" w:w="1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+21.1%</w:t>
            </w:r>
          </w:p>
        </w:tc>
        <w:tc>
          <w:tcPr>
            <w:tcW w:type="dxa" w:w="1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26.0%</w:t>
            </w:r>
          </w:p>
        </w:tc>
      </w:tr>
      <w:tr>
        <w:tc>
          <w:tcPr>
            <w:tcW w:type="dxa" w:w="2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調整後当期利益</w:t>
            </w:r>
          </w:p>
        </w:tc>
        <w:tc>
          <w:tcPr>
            <w:tcW w:type="dxa" w:w="2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1,591億円</w:t>
            </w:r>
          </w:p>
        </w:tc>
        <w:tc>
          <w:tcPr>
            <w:tcW w:type="dxa" w:w="20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1,934億円</w:t>
            </w:r>
          </w:p>
        </w:tc>
        <w:tc>
          <w:tcPr>
            <w:tcW w:type="dxa" w:w="1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+21.6%</w:t>
            </w:r>
          </w:p>
        </w:tc>
        <w:tc>
          <w:tcPr>
            <w:tcW w:type="dxa" w:w="1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26.5%</w:t>
            </w:r>
          </w:p>
        </w:tc>
      </w:tr>
    </w:tbl>
    <w:p>
      <w:pPr>
        <w:pStyle w:val="Heading2"/>
        <w:spacing w:after="120" w:before="240"/>
      </w:pPr>
      <w:r>
        <w:t xml:space="preserve">財政状態（2026年6月末、IFRS）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指標</w:t>
            </w:r>
          </w:p>
        </w:tc>
        <w:tc>
          <w:tcPr>
            <w:tcW w:type="dxa" w:w="36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KDDI（auFH除く連結）</w:t>
            </w:r>
          </w:p>
        </w:tc>
        <w:tc>
          <w:tcPr>
            <w:tcW w:type="dxa" w:w="3600"/>
            <w:shd w:fill="1F3864" w:color="auto" w:val="clear"/>
            <w:tcMar>
              <w:top w:type="dxa" w:w="80"/>
              <w:left w:type="dxa" w:w="100"/>
              <w:bottom w:type="dxa" w:w="80"/>
              <w:right w:type="dxa" w:w="100"/>
            </w:tcMar>
          </w:tcPr>
          <w:p>
            <w:pPr>
              <w:jc w:val="left"/>
            </w:pPr>
            <w:r>
              <w:rPr>
                <w:rFonts w:ascii="游ゴシック" w:cs="游ゴシック" w:eastAsia="游ゴシック" w:hAnsi="游ゴシック"/>
                <w:b/>
                <w:bCs/>
                <w:color w:val="FFFFFF"/>
                <w:sz w:val="20"/>
                <w:szCs w:val="20"/>
              </w:rPr>
              <w:t xml:space="preserve">auフィナンシャルホールディングス（連結）</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総資産</w:t>
            </w:r>
          </w:p>
        </w:tc>
        <w:tc>
          <w:tcPr>
            <w:tcW w:type="dxa" w:w="3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9.98兆円</w:t>
            </w:r>
          </w:p>
        </w:tc>
        <w:tc>
          <w:tcPr>
            <w:tcW w:type="dxa" w:w="3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8.88兆円</w:t>
            </w:r>
          </w:p>
        </w:tc>
      </w:tr>
      <w:tr>
        <w:tc>
          <w:tcPr>
            <w:tcW w:type="dxa" w:w="24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有利子負債</w:t>
            </w:r>
          </w:p>
        </w:tc>
        <w:tc>
          <w:tcPr>
            <w:tcW w:type="dxa" w:w="3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3兆7,242億円</w:t>
            </w:r>
          </w:p>
        </w:tc>
        <w:tc>
          <w:tcPr>
            <w:tcW w:type="dxa" w:w="3600"/>
            <w:tcMar>
              <w:top w:type="dxa" w:w="80"/>
              <w:left w:type="dxa" w:w="100"/>
              <w:bottom w:type="dxa" w:w="80"/>
              <w:right w:type="dxa" w:w="100"/>
            </w:tcMar>
          </w:tcPr>
          <w:p>
            <w:pPr>
              <w:jc w:val="left"/>
            </w:pPr>
            <w:r>
              <w:rPr>
                <w:rFonts w:ascii="游ゴシック" w:cs="游ゴシック" w:eastAsia="游ゴシック" w:hAnsi="游ゴシック"/>
                <w:b w:val="false"/>
                <w:bCs w:val="false"/>
                <w:color w:val="000000"/>
                <w:sz w:val="20"/>
                <w:szCs w:val="20"/>
              </w:rPr>
              <w:t xml:space="preserve">―</w:t>
            </w:r>
          </w:p>
        </w:tc>
      </w:tr>
    </w:tbl>
    <w:p>
      <w:pPr>
        <w:spacing w:after="100"/>
      </w:pPr>
    </w:p>
    <w:p>
      <w:pPr>
        <w:pStyle w:val="Heading1"/>
        <w:spacing w:after="160" w:before="320"/>
      </w:pPr>
      <w:r>
        <w:t xml:space="preserve">QA想定問答（面接・ES対策）</w:t>
      </w:r>
    </w:p>
    <w:p>
      <w:pPr>
        <w:pStyle w:val="Heading3"/>
        <w:spacing w:after="100" w:before="180"/>
      </w:pPr>
      <w:r>
        <w:t xml:space="preserve">Q1. なぜKDDIか（他の通信キャリア・事業会社ではなく）</w:t>
      </w:r>
    </w:p>
    <w:p>
      <w:pPr>
        <w:spacing w:after="120"/>
      </w:pPr>
      <w:r>
        <w:rPr>
          <w:rFonts w:ascii="游ゴシック" w:cs="游ゴシック" w:eastAsia="游ゴシック" w:hAnsi="游ゴシック"/>
          <w:sz w:val="21"/>
          <w:szCs w:val="21"/>
        </w:rPr>
        <w:t xml:space="preserve">A. 通信という安定した顧客基盤を持ちながら、金融・DX・エネルギー・コンビニ（ローソン）など非通信領域へM&amp;Aとオープンイノベーション（無限∞ラボ）の両輪で事業を広げている点に惹かれた。会計・法律の知識を、持分法と連結の使い分けのような複雑な会計処理の場面で活かしたいと考えている。</w:t>
      </w:r>
    </w:p>
    <w:p>
      <w:pPr>
        <w:pStyle w:val="Heading3"/>
        <w:spacing w:after="100" w:before="180"/>
      </w:pPr>
      <w:r>
        <w:t xml:space="preserve">Q2. KDDIの現在の経営課題をどう見るか</w:t>
      </w:r>
    </w:p>
    <w:p>
      <w:pPr>
        <w:spacing w:after="120"/>
      </w:pPr>
      <w:r>
        <w:rPr>
          <w:rFonts w:ascii="游ゴシック" w:cs="游ゴシック" w:eastAsia="游ゴシック" w:hAnsi="游ゴシック"/>
          <w:sz w:val="21"/>
          <w:szCs w:val="21"/>
        </w:rPr>
        <w:t xml:space="preserve">A. 2026年に発覚した「不適切取引事案」（グループ会社から329億円が外部流出）が最大の経営課題。単発の不正対応にとどまらず、グループファイナンスの管理強化・AIによる異常値検知の導入など、経理・財務機能そのものの強化として取り組まれている点が特徴的。財務諸表を読み解く力を使って、この論点を決算資料の数字（架空循環取引の外部流出額の推移等）で具体的に説明できる。</w:t>
      </w:r>
    </w:p>
    <w:p>
      <w:pPr>
        <w:pStyle w:val="Heading3"/>
        <w:spacing w:after="100" w:before="180"/>
      </w:pPr>
      <w:r>
        <w:t xml:space="preserve">Q3. 経理・財務部門に向いている理由</w:t>
      </w:r>
    </w:p>
    <w:p>
      <w:pPr>
        <w:spacing w:after="120"/>
      </w:pPr>
      <w:r>
        <w:rPr>
          <w:rFonts w:ascii="游ゴシック" w:cs="游ゴシック" w:eastAsia="游ゴシック" w:hAnsi="游ゴシック"/>
          <w:sz w:val="21"/>
          <w:szCs w:val="21"/>
        </w:rPr>
        <w:t xml:space="preserve">A. 公認会計士試験の学習で培った「原因分析→仮説検証→改善策の実行」というプロセスは、まさにKDDIが不適切取引事案を受けて進めている再発防止のアプローチ（総点検→ルール見直し→モニタリング）と重なる。企業法ゼミで培った法的な構造理解も、M&amp;Aにおける出資比率と会計処理（持分法／連結）の対応関係を理解するうえで活かせる。</w:t>
      </w:r>
    </w:p>
    <w:p>
      <w:pPr>
        <w:pStyle w:val="Heading3"/>
        <w:spacing w:after="100" w:before="180"/>
      </w:pPr>
      <w:r>
        <w:t xml:space="preserve">Q4. auフィナンシャルホールディングスの上場検討についてどう考えるか</w:t>
      </w:r>
    </w:p>
    <w:p>
      <w:pPr>
        <w:spacing w:after="120"/>
      </w:pPr>
      <w:r>
        <w:rPr>
          <w:rFonts w:ascii="游ゴシック" w:cs="游ゴシック" w:eastAsia="游ゴシック" w:hAnsi="游ゴシック"/>
          <w:sz w:val="21"/>
          <w:szCs w:val="21"/>
        </w:rPr>
        <w:t xml:space="preserve">A. 「KDDI連結のバランスシート最適化」が理由として挙げられている点に注目したい。子会社を上場させることで、連結貸借対照表における非支配持分・資本構成が変化し、KDDI本体としての資本効率（ROE・ROIC）を高める効果が期待できる。M&amp;Aで拡大するだけでなく、こうした資本政策の見直しも財務・経理部門の重要な役割だと理解している。</w:t>
      </w:r>
    </w:p>
    <w:p>
      <w:pPr>
        <w:pStyle w:val="Heading3"/>
        <w:spacing w:after="100" w:before="180"/>
      </w:pPr>
      <w:r>
        <w:t xml:space="preserve">Q5. KDDIはなぜM&amp;Aとダイベストメントを同時に進めているのか</w:t>
      </w:r>
    </w:p>
    <w:p>
      <w:pPr>
        <w:spacing w:after="120"/>
      </w:pPr>
      <w:r>
        <w:rPr>
          <w:rFonts w:ascii="游ゴシック" w:cs="游ゴシック" w:eastAsia="游ゴシック" w:hAnsi="游ゴシック"/>
          <w:sz w:val="21"/>
          <w:szCs w:val="21"/>
        </w:rPr>
        <w:t xml:space="preserve">A. 中期経営戦略のキャピタルアロケーションポリシーでは、Net Debt/EBITDA 2.0倍という財務規律を保ちながら1兆円/3年規模の成長投資を行う方針を掲げている。無限に借入を増やすのではなく、資本コストに見合わない事業（ライフネット生命等）を売却して原資を作り、その分を戦略的合理性の高い領域（金融・DX等）に再配分する、新陳代謝を伴う成長モデルだと理解している。</w:t>
      </w:r>
    </w:p>
    <w:p>
      <w:pPr>
        <w:spacing w:after="100"/>
      </w:pPr>
    </w:p>
    <w:p>
      <w:pPr>
        <w:pStyle w:val="Heading1"/>
        <w:spacing w:after="160" w:before="320"/>
      </w:pPr>
      <w:r>
        <w:t xml:space="preserve">出典</w:t>
      </w:r>
    </w:p>
    <w:p>
      <w:pPr>
        <w:pStyle w:val="ListParagraph"/>
        <w:numPr>
          <w:ilvl w:val="0"/>
          <w:numId w:val="2"/>
        </w:numPr>
        <w:spacing w:after="80"/>
      </w:pPr>
      <w:r>
        <w:t xml:space="preserve">KDDI株式会社「2026年3月期決算」説明会資料（2026年5月12日発表）</w:t>
      </w:r>
    </w:p>
    <w:p>
      <w:pPr>
        <w:pStyle w:val="ListParagraph"/>
        <w:numPr>
          <w:ilvl w:val="0"/>
          <w:numId w:val="2"/>
        </w:numPr>
        <w:spacing w:after="80"/>
      </w:pPr>
      <w:r>
        <w:t xml:space="preserve">KDDI株式会社「中期経営戦略（27.3期-29.3期）“Power-to-Connect 2028”」（2026年5月12日発表）</w:t>
      </w:r>
    </w:p>
    <w:p>
      <w:pPr>
        <w:pStyle w:val="ListParagraph"/>
        <w:numPr>
          <w:ilvl w:val="0"/>
          <w:numId w:val="2"/>
        </w:numPr>
        <w:spacing w:after="80"/>
      </w:pPr>
      <w:r>
        <w:t xml:space="preserve">KDDI株式会社「2027年3月期1Q決算」説明会資料（2026年8月7日発表）</w:t>
      </w:r>
    </w:p>
    <w:p>
      <w:pPr>
        <w:pStyle w:val="ListParagraph"/>
        <w:numPr>
          <w:ilvl w:val="0"/>
          <w:numId w:val="2"/>
        </w:numPr>
        <w:spacing w:after="80"/>
      </w:pPr>
      <w:r>
        <w:t xml:space="preserve">会社概要｜KDDI株式会社（https://www.kddi.com/corporate/）、日経電子版企業概要</w:t>
      </w:r>
    </w:p>
    <w:p>
      <w:pPr>
        <w:pStyle w:val="ListParagraph"/>
        <w:numPr>
          <w:ilvl w:val="0"/>
          <w:numId w:val="2"/>
        </w:numPr>
        <w:spacing w:after="80"/>
      </w:pPr>
      <w:r>
        <w:t xml:space="preserve">KDDI - Wikipedia（https://en.wikipedia.org/wiki/KDDI）</w:t>
      </w:r>
    </w:p>
    <w:p>
      <w:pPr>
        <w:pStyle w:val="ListParagraph"/>
        <w:numPr>
          <w:ilvl w:val="0"/>
          <w:numId w:val="2"/>
        </w:numPr>
        <w:spacing w:after="80"/>
      </w:pPr>
      <w:r>
        <w:t xml:space="preserve">KDDIのケーブルテレビ関連事業をJ:COMに集約（JCOM、2023年7月発表）</w:t>
      </w:r>
    </w:p>
    <w:p>
      <w:pPr>
        <w:pStyle w:val="ListParagraph"/>
        <w:numPr>
          <w:ilvl w:val="0"/>
          <w:numId w:val="2"/>
        </w:numPr>
        <w:spacing w:after="80"/>
      </w:pPr>
      <w:r>
        <w:t xml:space="preserve">KDDI、28日からローソンにTOB 5000億円投じ非公開化（日本経済新聞）</w:t>
      </w:r>
    </w:p>
    <w:p>
      <w:pPr>
        <w:pStyle w:val="ListParagraph"/>
        <w:numPr>
          <w:ilvl w:val="0"/>
          <w:numId w:val="2"/>
        </w:numPr>
        <w:spacing w:after="80"/>
      </w:pPr>
      <w:r>
        <w:t xml:space="preserve">KDDI、ラックへのTOBが成立（日本M&amp;Aセンター）</w:t>
      </w:r>
    </w:p>
    <w:p>
      <w:pPr>
        <w:spacing w:after="160"/>
      </w:pPr>
      <w:r>
        <w:rPr>
          <w:rFonts w:ascii="游ゴシック" w:cs="游ゴシック" w:eastAsia="游ゴシック" w:hAnsi="游ゴシック"/>
          <w:color w:val="666666"/>
          <w:sz w:val="18"/>
          <w:szCs w:val="18"/>
        </w:rPr>
        <w:t xml:space="preserve">※M&amp;A・無限∞ラボの詳細出典は別紙「KDDIのM&amp;A動向」を参照</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320"/>
    </w:pPr>
    <w:rPr>
      <w:rFonts w:ascii="游ゴシック" w:cs="游ゴシック" w:eastAsia="游ゴシック" w:hAnsi="游ゴシック"/>
      <w:b/>
      <w:bCs/>
      <w:color w:val="1F3864"/>
      <w:sz w:val="30"/>
      <w:szCs w:val="30"/>
    </w:rPr>
  </w:style>
  <w:style w:type="paragraph" w:styleId="Heading2">
    <w:name w:val="Heading 2"/>
    <w:basedOn w:val="Normal"/>
    <w:next w:val="Normal"/>
    <w:qFormat/>
    <w:pPr>
      <w:spacing w:after="120" w:before="240"/>
    </w:pPr>
    <w:rPr>
      <w:rFonts w:ascii="游ゴシック" w:cs="游ゴシック" w:eastAsia="游ゴシック" w:hAnsi="游ゴシック"/>
      <w:b/>
      <w:bCs/>
      <w:color w:val="1F3864"/>
      <w:sz w:val="24"/>
      <w:szCs w:val="24"/>
    </w:rPr>
  </w:style>
  <w:style w:type="paragraph" w:styleId="Heading3">
    <w:name w:val="Heading 3"/>
    <w:basedOn w:val="Normal"/>
    <w:next w:val="Normal"/>
    <w:qFormat/>
    <w:pPr>
      <w:spacing w:after="100" w:before="180"/>
    </w:pPr>
    <w:rPr>
      <w:rFonts w:ascii="游ゴシック" w:cs="游ゴシック" w:eastAsia="游ゴシック" w:hAnsi="游ゴシック"/>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2026-09-16T22:50:58.516Z</dcterms:created>
  <dcterms:modified xsi:type="dcterms:W3CDTF">2026-09-16T22:50:58.525Z</dcterms:modified>
</cp:coreProperties>
</file>

<file path=docProps/custom.xml><?xml version="1.0" encoding="utf-8"?>
<Properties xmlns="http://schemas.openxmlformats.org/officeDocument/2006/custom-properties" xmlns:vt="http://schemas.openxmlformats.org/officeDocument/2006/docPropsVTypes"/>
</file>