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120"/>
      </w:pPr>
      <w:r>
        <w:rPr>
          <w:b/>
          <w:bCs/>
          <w:color w:val="1F3864"/>
          <w:sz w:val="30"/>
          <w:szCs w:val="30"/>
        </w:rPr>
        <w:t xml:space="preserve">信託銀行の業務比較表（主要グループ別）</w:t>
      </w:r>
    </w:p>
    <w:p>
      <w:pPr>
        <w:spacing w:after="100" w:line="264"/>
      </w:pPr>
      <w:r>
        <w:rPr>
          <w:i w:val="false"/>
          <w:iCs w:val="false"/>
          <w:sz w:val="20"/>
          <w:szCs w:val="20"/>
        </w:rPr>
        <w:t xml:space="preserve">信託銀行の業務は大きく「銀行業務」「信託業務（信託法・信託業法上の基本類型）」「併営業務（個人向け・法人向け）」の3つに整理できます。以下は、主要な信託銀行グループを横軸に、業務種類を縦軸にとり、各業務の取扱い状況を整理したもので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tbl>
      <w:tblPr>
        <w:tblW w:type="dxa" w:w="1539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00"/>
        <w:gridCol w:w="2040"/>
        <w:gridCol w:w="2040"/>
        <w:gridCol w:w="2040"/>
        <w:gridCol w:w="1600"/>
        <w:gridCol w:w="2400"/>
        <w:gridCol w:w="2078"/>
      </w:tblGrid>
      <w:tr>
        <w:trPr>
          <w:tblHeader/>
        </w:trPr>
        <w:tc>
          <w:tcPr>
            <w:tcW w:type="dxa" w:w="320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業務種類</w:t>
            </w:r>
          </w:p>
        </w:tc>
        <w:tc>
          <w:tcPr>
            <w:tcW w:type="dxa" w:w="204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①みずほ</w:t>
            </w:r>
          </w:p>
          <w:p>
            <w:pPr>
              <w:spacing w:after="0" w:line="216"/>
              <w:jc w:val="center"/>
            </w:pPr>
            <w:r>
              <w:rPr>
                <w:b/>
                <w:bCs/>
                <w:color w:val="FFFFFF"/>
                <w:sz w:val="16"/>
                <w:szCs w:val="16"/>
              </w:rPr>
              <w:t xml:space="preserve">グループ</w:t>
            </w:r>
          </w:p>
        </w:tc>
        <w:tc>
          <w:tcPr>
            <w:tcW w:type="dxa" w:w="204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②三菱UFJ</w:t>
            </w:r>
          </w:p>
          <w:p>
            <w:pPr>
              <w:spacing w:after="0" w:line="216"/>
              <w:jc w:val="center"/>
            </w:pPr>
            <w:r>
              <w:rPr>
                <w:b/>
                <w:bCs/>
                <w:color w:val="FFFFFF"/>
                <w:sz w:val="16"/>
                <w:szCs w:val="16"/>
              </w:rPr>
              <w:t xml:space="preserve">グループ</w:t>
            </w:r>
          </w:p>
        </w:tc>
        <w:tc>
          <w:tcPr>
            <w:tcW w:type="dxa" w:w="204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③りそな</w:t>
            </w:r>
          </w:p>
          <w:p>
            <w:pPr>
              <w:spacing w:after="0" w:line="216"/>
              <w:jc w:val="center"/>
            </w:pPr>
            <w:r>
              <w:rPr>
                <w:b/>
                <w:bCs/>
                <w:color w:val="FFFFFF"/>
                <w:sz w:val="16"/>
                <w:szCs w:val="16"/>
              </w:rPr>
              <w:t xml:space="preserve">グループ</w:t>
            </w:r>
          </w:p>
        </w:tc>
        <w:tc>
          <w:tcPr>
            <w:tcW w:type="dxa" w:w="160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④ゆうちょ</w:t>
            </w:r>
          </w:p>
        </w:tc>
        <w:tc>
          <w:tcPr>
            <w:tcW w:type="dxa" w:w="240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⑤三井住友</w:t>
            </w:r>
          </w:p>
          <w:p>
            <w:pPr>
              <w:spacing w:after="0" w:line="216"/>
              <w:jc w:val="center"/>
            </w:pPr>
            <w:r>
              <w:rPr>
                <w:b/>
                <w:bCs/>
                <w:color w:val="FFFFFF"/>
                <w:sz w:val="16"/>
                <w:szCs w:val="16"/>
              </w:rPr>
              <w:t xml:space="preserve">グループ</w:t>
            </w:r>
          </w:p>
        </w:tc>
        <w:tc>
          <w:tcPr>
            <w:tcW w:type="dxa" w:w="2078"/>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⑦その他</w:t>
            </w:r>
          </w:p>
        </w:tc>
      </w:tr>
      <w:tr>
        <w:trPr>
          <w:cantSplit/>
          <w:tblHeader w:val="false"/>
        </w:trPr>
        <w:tc>
          <w:tcPr>
            <w:tcW w:type="dxa" w:w="15398"/>
            <w:gridSpan w:val="7"/>
            <w:shd w:fill="D9E2F3" w:val="clear"/>
            <w:tcMar>
              <w:top w:type="dxa" w:w="60"/>
              <w:left w:type="dxa" w:w="100"/>
              <w:bottom w:type="dxa" w:w="60"/>
              <w:right w:type="dxa" w:w="80"/>
            </w:tcMar>
          </w:tcPr>
          <w:p>
            <w:pPr>
              <w:spacing w:after="0" w:line="216"/>
              <w:jc w:val="left"/>
            </w:pPr>
            <w:r>
              <w:rPr>
                <w:b/>
                <w:bCs/>
                <w:color w:val="1F3864"/>
                <w:sz w:val="16"/>
                <w:szCs w:val="16"/>
              </w:rPr>
              <w:t xml:space="preserve">A. 銀行業務（信託銀行が併営する普通銀行業務）</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 預金業務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p>
            <w:pPr>
              <w:spacing w:after="0" w:line="200"/>
            </w:pPr>
            <w:r>
              <w:rPr>
                <w:sz w:val="14"/>
                <w:szCs w:val="14"/>
              </w:rPr>
              <w:t xml:space="preserve">埼玉りそな銀行</w:t>
            </w:r>
          </w:p>
        </w:tc>
        <w:tc>
          <w:tcPr>
            <w:tcW w:type="dxa" w:w="16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ゆうちょ銀行</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p>
            <w:pPr>
              <w:spacing w:after="0" w:line="200"/>
            </w:pPr>
            <w:r>
              <w:rPr>
                <w:sz w:val="14"/>
                <w:szCs w:val="14"/>
              </w:rPr>
              <w:t xml:space="preserve">SMBC信託銀行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野村信託銀行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2. 貸出業務（融資）</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p>
            <w:pPr>
              <w:spacing w:after="0" w:line="200"/>
            </w:pPr>
            <w:r>
              <w:rPr>
                <w:sz w:val="14"/>
                <w:szCs w:val="14"/>
              </w:rPr>
              <w:t xml:space="preserve">埼玉りそな銀行</w:t>
            </w:r>
          </w:p>
        </w:tc>
        <w:tc>
          <w:tcPr>
            <w:tcW w:type="dxa" w:w="1600"/>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sz w:val="14"/>
                <w:szCs w:val="14"/>
              </w:rPr>
              <w:t xml:space="preserve">ゆうちょ銀行</w:t>
            </w:r>
          </w:p>
          <w:p>
            <w:pPr>
              <w:spacing w:after="0" w:line="200"/>
            </w:pPr>
            <w:r>
              <w:rPr>
                <w:i/>
                <w:iCs/>
                <w:color w:val="666666"/>
                <w:sz w:val="12"/>
                <w:szCs w:val="12"/>
              </w:rPr>
              <w:t xml:space="preserve">直接融資は法制上限定的</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p>
            <w:pPr>
              <w:spacing w:after="0" w:line="200"/>
            </w:pPr>
            <w:r>
              <w:rPr>
                <w:sz w:val="14"/>
                <w:szCs w:val="14"/>
              </w:rPr>
              <w:t xml:space="preserve">SMBC信託銀行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sz w:val="14"/>
                <w:szCs w:val="14"/>
              </w:rPr>
              <w:t xml:space="preserve">野村信託銀行 等</w:t>
            </w:r>
          </w:p>
          <w:p>
            <w:pPr>
              <w:spacing w:after="0" w:line="200"/>
            </w:pPr>
            <w:r>
              <w:rPr>
                <w:i/>
                <w:iCs/>
                <w:color w:val="666666"/>
                <w:sz w:val="12"/>
                <w:szCs w:val="12"/>
              </w:rPr>
              <w:t xml:space="preserve">会社により限定的</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3. 為替業務（振込・振替）</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p>
            <w:pPr>
              <w:spacing w:after="0" w:line="200"/>
            </w:pPr>
            <w:r>
              <w:rPr>
                <w:sz w:val="14"/>
                <w:szCs w:val="14"/>
              </w:rPr>
              <w:t xml:space="preserve">埼玉りそな銀行</w:t>
            </w:r>
          </w:p>
        </w:tc>
        <w:tc>
          <w:tcPr>
            <w:tcW w:type="dxa" w:w="16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ゆうちょ銀行</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p>
            <w:pPr>
              <w:spacing w:after="0" w:line="200"/>
            </w:pPr>
            <w:r>
              <w:rPr>
                <w:sz w:val="14"/>
                <w:szCs w:val="14"/>
              </w:rPr>
              <w:t xml:space="preserve">SMBC信託銀行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野村信託銀行 等</w:t>
            </w:r>
          </w:p>
        </w:tc>
      </w:tr>
      <w:tr>
        <w:trPr>
          <w:cantSplit/>
          <w:tblHeader w:val="false"/>
        </w:trPr>
        <w:tc>
          <w:tcPr>
            <w:tcW w:type="dxa" w:w="15398"/>
            <w:gridSpan w:val="7"/>
            <w:shd w:fill="D9E2F3" w:val="clear"/>
            <w:tcMar>
              <w:top w:type="dxa" w:w="60"/>
              <w:left w:type="dxa" w:w="100"/>
              <w:bottom w:type="dxa" w:w="60"/>
              <w:right w:type="dxa" w:w="80"/>
            </w:tcMar>
          </w:tcPr>
          <w:p>
            <w:pPr>
              <w:spacing w:after="0" w:line="216"/>
              <w:jc w:val="left"/>
            </w:pPr>
            <w:r>
              <w:rPr>
                <w:b/>
                <w:bCs/>
                <w:color w:val="1F3864"/>
                <w:sz w:val="16"/>
                <w:szCs w:val="16"/>
              </w:rPr>
              <w:t xml:space="preserve">B. 信託業務（信託法・信託業法上の基本類型）</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4. 金銭の信託（合同運用指定金銭信託 等）</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p>
            <w:pPr>
              <w:spacing w:after="0" w:line="200"/>
            </w:pPr>
            <w:r>
              <w:rPr>
                <w:i/>
                <w:iCs/>
                <w:color w:val="666666"/>
                <w:sz w:val="12"/>
                <w:szCs w:val="12"/>
              </w:rPr>
              <w:t xml:space="preserve">信託業の免許なし</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農中信託銀行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5. 金銭信託以外の金銭の信託（特定金銭信託 等）</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p>
            <w:pPr>
              <w:spacing w:after="0" w:line="200"/>
            </w:pPr>
            <w:r>
              <w:rPr>
                <w:sz w:val="14"/>
                <w:szCs w:val="14"/>
              </w:rPr>
              <w:t xml:space="preserve">SMBC信託銀行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日本カストディ銀行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6. 有価証券の信託</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日本カストディ銀行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7. 金銭債権の信託</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i/>
                <w:iCs/>
                <w:color w:val="666666"/>
                <w:sz w:val="12"/>
                <w:szCs w:val="12"/>
              </w:rPr>
              <w:t xml:space="preserve">専業性の高い会社は限定的</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8. 動産の信託</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i/>
                <w:iCs/>
                <w:color w:val="666666"/>
                <w:sz w:val="12"/>
                <w:szCs w:val="12"/>
              </w:rPr>
              <w:t xml:space="preserve">取扱いは限定的</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999999"/>
                <w:sz w:val="17"/>
                <w:szCs w:val="17"/>
              </w:rPr>
              <w:t xml:space="preserve">×</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9. 不動産の信託</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sz w:val="14"/>
                <w:szCs w:val="14"/>
              </w:rPr>
              <w:t xml:space="preserve">あおぞら信託銀行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10. 土地・土地の賃借権等の信託</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tc>
      </w:tr>
      <w:tr>
        <w:trPr>
          <w:cantSplit/>
          <w:tblHeader w:val="false"/>
        </w:trPr>
        <w:tc>
          <w:tcPr>
            <w:tcW w:type="dxa" w:w="15398"/>
            <w:gridSpan w:val="7"/>
            <w:shd w:fill="D9E2F3" w:val="clear"/>
            <w:tcMar>
              <w:top w:type="dxa" w:w="60"/>
              <w:left w:type="dxa" w:w="100"/>
              <w:bottom w:type="dxa" w:w="60"/>
              <w:right w:type="dxa" w:w="80"/>
            </w:tcMar>
          </w:tcPr>
          <w:p>
            <w:pPr>
              <w:spacing w:after="0" w:line="216"/>
              <w:jc w:val="left"/>
            </w:pPr>
            <w:r>
              <w:rPr>
                <w:b/>
                <w:bCs/>
                <w:color w:val="1F3864"/>
                <w:sz w:val="16"/>
                <w:szCs w:val="16"/>
              </w:rPr>
              <w:t xml:space="preserve">C. 個人向け併営業務（財産管理・資産承継）</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11. 遺言信託（遺言書の保管・執行）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p>
            <w:pPr>
              <w:spacing w:after="0" w:line="200"/>
            </w:pPr>
            <w:r>
              <w:rPr>
                <w:sz w:val="14"/>
                <w:szCs w:val="14"/>
              </w:rPr>
              <w:t xml:space="preserve">埼玉りそな銀行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p>
            <w:pPr>
              <w:spacing w:after="0" w:line="200"/>
            </w:pPr>
            <w:r>
              <w:rPr>
                <w:i/>
                <w:iCs/>
                <w:color w:val="666666"/>
                <w:sz w:val="12"/>
                <w:szCs w:val="12"/>
              </w:rPr>
              <w:t xml:space="preserve">相談窓口のみ・外部提携先紹介</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p>
            <w:pPr>
              <w:spacing w:after="0" w:line="200"/>
            </w:pPr>
            <w:r>
              <w:rPr>
                <w:sz w:val="14"/>
                <w:szCs w:val="14"/>
              </w:rPr>
              <w:t xml:space="preserve">SMBC信託銀行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sz w:val="14"/>
                <w:szCs w:val="14"/>
              </w:rPr>
              <w:t xml:space="preserve">野村信託銀行 等</w:t>
            </w:r>
          </w:p>
          <w:p>
            <w:pPr>
              <w:spacing w:after="0" w:line="200"/>
            </w:pPr>
            <w:r>
              <w:rPr>
                <w:i/>
                <w:iCs/>
                <w:color w:val="666666"/>
                <w:sz w:val="12"/>
                <w:szCs w:val="12"/>
              </w:rPr>
              <w:t xml:space="preserve">取扱いは限定的</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12. 遺産整理業務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13. 暦年贈与信託</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999999"/>
                <w:sz w:val="17"/>
                <w:szCs w:val="17"/>
              </w:rPr>
              <w:t xml:space="preserve">×</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14. 教育資金贈与信託</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999999"/>
                <w:sz w:val="17"/>
                <w:szCs w:val="17"/>
              </w:rPr>
              <w:t xml:space="preserve">×</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15. 後見制度支援信託</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999999"/>
                <w:sz w:val="17"/>
                <w:szCs w:val="17"/>
              </w:rPr>
              <w:t xml:space="preserve">×</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16. 生命保険信託</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999999"/>
                <w:sz w:val="17"/>
                <w:szCs w:val="17"/>
              </w:rPr>
              <w:t xml:space="preserve">×</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17. 家族信託（民事信託）関連コンサルティング</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i/>
                <w:iCs/>
                <w:color w:val="666666"/>
                <w:sz w:val="12"/>
                <w:szCs w:val="12"/>
              </w:rPr>
              <w:t xml:space="preserve">外部提携先の紹介にとどまる</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999999"/>
                <w:sz w:val="17"/>
                <w:szCs w:val="17"/>
              </w:rPr>
              <w:t xml:space="preserve">×</w:t>
            </w:r>
          </w:p>
        </w:tc>
      </w:tr>
      <w:tr>
        <w:trPr>
          <w:cantSplit/>
          <w:tblHeader w:val="false"/>
        </w:trPr>
        <w:tc>
          <w:tcPr>
            <w:tcW w:type="dxa" w:w="15398"/>
            <w:gridSpan w:val="7"/>
            <w:shd w:fill="D9E2F3" w:val="clear"/>
            <w:tcMar>
              <w:top w:type="dxa" w:w="60"/>
              <w:left w:type="dxa" w:w="100"/>
              <w:bottom w:type="dxa" w:w="60"/>
              <w:right w:type="dxa" w:w="80"/>
            </w:tcMar>
          </w:tcPr>
          <w:p>
            <w:pPr>
              <w:spacing w:after="0" w:line="216"/>
              <w:jc w:val="left"/>
            </w:pPr>
            <w:r>
              <w:rPr>
                <w:b/>
                <w:bCs/>
                <w:color w:val="1F3864"/>
                <w:sz w:val="16"/>
                <w:szCs w:val="16"/>
              </w:rPr>
              <w:t xml:space="preserve">D. 法人向け併営業務</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18. 証券代行業務（株主名簿管理人）</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999999"/>
                <w:sz w:val="17"/>
                <w:szCs w:val="17"/>
              </w:rPr>
              <w:t xml:space="preserve">×</w:t>
            </w:r>
          </w:p>
          <w:p>
            <w:pPr>
              <w:spacing w:after="0" w:line="200"/>
            </w:pPr>
            <w:r>
              <w:rPr>
                <w:i/>
                <w:iCs/>
                <w:color w:val="666666"/>
                <w:sz w:val="12"/>
                <w:szCs w:val="12"/>
              </w:rPr>
              <w:t xml:space="preserve">※1 要確認</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999999"/>
                <w:sz w:val="17"/>
                <w:szCs w:val="17"/>
              </w:rPr>
              <w:t xml:space="preserve">×</w:t>
            </w:r>
          </w:p>
          <w:p>
            <w:pPr>
              <w:spacing w:after="0" w:line="200"/>
            </w:pPr>
            <w:r>
              <w:rPr>
                <w:i/>
                <w:iCs/>
                <w:color w:val="666666"/>
                <w:sz w:val="12"/>
                <w:szCs w:val="12"/>
              </w:rPr>
              <w:t xml:space="preserve">専業会社（東京証券代行 等）が中心</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19. 企業年金信託（DB・DC運営管理 等）</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p>
            <w:pPr>
              <w:spacing w:after="0" w:line="200"/>
            </w:pPr>
            <w:r>
              <w:rPr>
                <w:sz w:val="14"/>
                <w:szCs w:val="14"/>
              </w:rPr>
              <w:t xml:space="preserve">SMBC信託銀行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農中信託銀行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20. 資産流動化・証券化業務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あおぞら信託銀行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21. 資産管理（カストディ）業務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p>
            <w:pPr>
              <w:spacing w:after="0" w:line="200"/>
            </w:pPr>
            <w:r>
              <w:rPr>
                <w:sz w:val="14"/>
                <w:szCs w:val="14"/>
              </w:rPr>
              <w:t xml:space="preserve">SMBC信託銀行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日本カストディ銀行（専業）</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22. 証券投資信託の受託業務（信託財産の保管・管理）</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p>
            <w:pPr>
              <w:spacing w:after="0" w:line="200"/>
            </w:pPr>
            <w:r>
              <w:rPr>
                <w:sz w:val="14"/>
                <w:szCs w:val="14"/>
              </w:rPr>
              <w:t xml:space="preserve">SMBC信託銀行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野村信託銀行</w:t>
            </w:r>
          </w:p>
          <w:p>
            <w:pPr>
              <w:spacing w:after="0" w:line="200"/>
            </w:pPr>
            <w:r>
              <w:rPr>
                <w:sz w:val="14"/>
                <w:szCs w:val="14"/>
              </w:rPr>
              <w:t xml:space="preserve">日本カストディ銀行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23. 不動産業務（仲介・鑑定評価・有効活用コンサル）</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sz w:val="14"/>
                <w:szCs w:val="14"/>
              </w:rPr>
              <w:t xml:space="preserve">あおぞら信託銀行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24. 不動産投資顧問業務（私募REIT・J-REIT運用 等）</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B36B00"/>
                <w:sz w:val="17"/>
                <w:szCs w:val="17"/>
              </w:rPr>
              <w:t xml:space="preserve">△</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25. プライベートバンキング業務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sz w:val="14"/>
                <w:szCs w:val="14"/>
              </w:rPr>
              <w:t xml:space="preserve">野村信託銀行</w:t>
            </w:r>
          </w:p>
          <w:p>
            <w:pPr>
              <w:spacing w:after="0" w:line="200"/>
            </w:pPr>
            <w:r>
              <w:rPr>
                <w:i/>
                <w:iCs/>
                <w:color w:val="666666"/>
                <w:sz w:val="12"/>
                <w:szCs w:val="12"/>
              </w:rPr>
              <w:t xml:space="preserve">野村證券と連携</w:t>
            </w:r>
          </w:p>
        </w:tc>
      </w:tr>
    </w:tbl>
    <w:p>
      <w:pPr>
        <w:spacing w:before="200"/>
      </w:pPr>
    </w:p>
    <w:p>
      <w:pPr>
        <w:pStyle w:val="Heading2"/>
        <w:spacing w:after="80" w:before="160"/>
      </w:pPr>
      <w:r>
        <w:rPr>
          <w:b/>
          <w:bCs/>
          <w:color w:val="2F5496"/>
          <w:sz w:val="22"/>
          <w:szCs w:val="22"/>
        </w:rPr>
        <w:t xml:space="preserve">グループ区分について（注記）</w:t>
      </w:r>
    </w:p>
    <w:p>
      <w:pPr>
        <w:spacing w:after="40" w:line="240"/>
        <w:ind w:left="260"/>
      </w:pPr>
      <w:r>
        <w:rPr>
          <w:sz w:val="19"/>
          <w:szCs w:val="19"/>
        </w:rPr>
        <w:t xml:space="preserve">・①みずほグループ：みずほフィナンシャルグループ傘下の「みずほ信託銀行」が信託業務を担う。</w:t>
      </w:r>
    </w:p>
    <w:p>
      <w:pPr>
        <w:spacing w:after="40" w:line="240"/>
        <w:ind w:left="260"/>
      </w:pPr>
      <w:r>
        <w:rPr>
          <w:sz w:val="19"/>
          <w:szCs w:val="19"/>
        </w:rPr>
        <w:t xml:space="preserve">・②三菱UFJグループ：三菱UFJフィナンシャル・グループ傘下の「三菱UFJ信託銀行」が信託業務を担う。</w:t>
      </w:r>
    </w:p>
    <w:p>
      <w:pPr>
        <w:spacing w:after="40" w:line="240"/>
        <w:ind w:left="260"/>
      </w:pPr>
      <w:r>
        <w:rPr>
          <w:sz w:val="19"/>
          <w:szCs w:val="19"/>
        </w:rPr>
        <w:t xml:space="preserve">・③りそなグループ：普通銀行と信託銀行を兼営する「りそな銀行」「埼玉りそな銀行」が窓口。信託専業の別会社は持たない。</w:t>
      </w:r>
    </w:p>
    <w:p>
      <w:pPr>
        <w:spacing w:after="40" w:line="240"/>
        <w:ind w:left="260"/>
      </w:pPr>
      <w:r>
        <w:rPr>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spacing w:after="80" w:before="160"/>
      </w:pPr>
      <w:r>
        <w:rPr>
          <w:b/>
          <w:bCs/>
          <w:color w:val="2F5496"/>
          <w:sz w:val="22"/>
          <w:szCs w:val="22"/>
        </w:rPr>
        <w:t xml:space="preserve">注釈</w:t>
      </w:r>
    </w:p>
    <w:p>
      <w:pPr>
        <w:spacing w:after="40" w:line="220"/>
      </w:pPr>
      <w:r>
        <w:rPr>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ectPr>
          <w:pgSz w:w="16838" w:h="11906" w:orient="landscape"/>
          <w:pgMar w:top="700" w:right="720" w:bottom="700" w:left="720" w:header="708" w:footer="708" w:gutter="0"/>
          <w:pgNumType/>
          <w:docGrid w:linePitch="360"/>
        </w:sectPr>
      </w:pPr>
    </w:p>
    <w:p>
      <w:pPr>
        <w:pStyle w:val="Heading1"/>
        <w:spacing w:after="120" w:before="120"/>
      </w:pPr>
      <w:r>
        <w:rPr>
          <w:b/>
          <w:bCs/>
          <w:color w:val="1F3864"/>
          <w:sz w:val="30"/>
          <w:szCs w:val="30"/>
        </w:rPr>
        <w:t xml:space="preserve">業務内容の説明</w:t>
      </w:r>
    </w:p>
    <w:p>
      <w:pPr>
        <w:spacing w:after="100" w:line="264"/>
      </w:pPr>
      <w:r>
        <w:rPr>
          <w:i w:val="false"/>
          <w:iCs w:val="false"/>
          <w:sz w:val="20"/>
          <w:szCs w:val="20"/>
        </w:rPr>
        <w:t xml:space="preserve">上表で用いた25の業務種類について、それぞれの業務内容を簡潔にまとめた一覧です。</w:t>
      </w:r>
    </w:p>
    <w:tbl>
      <w:tblPr>
        <w:tblW w:type="dxa" w:w="10466"/>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00"/>
        <w:gridCol w:w="7266"/>
      </w:tblGrid>
      <w:tr>
        <w:trPr>
          <w:tblHeader/>
        </w:trPr>
        <w:tc>
          <w:tcPr>
            <w:tcW w:type="dxa" w:w="3200"/>
            <w:shd w:fill="2F5496" w:val="clear"/>
            <w:tcMar>
              <w:top w:type="dxa" w:w="60"/>
              <w:left w:type="dxa" w:w="80"/>
              <w:bottom w:type="dxa" w:w="60"/>
              <w:right w:type="dxa" w:w="80"/>
            </w:tcMar>
            <w:vAlign w:val="center"/>
          </w:tcPr>
          <w:p>
            <w:pPr>
              <w:spacing w:after="0" w:line="216"/>
              <w:jc w:val="center"/>
            </w:pPr>
            <w:r>
              <w:rPr>
                <w:b/>
                <w:bCs/>
                <w:color w:val="FFFFFF"/>
                <w:sz w:val="18"/>
                <w:szCs w:val="18"/>
              </w:rPr>
              <w:t xml:space="preserve">業務種類</w:t>
            </w:r>
          </w:p>
        </w:tc>
        <w:tc>
          <w:tcPr>
            <w:tcW w:type="dxa" w:w="7266"/>
            <w:shd w:fill="2F5496" w:val="clear"/>
            <w:tcMar>
              <w:top w:type="dxa" w:w="60"/>
              <w:left w:type="dxa" w:w="80"/>
              <w:bottom w:type="dxa" w:w="60"/>
              <w:right w:type="dxa" w:w="80"/>
            </w:tcMar>
            <w:vAlign w:val="center"/>
          </w:tcPr>
          <w:p>
            <w:pPr>
              <w:spacing w:after="0" w:line="216"/>
              <w:jc w:val="center"/>
            </w:pPr>
            <w:r>
              <w:rPr>
                <w:b/>
                <w:bCs/>
                <w:color w:val="FFFFFF"/>
                <w:sz w:val="18"/>
                <w:szCs w:val="18"/>
              </w:rPr>
              <w:t xml:space="preserve">業務内容</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A. 銀行業務（信託銀行が併営する普通銀行業務）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 預金業務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普通預金・定期預金など、顧客から資金を預かり管理する業務。信託銀行は信託業務と兼営する形で、銀行法に基づく預金業務を行う。</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 貸出業務（融資）</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個人・法人向けの融資業務。住宅ローンや事業性融資、コミットメントラインなどを通じて資金を貸し付ける。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3. 為替業務（振込・振替）</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国内外への送金、口座振替、手形・小切手の取立など、資金移動に関する決済業務。</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B. 信託業務（信託法・信託業法上の基本類型）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4. 金銭の信託（合同運用指定金銭信託 等）</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複数の委託者から集めた金銭を信託銀行がまとめて運用し、収益を分配する仕組み。かつての貸付信託などが代表例。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5. 金銭信託以外の金銭の信託（特定金銭信託 等）</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委託者が運用対象や運用方法を指定する金銭の信託。ファンドトラストや特定金銭信託など、機関投資家の資産運用等に用いられる。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6. 有価証券の信託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株式・債券などの有価証券を信託財産として受託し、管理・運用・議決権行使などを行う業務。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7. 金銭債権の信託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売掛金やローン債権などの金銭債権を信託し、資産流動化（証券化）の基礎とする業務。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8. 動産の信託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機械設備や航空機、コンテナなど、動産を信託財産として受託し管理・処分する業務。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9. 不動産の信託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オフィスビルや商業施設等の不動産を信託財産として受託し、賃貸管理や処分を行う業務。不動産の証券化にも活用される。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10. 土地・土地の賃借権等の信託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土地そのものや借地権を信託財産として受託し、有効活用や処分を支援する業務。</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C. 個人向け併営業務（財産管理・資産承継）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11. 遺言信託（遺言書の保管・執行）</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遺言書の作成支援・保管、および遺言者死亡後の遺言執行（財産の分配手続き）までを一貫してサポートする業務。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12. 遺産整理業務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遺言書がない場合等に、相続人の確定、相続財産の調査・評価、遺産分割協議のサポート、名義変更等の相続手続き全般を代行する業務。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13. 暦年贈与信託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毎年の贈与税非課税枠内で計画的に贈与を行うことを支援する信託商品。贈与契約書の作成や資金管理を信託銀行がサポートする。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14. 教育資金贈与信託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祖父母等から孫等への教育資金の一括贈与を、非課税制度を活用しながら管理する信託商品。</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15. 後見制度支援信託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16. 生命保険信託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生命保険金の受取人を信託銀行とし、遺族（受益者）へ分割交付するなど、保険金の管理・給付方法を柔軟に設計できる仕組み。</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17. 家族信託（民事信託）関連コンサルティング</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D. 法人向け併営業務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18. 証券代行業務（株主名簿管理人）</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上場企業に代わり株主名簿の管理、株主総会招集通知の発送、配当金の支払いなどの事務を代行する業務（株主名簿管理人）。</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19. 企業年金信託（DB・DC運営管理 等）</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企業年金（確定給付企業年金・確定拠出年金）の資産を受託し、年金資産の管理・運用、給付事務、確定拠出年金の運営管理業務等を行う。</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20. 資産流動化・証券化業務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不動産や金銭債権を信託の仕組みで証券化し、資金調達や投資商品として組成する業務（SPCスキームやREIT等の基盤となる）。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21. 資産管理（カストディ）業務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機関投資家等に代わり、有価証券の保管・決済・残高管理・議決権行使の事務代行などを行う業務。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22. 証券投資信託の受託業務（信託財産の保管・管理）</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投資信託（ファンド）の信託財産を保管し、資産運用会社の指図に基づき売買執行・計理・基準価額算出等を行う業務。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23. 不動産業務（仲介・鑑定評価・有効活用コンサル）</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不動産の売買仲介、鑑定評価、有効活用に関するコンサルティングなど、信託機能を活かした総合不動産サービス。</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24. 不動産投資顧問業務（私募REIT・J-REIT運用 等）</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私募REITやJ-REIT等の不動産投資法人・ファンドの資産運用会社として、物件の取得・運用・売却の意思決定を行う業務。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25. プライベートバンキング業務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富裕層向けに、資産運用・資産承継・税務相談等を組み合わせた総合的な資産管理サービスを提供する業務。</w:t>
            </w:r>
          </w:p>
        </w:tc>
      </w:tr>
    </w:tbl>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2026-08-22T14:14:08.034Z</dcterms:created>
  <dcterms:modified xsi:type="dcterms:W3CDTF">2026-08-22T14:14:08.034Z</dcterms:modified>
</cp:coreProperties>
</file>

<file path=docProps/custom.xml><?xml version="1.0" encoding="utf-8"?>
<Properties xmlns="http://schemas.openxmlformats.org/officeDocument/2006/custom-properties" xmlns:vt="http://schemas.openxmlformats.org/officeDocument/2006/docPropsVTypes"/>
</file>