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Yu Gothic" w:cs="Yu Gothic" w:eastAsia="Yu Gothic" w:hAnsi="Yu Gothic"/>
          <w:b/>
          <w:bCs/>
          <w:sz w:val="34"/>
          <w:szCs w:val="34"/>
        </w:rPr>
        <w:t xml:space="preserve">KPMG最近のレポート</w:t>
      </w:r>
    </w:p>
    <w:p>
      <w:pPr>
        <w:spacing w:after="80"/>
        <w:jc w:val="center"/>
      </w:pPr>
      <w:r>
        <w:rPr>
          <w:rFonts w:ascii="Yu Gothic" w:cs="Yu Gothic" w:eastAsia="Yu Gothic" w:hAnsi="Yu Gothic"/>
          <w:b/>
          <w:bCs/>
          <w:sz w:val="28"/>
          <w:szCs w:val="28"/>
        </w:rPr>
        <w:t xml:space="preserve">ケース面接対策用 6テーマ要約（詳細版）</w:t>
      </w:r>
    </w:p>
    <w:p>
      <w:pPr>
        <w:spacing w:after="60"/>
        <w:jc w:val="center"/>
      </w:pPr>
      <w:r>
        <w:rPr>
          <w:rFonts w:ascii="Yu Gothic" w:cs="Yu Gothic" w:eastAsia="Yu Gothic" w:hAnsi="Yu Gothic"/>
          <w:sz w:val="20"/>
          <w:szCs w:val="20"/>
        </w:rPr>
        <w:t xml:space="preserve">各レポート1ページ：核心・要点（詳細）・論点となる課題・想定ケース論点</w:t>
      </w:r>
    </w:p>
    <w:p>
      <w:pPr>
        <w:spacing w:after="120"/>
        <w:jc w:val="center"/>
      </w:pPr>
      <w:r>
        <w:rPr>
          <w:rFonts w:ascii="Yu Gothic" w:cs="Yu Gothic" w:eastAsia="Yu Gothic" w:hAnsi="Yu Gothic"/>
          <w:color w:val="555555"/>
          <w:sz w:val="19"/>
          <w:szCs w:val="19"/>
        </w:rPr>
        <w:t xml:space="preserve">2026年7月時点</w:t>
      </w:r>
    </w:p>
    <w:p>
      <w:r>
        <w:br w:type="page"/>
      </w:r>
    </w:p>
    <w:p>
      <w:pPr>
        <w:pStyle w:val="Heading1"/>
        <w:spacing w:after="60" w:before="0"/>
      </w:pPr>
      <w:r>
        <w:rPr>
          <w:rFonts w:ascii="Yu Gothic" w:cs="Yu Gothic" w:eastAsia="Yu Gothic" w:hAnsi="Yu Gothic"/>
          <w:b/>
          <w:bCs/>
          <w:sz w:val="26"/>
          <w:szCs w:val="26"/>
        </w:rPr>
        <w:t xml:space="preserve">1. KPMGグローバルテクノロジーレポート2026</w:t>
      </w:r>
    </w:p>
    <w:p>
      <w:pPr>
        <w:spacing w:after="80"/>
      </w:pPr>
      <w:r>
        <w:rPr>
          <w:rFonts w:ascii="Yu Gothic" w:cs="Yu Gothic" w:eastAsia="Yu Gothic" w:hAnsi="Yu Gothic"/>
          <w:i/>
          <w:iCs/>
          <w:color w:val="555555"/>
          <w:sz w:val="19"/>
          <w:szCs w:val="19"/>
        </w:rPr>
        <w:t xml:space="preserve">AI・量子等が競争環境を変える「インテリジェンス時代」</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750"/>
        <w:gridCol w:w="7810"/>
      </w:tblGrid>
      <w:tr>
        <w:tc>
          <w:tcPr>
            <w:tcW w:type="dxa" w:w="1750"/>
            <w:shd w:fill="00338D" w:val="clear"/>
          </w:tcPr>
          <w:p>
            <w:r>
              <w:rPr>
                <w:rFonts w:ascii="Yu Gothic" w:cs="Yu Gothic" w:eastAsia="Yu Gothic" w:hAnsi="Yu Gothic"/>
                <w:b/>
                <w:bCs/>
                <w:color w:val="FFFFFF"/>
                <w:sz w:val="18"/>
                <w:szCs w:val="18"/>
              </w:rPr>
              <w:t xml:space="preserve">レポートの核心</w:t>
            </w:r>
          </w:p>
        </w:tc>
        <w:tc>
          <w:tcPr>
            <w:tcW w:type="dxa" w:w="7810"/>
            <w:shd w:fill="EEF2FA" w:val="clear"/>
          </w:tcPr>
          <w:p>
            <w:pPr>
              <w:spacing w:line="255"/>
            </w:pPr>
            <w:r>
              <w:rPr>
                <w:rFonts w:ascii="Yu Gothic" w:cs="Yu Gothic" w:eastAsia="Yu Gothic" w:hAnsi="Yu Gothic"/>
                <w:sz w:val="18"/>
                <w:szCs w:val="18"/>
              </w:rPr>
              <w:t xml:space="preserve">AIを試す段階から、ワークフロー・製品・事業モデルに組み込み、企業価値を生み出す段階へ移行する。しかし成果は、AI導入量よりもガバナンス、データ、人材、実行力に左右される。</w:t>
            </w:r>
          </w:p>
        </w:tc>
      </w:tr>
    </w:tbl>
    <w:p>
      <w:pPr>
        <w:pStyle w:val="Heading2"/>
        <w:spacing w:after="50" w:before="130"/>
      </w:pPr>
      <w:r>
        <w:rPr>
          <w:rFonts w:ascii="Yu Gothic" w:cs="Yu Gothic" w:eastAsia="Yu Gothic" w:hAnsi="Yu Gothic"/>
          <w:b/>
          <w:bCs/>
          <w:color w:val="00338D"/>
          <w:sz w:val="21"/>
          <w:szCs w:val="21"/>
        </w:rPr>
        <w:t xml:space="preserve">1. レポートの要点</w:t>
      </w:r>
    </w:p>
    <w:p>
      <w:pPr>
        <w:pStyle w:val="ListParagraph"/>
        <w:numPr>
          <w:ilvl w:val="0"/>
          <w:numId w:val="2"/>
        </w:numPr>
        <w:spacing w:after="25" w:line="255"/>
      </w:pPr>
      <w:r>
        <w:rPr>
          <w:rFonts w:ascii="Yu Gothic" w:cs="Yu Gothic" w:eastAsia="Yu Gothic" w:hAnsi="Yu Gothic"/>
          <w:sz w:val="18"/>
          <w:szCs w:val="18"/>
        </w:rPr>
        <w:t xml:space="preserve">世界27ヵ国・2,500人以上のテクノロジー上級管理職への調査と、グローバル企業経営層・AIリーダー8名へのインタビューに基づき、2026年に取り組むべき8つのアジェンダを提示（2022年から年次発刊）。</w:t>
      </w:r>
    </w:p>
    <w:p>
      <w:pPr>
        <w:pStyle w:val="ListParagraph"/>
        <w:numPr>
          <w:ilvl w:val="0"/>
          <w:numId w:val="2"/>
        </w:numPr>
        <w:spacing w:after="25" w:line="255"/>
      </w:pPr>
      <w:r>
        <w:rPr>
          <w:rFonts w:ascii="Yu Gothic" w:cs="Yu Gothic" w:eastAsia="Yu Gothic" w:hAnsi="Yu Gothic"/>
          <w:sz w:val="18"/>
          <w:szCs w:val="18"/>
        </w:rPr>
        <w:t xml:space="preserve">AIで既に事業価値を創出している組織は74％に達する一方、複数ユースケースでROIを達成している組織は24％、全社規模で大規模展開できている組織は31％にとどまる。導入と価値創出の間に大きなギャップがある。</w:t>
      </w:r>
    </w:p>
    <w:p>
      <w:pPr>
        <w:pStyle w:val="ListParagraph"/>
        <w:numPr>
          <w:ilvl w:val="0"/>
          <w:numId w:val="2"/>
        </w:numPr>
        <w:spacing w:after="25" w:line="255"/>
      </w:pPr>
      <w:r>
        <w:rPr>
          <w:rFonts w:ascii="Yu Gothic" w:cs="Yu Gothic" w:eastAsia="Yu Gothic" w:hAnsi="Yu Gothic"/>
          <w:sz w:val="18"/>
          <w:szCs w:val="18"/>
        </w:rPr>
        <w:t xml:space="preserve">テクノロジー投資の平均ROIは2倍だが、高パフォーマンス組織は平均4.5倍を達成。差を生むのは投資額の大小ではなく、意思決定と実行プロセスの成熟度である。</w:t>
      </w:r>
    </w:p>
    <w:p>
      <w:pPr>
        <w:pStyle w:val="ListParagraph"/>
        <w:numPr>
          <w:ilvl w:val="0"/>
          <w:numId w:val="2"/>
        </w:numPr>
        <w:spacing w:after="25" w:line="255"/>
      </w:pPr>
      <w:r>
        <w:rPr>
          <w:rFonts w:ascii="Yu Gothic" w:cs="Yu Gothic" w:eastAsia="Yu Gothic" w:hAnsi="Yu Gothic"/>
          <w:sz w:val="18"/>
          <w:szCs w:val="18"/>
        </w:rPr>
        <w:t xml:space="preserve">高ROI組織の特徴：早期導入（ROI 2.2倍 対 後発1.4倍）、変革重視の予算配分（予算の50％以上を変革に充てる組織はROI 3.2倍）、外部パートナーとの頻繁な連携（85％）。</w:t>
      </w:r>
    </w:p>
    <w:p>
      <w:pPr>
        <w:pStyle w:val="ListParagraph"/>
        <w:numPr>
          <w:ilvl w:val="0"/>
          <w:numId w:val="2"/>
        </w:numPr>
        <w:spacing w:after="25" w:line="255"/>
      </w:pPr>
      <w:r>
        <w:rPr>
          <w:rFonts w:ascii="Yu Gothic" w:cs="Yu Gothic" w:eastAsia="Yu Gothic" w:hAnsi="Yu Gothic"/>
          <w:sz w:val="18"/>
          <w:szCs w:val="18"/>
        </w:rPr>
        <w:t xml:space="preserve">56％が「技術環境の急変で自社のテクノロジー戦略はすぐ陳腐化する」と回答。ただし高パフォーマンス組織では16％にとどまり、投資ポートフォリオの柔軟な見直しで変化への耐性を確保している。</w:t>
      </w:r>
    </w:p>
    <w:p>
      <w:pPr>
        <w:pStyle w:val="ListParagraph"/>
        <w:numPr>
          <w:ilvl w:val="0"/>
          <w:numId w:val="2"/>
        </w:numPr>
        <w:spacing w:after="25" w:line="255"/>
      </w:pPr>
      <w:r>
        <w:rPr>
          <w:rFonts w:ascii="Yu Gothic" w:cs="Yu Gothic" w:eastAsia="Yu Gothic" w:hAnsi="Yu Gothic"/>
          <w:sz w:val="18"/>
          <w:szCs w:val="18"/>
        </w:rPr>
        <w:t xml:space="preserve">エージェントAIへの投資は88％の組織で既に始まっており、92％が「エージェントAIの管理は今後5年間の重要スキル」と回答。量子・AGI等の次の波への備えも求められる。</w:t>
      </w:r>
    </w:p>
    <w:p>
      <w:pPr>
        <w:pStyle w:val="ListParagraph"/>
        <w:numPr>
          <w:ilvl w:val="0"/>
          <w:numId w:val="2"/>
        </w:numPr>
        <w:spacing w:after="25" w:line="255"/>
      </w:pPr>
      <w:r>
        <w:rPr>
          <w:rFonts w:ascii="Yu Gothic" w:cs="Yu Gothic" w:eastAsia="Yu Gothic" w:hAnsi="Yu Gothic"/>
          <w:sz w:val="18"/>
          <w:szCs w:val="18"/>
        </w:rPr>
        <w:t xml:space="preserve">8アジェンダの例：データに基づく投資判断、AIファースト＋トラストバイデザイン、レガシー廃止とモジュラー型アーキテクチャ、エージェント時代の人材戦略再設計。</w:t>
      </w:r>
    </w:p>
    <w:p>
      <w:pPr>
        <w:pStyle w:val="Heading2"/>
        <w:spacing w:after="50" w:before="130"/>
      </w:pPr>
      <w:r>
        <w:rPr>
          <w:rFonts w:ascii="Yu Gothic" w:cs="Yu Gothic" w:eastAsia="Yu Gothic" w:hAnsi="Yu Gothic"/>
          <w:b/>
          <w:bCs/>
          <w:color w:val="00338D"/>
          <w:sz w:val="21"/>
          <w:szCs w:val="21"/>
        </w:rPr>
        <w:t xml:space="preserve">2. 論点となる課題</w:t>
      </w:r>
    </w:p>
    <w:p>
      <w:pPr>
        <w:pStyle w:val="ListParagraph"/>
        <w:numPr>
          <w:ilvl w:val="0"/>
          <w:numId w:val="2"/>
        </w:numPr>
        <w:spacing w:after="25" w:line="255"/>
      </w:pPr>
      <w:r>
        <w:rPr>
          <w:rFonts w:ascii="Yu Gothic" w:cs="Yu Gothic" w:eastAsia="Yu Gothic" w:hAnsi="Yu Gothic"/>
          <w:sz w:val="18"/>
          <w:szCs w:val="18"/>
        </w:rPr>
        <w:t xml:space="preserve">AI導入がPoC・単一ユースケース止まりとなり、全社展開して価値を生む段階（31％しか到達していない）に進めない。</w:t>
      </w:r>
    </w:p>
    <w:p>
      <w:pPr>
        <w:pStyle w:val="ListParagraph"/>
        <w:numPr>
          <w:ilvl w:val="0"/>
          <w:numId w:val="2"/>
        </w:numPr>
        <w:spacing w:after="25" w:line="255"/>
      </w:pPr>
      <w:r>
        <w:rPr>
          <w:rFonts w:ascii="Yu Gothic" w:cs="Yu Gothic" w:eastAsia="Yu Gothic" w:hAnsi="Yu Gothic"/>
          <w:sz w:val="18"/>
          <w:szCs w:val="18"/>
        </w:rPr>
        <w:t xml:space="preserve">既存システムの技術的負債とデータのサイロ化が、AIの全社活用を阻害する。</w:t>
      </w:r>
    </w:p>
    <w:p>
      <w:pPr>
        <w:pStyle w:val="ListParagraph"/>
        <w:numPr>
          <w:ilvl w:val="0"/>
          <w:numId w:val="2"/>
        </w:numPr>
        <w:spacing w:after="25" w:line="255"/>
      </w:pPr>
      <w:r>
        <w:rPr>
          <w:rFonts w:ascii="Yu Gothic" w:cs="Yu Gothic" w:eastAsia="Yu Gothic" w:hAnsi="Yu Gothic"/>
          <w:sz w:val="18"/>
          <w:szCs w:val="18"/>
        </w:rPr>
        <w:t xml:space="preserve">戦略の陳腐化が常態化するなか、俊敏な投資見直しと意思決定の仕組みを持てるか。</w:t>
      </w:r>
    </w:p>
    <w:p>
      <w:pPr>
        <w:pStyle w:val="ListParagraph"/>
        <w:numPr>
          <w:ilvl w:val="0"/>
          <w:numId w:val="2"/>
        </w:numPr>
        <w:spacing w:after="25" w:line="255"/>
      </w:pPr>
      <w:r>
        <w:rPr>
          <w:rFonts w:ascii="Yu Gothic" w:cs="Yu Gothic" w:eastAsia="Yu Gothic" w:hAnsi="Yu Gothic"/>
          <w:sz w:val="18"/>
          <w:szCs w:val="18"/>
        </w:rPr>
        <w:t xml:space="preserve">エージェントAI拡大に伴う、セキュリティ・ガバナンス・責任分界の設計。AI・データ人材の不足。</w:t>
      </w:r>
    </w:p>
    <w:p>
      <w:pPr>
        <w:pStyle w:val="Heading2"/>
        <w:spacing w:after="50" w:before="130"/>
      </w:pPr>
      <w:r>
        <w:rPr>
          <w:rFonts w:ascii="Yu Gothic" w:cs="Yu Gothic" w:eastAsia="Yu Gothic" w:hAnsi="Yu Gothic"/>
          <w:b/>
          <w:bCs/>
          <w:color w:val="00338D"/>
          <w:sz w:val="21"/>
          <w:szCs w:val="21"/>
        </w:rPr>
        <w:t xml:space="preserve">3. ケース面接で問われそうな問い</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shd w:fill="FFF7E6" w:val="clear"/>
          </w:tcPr>
          <w:p>
            <w:pPr>
              <w:spacing w:line="260"/>
            </w:pPr>
            <w:r>
              <w:rPr>
                <w:rFonts w:ascii="Yu Gothic" w:cs="Yu Gothic" w:eastAsia="Yu Gothic" w:hAnsi="Yu Gothic"/>
                <w:b/>
                <w:bCs/>
                <w:sz w:val="18"/>
                <w:szCs w:val="18"/>
              </w:rPr>
              <w:t xml:space="preserve">指定された業界から企業を1社選び、AIを単なる効率化ではなく、どの業務・顧客接点・事業モデルに組み込めば競争優位を構築できるか提案せよ。</w:t>
            </w:r>
          </w:p>
        </w:tc>
      </w:tr>
    </w:tbl>
    <w:p>
      <w:pPr>
        <w:pStyle w:val="Heading2"/>
        <w:spacing w:after="50" w:before="130"/>
      </w:pPr>
      <w:r>
        <w:rPr>
          <w:rFonts w:ascii="Yu Gothic" w:cs="Yu Gothic" w:eastAsia="Yu Gothic" w:hAnsi="Yu Gothic"/>
          <w:b/>
          <w:bCs/>
          <w:color w:val="00338D"/>
          <w:sz w:val="21"/>
          <w:szCs w:val="21"/>
        </w:rPr>
        <w:t xml:space="preserve">4. 提案を考える際の視点</w:t>
      </w:r>
    </w:p>
    <w:p>
      <w:pPr>
        <w:pStyle w:val="ListParagraph"/>
        <w:numPr>
          <w:ilvl w:val="0"/>
          <w:numId w:val="2"/>
        </w:numPr>
        <w:spacing w:after="25" w:line="255"/>
      </w:pPr>
      <w:r>
        <w:rPr>
          <w:rFonts w:ascii="Yu Gothic" w:cs="Yu Gothic" w:eastAsia="Yu Gothic" w:hAnsi="Yu Gothic"/>
          <w:sz w:val="18"/>
          <w:szCs w:val="18"/>
        </w:rPr>
        <w:t xml:space="preserve">「AIを導入する」ではなく「何の経営課題を解くか」から始める。ROI達成組織が24％しかない事実を踏まえ、価値創出の道筋を先に設計する。</w:t>
      </w:r>
    </w:p>
    <w:p>
      <w:pPr>
        <w:pStyle w:val="ListParagraph"/>
        <w:numPr>
          <w:ilvl w:val="0"/>
          <w:numId w:val="2"/>
        </w:numPr>
        <w:spacing w:after="25" w:line="255"/>
      </w:pPr>
      <w:r>
        <w:rPr>
          <w:rFonts w:ascii="Yu Gothic" w:cs="Yu Gothic" w:eastAsia="Yu Gothic" w:hAnsi="Yu Gothic"/>
          <w:sz w:val="18"/>
          <w:szCs w:val="18"/>
        </w:rPr>
        <w:t xml:space="preserve">企業固有のデータ・顧客基盤・業務資産を競争優位に結びつける。</w:t>
      </w:r>
    </w:p>
    <w:p>
      <w:pPr>
        <w:pStyle w:val="ListParagraph"/>
        <w:numPr>
          <w:ilvl w:val="0"/>
          <w:numId w:val="2"/>
        </w:numPr>
        <w:spacing w:after="25" w:line="255"/>
      </w:pPr>
      <w:r>
        <w:rPr>
          <w:rFonts w:ascii="Yu Gothic" w:cs="Yu Gothic" w:eastAsia="Yu Gothic" w:hAnsi="Yu Gothic"/>
          <w:sz w:val="18"/>
          <w:szCs w:val="18"/>
        </w:rPr>
        <w:t xml:space="preserve">PoC→限定導入→全社展開のロードマップを描く（31％の壁を越える実行設計）。</w:t>
      </w:r>
    </w:p>
    <w:p>
      <w:pPr>
        <w:pStyle w:val="ListParagraph"/>
        <w:numPr>
          <w:ilvl w:val="0"/>
          <w:numId w:val="2"/>
        </w:numPr>
        <w:spacing w:after="25" w:line="255"/>
      </w:pPr>
      <w:r>
        <w:rPr>
          <w:rFonts w:ascii="Yu Gothic" w:cs="Yu Gothic" w:eastAsia="Yu Gothic" w:hAnsi="Yu Gothic"/>
          <w:sz w:val="18"/>
          <w:szCs w:val="18"/>
        </w:rPr>
        <w:t xml:space="preserve">データ基盤・ガバナンス・人材を施策に含め、「導入量ではなく実行力」で差がつくことを提案に反映する。</w:t>
      </w:r>
    </w:p>
    <w:p>
      <w:pPr>
        <w:spacing w:after="40"/>
      </w:pPr>
    </w:p>
    <w:p>
      <w:pPr>
        <w:spacing w:after="60" w:line="270"/>
      </w:pPr>
      <w:r>
        <w:rPr>
          <w:rFonts w:ascii="Yu Gothic" w:cs="Yu Gothic" w:eastAsia="Yu Gothic" w:hAnsi="Yu Gothic"/>
          <w:i/>
          <w:iCs/>
          <w:color w:val="555555"/>
          <w:sz w:val="18"/>
          <w:szCs w:val="18"/>
        </w:rPr>
        <w:t xml:space="preserve">出典：KPMGグローバルテクノロジーレポート2026（日本語版、2026年5月19日発表）</w:t>
      </w:r>
    </w:p>
    <w:p>
      <w:r>
        <w:br w:type="page"/>
      </w:r>
    </w:p>
    <w:p>
      <w:pPr>
        <w:pStyle w:val="Heading1"/>
        <w:spacing w:after="60" w:before="0"/>
      </w:pPr>
      <w:r>
        <w:rPr>
          <w:rFonts w:ascii="Yu Gothic" w:cs="Yu Gothic" w:eastAsia="Yu Gothic" w:hAnsi="Yu Gothic"/>
          <w:b/>
          <w:bCs/>
          <w:sz w:val="26"/>
          <w:szCs w:val="26"/>
        </w:rPr>
        <w:t xml:space="preserve">2. Global AI Pulse: Q1 2026</w:t>
      </w:r>
    </w:p>
    <w:p>
      <w:pPr>
        <w:spacing w:after="80"/>
      </w:pPr>
      <w:r>
        <w:rPr>
          <w:rFonts w:ascii="Yu Gothic" w:cs="Yu Gothic" w:eastAsia="Yu Gothic" w:hAnsi="Yu Gothic"/>
          <w:i/>
          <w:iCs/>
          <w:color w:val="555555"/>
          <w:sz w:val="19"/>
          <w:szCs w:val="19"/>
        </w:rPr>
        <w:t xml:space="preserve">個別ユースケースからAIオーケストレーションへ</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750"/>
        <w:gridCol w:w="7810"/>
      </w:tblGrid>
      <w:tr>
        <w:tc>
          <w:tcPr>
            <w:tcW w:type="dxa" w:w="1750"/>
            <w:shd w:fill="00338D" w:val="clear"/>
          </w:tcPr>
          <w:p>
            <w:r>
              <w:rPr>
                <w:rFonts w:ascii="Yu Gothic" w:cs="Yu Gothic" w:eastAsia="Yu Gothic" w:hAnsi="Yu Gothic"/>
                <w:b/>
                <w:bCs/>
                <w:color w:val="FFFFFF"/>
                <w:sz w:val="18"/>
                <w:szCs w:val="18"/>
              </w:rPr>
              <w:t xml:space="preserve">レポートの核心</w:t>
            </w:r>
          </w:p>
        </w:tc>
        <w:tc>
          <w:tcPr>
            <w:tcW w:type="dxa" w:w="7810"/>
            <w:shd w:fill="EEF2FA" w:val="clear"/>
          </w:tcPr>
          <w:p>
            <w:pPr>
              <w:spacing w:line="255"/>
            </w:pPr>
            <w:r>
              <w:rPr>
                <w:rFonts w:ascii="Yu Gothic" w:cs="Yu Gothic" w:eastAsia="Yu Gothic" w:hAnsi="Yu Gothic"/>
                <w:sz w:val="18"/>
                <w:szCs w:val="18"/>
              </w:rPr>
              <w:t xml:space="preserve">AI投資の成否を分けるのは導入意欲ではなく、AIを業務・組織・システム横断で連携させ、全社的に価値を再現する能力（オーケストレーション）である。</w:t>
            </w:r>
          </w:p>
        </w:tc>
      </w:tr>
    </w:tbl>
    <w:p>
      <w:pPr>
        <w:pStyle w:val="Heading2"/>
        <w:spacing w:after="50" w:before="130"/>
      </w:pPr>
      <w:r>
        <w:rPr>
          <w:rFonts w:ascii="Yu Gothic" w:cs="Yu Gothic" w:eastAsia="Yu Gothic" w:hAnsi="Yu Gothic"/>
          <w:b/>
          <w:bCs/>
          <w:color w:val="00338D"/>
          <w:sz w:val="21"/>
          <w:szCs w:val="21"/>
        </w:rPr>
        <w:t xml:space="preserve">1. レポートの要点</w:t>
      </w:r>
    </w:p>
    <w:p>
      <w:pPr>
        <w:pStyle w:val="ListParagraph"/>
        <w:numPr>
          <w:ilvl w:val="0"/>
          <w:numId w:val="2"/>
        </w:numPr>
        <w:spacing w:after="25" w:line="255"/>
      </w:pPr>
      <w:r>
        <w:rPr>
          <w:rFonts w:ascii="Yu Gothic" w:cs="Yu Gothic" w:eastAsia="Yu Gothic" w:hAnsi="Yu Gothic"/>
          <w:sz w:val="18"/>
          <w:szCs w:val="18"/>
        </w:rPr>
        <w:t xml:space="preserve">世界20の国・地域、2,110人のCスイート・ビジネスリーダーを対象とした四半期定点調査の第1回（KPMGインターナショナル、2026年4月末発表）。</w:t>
      </w:r>
    </w:p>
    <w:p>
      <w:pPr>
        <w:pStyle w:val="ListParagraph"/>
        <w:numPr>
          <w:ilvl w:val="0"/>
          <w:numId w:val="2"/>
        </w:numPr>
        <w:spacing w:after="25" w:line="255"/>
      </w:pPr>
      <w:r>
        <w:rPr>
          <w:rFonts w:ascii="Yu Gothic" w:cs="Yu Gothic" w:eastAsia="Yu Gothic" w:hAnsi="Yu Gothic"/>
          <w:sz w:val="18"/>
          <w:szCs w:val="18"/>
        </w:rPr>
        <w:t xml:space="preserve">74％が「今後12カ月以内に景気後退が発生しても、AIは引き続き最優先の投資分野」と回答。AI投資は景気変動に左右されない構造的トレンドとなった。</w:t>
      </w:r>
    </w:p>
    <w:p>
      <w:pPr>
        <w:pStyle w:val="ListParagraph"/>
        <w:numPr>
          <w:ilvl w:val="0"/>
          <w:numId w:val="2"/>
        </w:numPr>
        <w:spacing w:after="25" w:line="255"/>
      </w:pPr>
      <w:r>
        <w:rPr>
          <w:rFonts w:ascii="Yu Gothic" w:cs="Yu Gothic" w:eastAsia="Yu Gothic" w:hAnsi="Yu Gothic"/>
          <w:sz w:val="18"/>
          <w:szCs w:val="18"/>
        </w:rPr>
        <w:t xml:space="preserve">約3分の2の企業が、AI投資は有意義な事業価値を生み出していると認識。ただし価値の出方には企業間で大きなばらつきがある。</w:t>
      </w:r>
    </w:p>
    <w:p>
      <w:pPr>
        <w:pStyle w:val="ListParagraph"/>
        <w:numPr>
          <w:ilvl w:val="0"/>
          <w:numId w:val="2"/>
        </w:numPr>
        <w:spacing w:after="25" w:line="255"/>
      </w:pPr>
      <w:r>
        <w:rPr>
          <w:rFonts w:ascii="Yu Gothic" w:cs="Yu Gothic" w:eastAsia="Yu Gothic" w:hAnsi="Yu Gothic"/>
          <w:sz w:val="18"/>
          <w:szCs w:val="18"/>
        </w:rPr>
        <w:t xml:space="preserve">AIエージェントの活用が本格化：32％の企業が導入・拡大を進め、27％は複数のAIエージェントを全社的に連携・運用する段階に入っている。</w:t>
      </w:r>
    </w:p>
    <w:p>
      <w:pPr>
        <w:pStyle w:val="ListParagraph"/>
        <w:numPr>
          <w:ilvl w:val="0"/>
          <w:numId w:val="2"/>
        </w:numPr>
        <w:spacing w:after="25" w:line="255"/>
      </w:pPr>
      <w:r>
        <w:rPr>
          <w:rFonts w:ascii="Yu Gothic" w:cs="Yu Gothic" w:eastAsia="Yu Gothic" w:hAnsi="Yu Gothic"/>
          <w:sz w:val="18"/>
          <w:szCs w:val="18"/>
        </w:rPr>
        <w:t xml:space="preserve">人材基盤に自信を持つ経営層は、AIによる有意義な事業価値を実感する割合が4倍高い（77％対20％）。技術投資と人材投資は不可分である。</w:t>
      </w:r>
    </w:p>
    <w:p>
      <w:pPr>
        <w:pStyle w:val="ListParagraph"/>
        <w:numPr>
          <w:ilvl w:val="0"/>
          <w:numId w:val="2"/>
        </w:numPr>
        <w:spacing w:after="25" w:line="255"/>
      </w:pPr>
      <w:r>
        <w:rPr>
          <w:rFonts w:ascii="Yu Gothic" w:cs="Yu Gothic" w:eastAsia="Yu Gothic" w:hAnsi="Yu Gothic"/>
          <w:sz w:val="18"/>
          <w:szCs w:val="18"/>
        </w:rPr>
        <w:t xml:space="preserve">レポートの中心命題は「断片的なユースケースから、エージェント駆動の全社連携（オーケストレーション）への移行」。ガバナンスと信頼を、責任あるスケールの前提条件と位置づける。</w:t>
      </w:r>
    </w:p>
    <w:p>
      <w:pPr>
        <w:pStyle w:val="ListParagraph"/>
        <w:numPr>
          <w:ilvl w:val="0"/>
          <w:numId w:val="2"/>
        </w:numPr>
        <w:spacing w:after="25" w:line="255"/>
      </w:pPr>
      <w:r>
        <w:rPr>
          <w:rFonts w:ascii="Yu Gothic" w:cs="Yu Gothic" w:eastAsia="Yu Gothic" w:hAnsi="Yu Gothic"/>
          <w:sz w:val="18"/>
          <w:szCs w:val="18"/>
        </w:rPr>
        <w:t xml:space="preserve">AIを短期の生産性ツールではなく、全社変革の長期的なイネーブラーとして扱う姿勢への転換が、リーダー企業とその他を分けている。</w:t>
      </w:r>
    </w:p>
    <w:p>
      <w:pPr>
        <w:pStyle w:val="Heading2"/>
        <w:spacing w:after="50" w:before="130"/>
      </w:pPr>
      <w:r>
        <w:rPr>
          <w:rFonts w:ascii="Yu Gothic" w:cs="Yu Gothic" w:eastAsia="Yu Gothic" w:hAnsi="Yu Gothic"/>
          <w:b/>
          <w:bCs/>
          <w:color w:val="00338D"/>
          <w:sz w:val="21"/>
          <w:szCs w:val="21"/>
        </w:rPr>
        <w:t xml:space="preserve">2. 論点となる課題</w:t>
      </w:r>
    </w:p>
    <w:p>
      <w:pPr>
        <w:pStyle w:val="ListParagraph"/>
        <w:numPr>
          <w:ilvl w:val="0"/>
          <w:numId w:val="2"/>
        </w:numPr>
        <w:spacing w:after="25" w:line="255"/>
      </w:pPr>
      <w:r>
        <w:rPr>
          <w:rFonts w:ascii="Yu Gothic" w:cs="Yu Gothic" w:eastAsia="Yu Gothic" w:hAnsi="Yu Gothic"/>
          <w:sz w:val="18"/>
          <w:szCs w:val="18"/>
        </w:rPr>
        <w:t xml:space="preserve">AIエージェント同士の連携を、誰が・どのルールで管理するか（オーケストレーションのガバナンス）。</w:t>
      </w:r>
    </w:p>
    <w:p>
      <w:pPr>
        <w:pStyle w:val="ListParagraph"/>
        <w:numPr>
          <w:ilvl w:val="0"/>
          <w:numId w:val="2"/>
        </w:numPr>
        <w:spacing w:after="25" w:line="255"/>
      </w:pPr>
      <w:r>
        <w:rPr>
          <w:rFonts w:ascii="Yu Gothic" w:cs="Yu Gothic" w:eastAsia="Yu Gothic" w:hAnsi="Yu Gothic"/>
          <w:sz w:val="18"/>
          <w:szCs w:val="18"/>
        </w:rPr>
        <w:t xml:space="preserve">AIが自律的に判断・実行する範囲と、人間の監督範囲の分界設計。</w:t>
      </w:r>
    </w:p>
    <w:p>
      <w:pPr>
        <w:pStyle w:val="ListParagraph"/>
        <w:numPr>
          <w:ilvl w:val="0"/>
          <w:numId w:val="2"/>
        </w:numPr>
        <w:spacing w:after="25" w:line="255"/>
      </w:pPr>
      <w:r>
        <w:rPr>
          <w:rFonts w:ascii="Yu Gothic" w:cs="Yu Gothic" w:eastAsia="Yu Gothic" w:hAnsi="Yu Gothic"/>
          <w:sz w:val="18"/>
          <w:szCs w:val="18"/>
        </w:rPr>
        <w:t xml:space="preserve">部門・システム間のデータ連携不足が、エージェント連携の前提を崩す。</w:t>
      </w:r>
    </w:p>
    <w:p>
      <w:pPr>
        <w:pStyle w:val="ListParagraph"/>
        <w:numPr>
          <w:ilvl w:val="0"/>
          <w:numId w:val="2"/>
        </w:numPr>
        <w:spacing w:after="25" w:line="255"/>
      </w:pPr>
      <w:r>
        <w:rPr>
          <w:rFonts w:ascii="Yu Gothic" w:cs="Yu Gothic" w:eastAsia="Yu Gothic" w:hAnsi="Yu Gothic"/>
          <w:sz w:val="18"/>
          <w:szCs w:val="18"/>
        </w:rPr>
        <w:t xml:space="preserve">AIの誤判断・サイバー攻撃への対応と、AIを使いこなし業務を再設計できる人材の不足（価値実感の差は人材で4倍開く）。</w:t>
      </w:r>
    </w:p>
    <w:p>
      <w:pPr>
        <w:pStyle w:val="Heading2"/>
        <w:spacing w:after="50" w:before="130"/>
      </w:pPr>
      <w:r>
        <w:rPr>
          <w:rFonts w:ascii="Yu Gothic" w:cs="Yu Gothic" w:eastAsia="Yu Gothic" w:hAnsi="Yu Gothic"/>
          <w:b/>
          <w:bCs/>
          <w:color w:val="00338D"/>
          <w:sz w:val="21"/>
          <w:szCs w:val="21"/>
        </w:rPr>
        <w:t xml:space="preserve">3. ケース面接で問われそうな問い</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shd w:fill="FFF7E6" w:val="clear"/>
          </w:tcPr>
          <w:p>
            <w:pPr>
              <w:spacing w:line="260"/>
            </w:pPr>
            <w:r>
              <w:rPr>
                <w:rFonts w:ascii="Yu Gothic" w:cs="Yu Gothic" w:eastAsia="Yu Gothic" w:hAnsi="Yu Gothic"/>
                <w:b/>
                <w:bCs/>
                <w:sz w:val="18"/>
                <w:szCs w:val="18"/>
              </w:rPr>
              <w:t xml:space="preserve">選択した企業の主要業務を、複数のAIエージェントと人間が連携する業務モデルに再設計し、競争優位を実現する方法を提案せよ。</w:t>
            </w:r>
          </w:p>
        </w:tc>
      </w:tr>
    </w:tbl>
    <w:p>
      <w:pPr>
        <w:pStyle w:val="Heading2"/>
        <w:spacing w:after="50" w:before="130"/>
      </w:pPr>
      <w:r>
        <w:rPr>
          <w:rFonts w:ascii="Yu Gothic" w:cs="Yu Gothic" w:eastAsia="Yu Gothic" w:hAnsi="Yu Gothic"/>
          <w:b/>
          <w:bCs/>
          <w:color w:val="00338D"/>
          <w:sz w:val="21"/>
          <w:szCs w:val="21"/>
        </w:rPr>
        <w:t xml:space="preserve">4. 提案を考える際の視点</w:t>
      </w:r>
    </w:p>
    <w:p>
      <w:pPr>
        <w:pStyle w:val="ListParagraph"/>
        <w:numPr>
          <w:ilvl w:val="0"/>
          <w:numId w:val="2"/>
        </w:numPr>
        <w:spacing w:after="25" w:line="255"/>
      </w:pPr>
      <w:r>
        <w:rPr>
          <w:rFonts w:ascii="Yu Gothic" w:cs="Yu Gothic" w:eastAsia="Yu Gothic" w:hAnsi="Yu Gothic"/>
          <w:sz w:val="18"/>
          <w:szCs w:val="18"/>
        </w:rPr>
        <w:t xml:space="preserve">顧客接点→分析→判断→実行の業務フローを分解し、どの工程をAIに任せ、どこに人間の判断を残すかを明確にする。</w:t>
      </w:r>
    </w:p>
    <w:p>
      <w:pPr>
        <w:pStyle w:val="ListParagraph"/>
        <w:numPr>
          <w:ilvl w:val="0"/>
          <w:numId w:val="2"/>
        </w:numPr>
        <w:spacing w:after="25" w:line="255"/>
      </w:pPr>
      <w:r>
        <w:rPr>
          <w:rFonts w:ascii="Yu Gothic" w:cs="Yu Gothic" w:eastAsia="Yu Gothic" w:hAnsi="Yu Gothic"/>
          <w:sz w:val="18"/>
          <w:szCs w:val="18"/>
        </w:rPr>
        <w:t xml:space="preserve">全社連携（27％の先進企業の段階）に到達するための、データ連携とガバナンスの前提条件を示す。</w:t>
      </w:r>
    </w:p>
    <w:p>
      <w:pPr>
        <w:pStyle w:val="ListParagraph"/>
        <w:numPr>
          <w:ilvl w:val="0"/>
          <w:numId w:val="2"/>
        </w:numPr>
        <w:spacing w:after="25" w:line="255"/>
      </w:pPr>
      <w:r>
        <w:rPr>
          <w:rFonts w:ascii="Yu Gothic" w:cs="Yu Gothic" w:eastAsia="Yu Gothic" w:hAnsi="Yu Gothic"/>
          <w:sz w:val="18"/>
          <w:szCs w:val="18"/>
        </w:rPr>
        <w:t xml:space="preserve">AIエージェント連携を競争優位にできる、独自データ・業務知識を特定する。</w:t>
      </w:r>
    </w:p>
    <w:p>
      <w:pPr>
        <w:pStyle w:val="ListParagraph"/>
        <w:numPr>
          <w:ilvl w:val="0"/>
          <w:numId w:val="2"/>
        </w:numPr>
        <w:spacing w:after="25" w:line="255"/>
      </w:pPr>
      <w:r>
        <w:rPr>
          <w:rFonts w:ascii="Yu Gothic" w:cs="Yu Gothic" w:eastAsia="Yu Gothic" w:hAnsi="Yu Gothic"/>
          <w:sz w:val="18"/>
          <w:szCs w:val="18"/>
        </w:rPr>
        <w:t xml:space="preserve">ガバナンスを「制約」ではなく、安心してスケールするための基盤として設計する。人材投資をセットで提案する。</w:t>
      </w:r>
    </w:p>
    <w:p>
      <w:pPr>
        <w:spacing w:after="40"/>
      </w:pPr>
    </w:p>
    <w:p>
      <w:pPr>
        <w:spacing w:after="60" w:line="270"/>
      </w:pPr>
      <w:r>
        <w:rPr>
          <w:rFonts w:ascii="Yu Gothic" w:cs="Yu Gothic" w:eastAsia="Yu Gothic" w:hAnsi="Yu Gothic"/>
          <w:i/>
          <w:iCs/>
          <w:color w:val="555555"/>
          <w:sz w:val="18"/>
          <w:szCs w:val="18"/>
        </w:rPr>
        <w:t xml:space="preserve">出典：KPMG Global AI Pulse: Q1 2026（2026年4月30日発表）</w:t>
      </w:r>
    </w:p>
    <w:p>
      <w:r>
        <w:br w:type="page"/>
      </w:r>
    </w:p>
    <w:p>
      <w:pPr>
        <w:pStyle w:val="Heading1"/>
        <w:spacing w:after="60" w:before="0"/>
      </w:pPr>
      <w:r>
        <w:rPr>
          <w:rFonts w:ascii="Yu Gothic" w:cs="Yu Gothic" w:eastAsia="Yu Gothic" w:hAnsi="Yu Gothic"/>
          <w:b/>
          <w:bCs/>
          <w:sz w:val="26"/>
          <w:szCs w:val="26"/>
        </w:rPr>
        <w:t xml:space="preserve">3. Global AI in Finance 2026</w:t>
      </w:r>
    </w:p>
    <w:p>
      <w:pPr>
        <w:spacing w:after="80"/>
      </w:pPr>
      <w:r>
        <w:rPr>
          <w:rFonts w:ascii="Yu Gothic" w:cs="Yu Gothic" w:eastAsia="Yu Gothic" w:hAnsi="Yu Gothic"/>
          <w:i/>
          <w:iCs/>
          <w:color w:val="555555"/>
          <w:sz w:val="19"/>
          <w:szCs w:val="19"/>
        </w:rPr>
        <w:t xml:space="preserve">財務部門のAI活用：導入から意思決定の優位性へ</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750"/>
        <w:gridCol w:w="7810"/>
      </w:tblGrid>
      <w:tr>
        <w:tc>
          <w:tcPr>
            <w:tcW w:type="dxa" w:w="1750"/>
            <w:shd w:fill="00338D" w:val="clear"/>
          </w:tcPr>
          <w:p>
            <w:r>
              <w:rPr>
                <w:rFonts w:ascii="Yu Gothic" w:cs="Yu Gothic" w:eastAsia="Yu Gothic" w:hAnsi="Yu Gothic"/>
                <w:b/>
                <w:bCs/>
                <w:color w:val="FFFFFF"/>
                <w:sz w:val="18"/>
                <w:szCs w:val="18"/>
              </w:rPr>
              <w:t xml:space="preserve">レポートの核心</w:t>
            </w:r>
          </w:p>
        </w:tc>
        <w:tc>
          <w:tcPr>
            <w:tcW w:type="dxa" w:w="7810"/>
            <w:shd w:fill="EEF2FA" w:val="clear"/>
          </w:tcPr>
          <w:p>
            <w:pPr>
              <w:spacing w:line="255"/>
            </w:pPr>
            <w:r>
              <w:rPr>
                <w:rFonts w:ascii="Yu Gothic" w:cs="Yu Gothic" w:eastAsia="Yu Gothic" w:hAnsi="Yu Gothic"/>
                <w:sz w:val="18"/>
                <w:szCs w:val="18"/>
              </w:rPr>
              <w:t xml:space="preserve">AIの導入数を増やすことではなく、重要な意思決定にAIを活用し、信頼性・人材・成果測定を組み合わせて、経営判断の質とスピードを高めることが本質（The Decision Advantage）。</w:t>
            </w:r>
          </w:p>
        </w:tc>
      </w:tr>
    </w:tbl>
    <w:p>
      <w:pPr>
        <w:pStyle w:val="Heading2"/>
        <w:spacing w:after="50" w:before="130"/>
      </w:pPr>
      <w:r>
        <w:rPr>
          <w:rFonts w:ascii="Yu Gothic" w:cs="Yu Gothic" w:eastAsia="Yu Gothic" w:hAnsi="Yu Gothic"/>
          <w:b/>
          <w:bCs/>
          <w:color w:val="00338D"/>
          <w:sz w:val="21"/>
          <w:szCs w:val="21"/>
        </w:rPr>
        <w:t xml:space="preserve">1. レポートの要点</w:t>
      </w:r>
    </w:p>
    <w:p>
      <w:pPr>
        <w:pStyle w:val="ListParagraph"/>
        <w:numPr>
          <w:ilvl w:val="0"/>
          <w:numId w:val="2"/>
        </w:numPr>
        <w:spacing w:after="25" w:line="255"/>
      </w:pPr>
      <w:r>
        <w:rPr>
          <w:rFonts w:ascii="Yu Gothic" w:cs="Yu Gothic" w:eastAsia="Yu Gothic" w:hAnsi="Yu Gothic"/>
          <w:sz w:val="18"/>
          <w:szCs w:val="18"/>
        </w:rPr>
        <w:t xml:space="preserve">年商2.5億米ドル以上の企業に所属する、20カ国・13セクターの財務・意思決定領域のシニアリーダー1,013人を対象（2026年3月実査、6月9日日本語発表）。</w:t>
      </w:r>
    </w:p>
    <w:p>
      <w:pPr>
        <w:pStyle w:val="ListParagraph"/>
        <w:numPr>
          <w:ilvl w:val="0"/>
          <w:numId w:val="2"/>
        </w:numPr>
        <w:spacing w:after="25" w:line="255"/>
      </w:pPr>
      <w:r>
        <w:rPr>
          <w:rFonts w:ascii="Yu Gothic" w:cs="Yu Gothic" w:eastAsia="Yu Gothic" w:hAnsi="Yu Gothic"/>
          <w:sz w:val="18"/>
          <w:szCs w:val="18"/>
        </w:rPr>
        <w:t xml:space="preserve">財務部門の積極的AI活用は2024年の30％から75％へと2年で2倍以上に拡大。財務計画・レポーティング・商業分析では4分の3超がAIを活用しており、導入自体はもはや差別化要因ではない。</w:t>
      </w:r>
    </w:p>
    <w:p>
      <w:pPr>
        <w:pStyle w:val="ListParagraph"/>
        <w:numPr>
          <w:ilvl w:val="0"/>
          <w:numId w:val="2"/>
        </w:numPr>
        <w:spacing w:after="25" w:line="255"/>
      </w:pPr>
      <w:r>
        <w:rPr>
          <w:rFonts w:ascii="Yu Gothic" w:cs="Yu Gothic" w:eastAsia="Yu Gothic" w:hAnsi="Yu Gothic"/>
          <w:sz w:val="18"/>
          <w:szCs w:val="18"/>
        </w:rPr>
        <w:t xml:space="preserve">71％のリーダーが「AIはROIの期待を満たす、あるいは上回っている」と回答。効果は意思決定の質（70％が改善を実感）、意思決定スピード（71％）、予測精度（64％）に集中している。</w:t>
      </w:r>
    </w:p>
    <w:p>
      <w:pPr>
        <w:pStyle w:val="ListParagraph"/>
        <w:numPr>
          <w:ilvl w:val="0"/>
          <w:numId w:val="2"/>
        </w:numPr>
        <w:spacing w:after="25" w:line="255"/>
      </w:pPr>
      <w:r>
        <w:rPr>
          <w:rFonts w:ascii="Yu Gothic" w:cs="Yu Gothic" w:eastAsia="Yu Gothic" w:hAnsi="Yu Gothic"/>
          <w:sz w:val="18"/>
          <w:szCs w:val="18"/>
        </w:rPr>
        <w:t xml:space="preserve">最大の発見は「保証対応力（assurance-ready）」の差：AIの判断根拠を監査証跡として説明できる企業は、エラー削減率が3〜6倍高く（33％対6％）、AIスケール展開への信頼度も高い（42％対14％）。</w:t>
      </w:r>
    </w:p>
    <w:p>
      <w:pPr>
        <w:pStyle w:val="ListParagraph"/>
        <w:numPr>
          <w:ilvl w:val="0"/>
          <w:numId w:val="2"/>
        </w:numPr>
        <w:spacing w:after="25" w:line="255"/>
      </w:pPr>
      <w:r>
        <w:rPr>
          <w:rFonts w:ascii="Yu Gothic" w:cs="Yu Gothic" w:eastAsia="Yu Gothic" w:hAnsi="Yu Gothic"/>
          <w:sz w:val="18"/>
          <w:szCs w:val="18"/>
        </w:rPr>
        <w:t xml:space="preserve">36％の企業が、データの質を「最大の課題であると同時に最大の機会」と回答。データ基盤が構造化された業界（銀行等）と分断された業界（ヘルスケア等：改善実感44％）で成果に格差が生じている。</w:t>
      </w:r>
    </w:p>
    <w:p>
      <w:pPr>
        <w:pStyle w:val="ListParagraph"/>
        <w:numPr>
          <w:ilvl w:val="0"/>
          <w:numId w:val="2"/>
        </w:numPr>
        <w:spacing w:after="25" w:line="255"/>
      </w:pPr>
      <w:r>
        <w:rPr>
          <w:rFonts w:ascii="Yu Gothic" w:cs="Yu Gothic" w:eastAsia="Yu Gothic" w:hAnsi="Yu Gothic"/>
          <w:sz w:val="18"/>
          <w:szCs w:val="18"/>
        </w:rPr>
        <w:t xml:space="preserve">先進企業の共通点は、AI導入量ではなく、意思決定に直結する領域（予測・リスク評価・資源配分）への重点組込みと、ガバナンス・測定・人材育成の一体運用にある。</w:t>
      </w:r>
    </w:p>
    <w:p>
      <w:pPr>
        <w:pStyle w:val="Heading2"/>
        <w:spacing w:after="50" w:before="130"/>
      </w:pPr>
      <w:r>
        <w:rPr>
          <w:rFonts w:ascii="Yu Gothic" w:cs="Yu Gothic" w:eastAsia="Yu Gothic" w:hAnsi="Yu Gothic"/>
          <w:b/>
          <w:bCs/>
          <w:color w:val="00338D"/>
          <w:sz w:val="21"/>
          <w:szCs w:val="21"/>
        </w:rPr>
        <w:t xml:space="preserve">2. 論点となる課題</w:t>
      </w:r>
    </w:p>
    <w:p>
      <w:pPr>
        <w:pStyle w:val="ListParagraph"/>
        <w:numPr>
          <w:ilvl w:val="0"/>
          <w:numId w:val="2"/>
        </w:numPr>
        <w:spacing w:after="25" w:line="255"/>
      </w:pPr>
      <w:r>
        <w:rPr>
          <w:rFonts w:ascii="Yu Gothic" w:cs="Yu Gothic" w:eastAsia="Yu Gothic" w:hAnsi="Yu Gothic"/>
          <w:sz w:val="18"/>
          <w:szCs w:val="18"/>
        </w:rPr>
        <w:t xml:space="preserve">AIの出力を経営判断に使える水準まで信頼できるか（説明可能性・監査証跡＝保証対応力が成果を3〜6倍分ける）。</w:t>
      </w:r>
    </w:p>
    <w:p>
      <w:pPr>
        <w:pStyle w:val="ListParagraph"/>
        <w:numPr>
          <w:ilvl w:val="0"/>
          <w:numId w:val="2"/>
        </w:numPr>
        <w:spacing w:after="25" w:line="255"/>
      </w:pPr>
      <w:r>
        <w:rPr>
          <w:rFonts w:ascii="Yu Gothic" w:cs="Yu Gothic" w:eastAsia="Yu Gothic" w:hAnsi="Yu Gothic"/>
          <w:sz w:val="18"/>
          <w:szCs w:val="18"/>
        </w:rPr>
        <w:t xml:space="preserve">データ品質・統合・システム相互運用性の不足が、AI活用成果の上限を決める。</w:t>
      </w:r>
    </w:p>
    <w:p>
      <w:pPr>
        <w:pStyle w:val="ListParagraph"/>
        <w:numPr>
          <w:ilvl w:val="0"/>
          <w:numId w:val="2"/>
        </w:numPr>
        <w:spacing w:after="25" w:line="255"/>
      </w:pPr>
      <w:r>
        <w:rPr>
          <w:rFonts w:ascii="Yu Gothic" w:cs="Yu Gothic" w:eastAsia="Yu Gothic" w:hAnsi="Yu Gothic"/>
          <w:sz w:val="18"/>
          <w:szCs w:val="18"/>
        </w:rPr>
        <w:t xml:space="preserve">AIの効果を作業時間削減ではなく、経営成果（意思決定の質・速度・予測精度・収益性）で測る仕組み。</w:t>
      </w:r>
    </w:p>
    <w:p>
      <w:pPr>
        <w:pStyle w:val="ListParagraph"/>
        <w:numPr>
          <w:ilvl w:val="0"/>
          <w:numId w:val="2"/>
        </w:numPr>
        <w:spacing w:after="25" w:line="255"/>
      </w:pPr>
      <w:r>
        <w:rPr>
          <w:rFonts w:ascii="Yu Gothic" w:cs="Yu Gothic" w:eastAsia="Yu Gothic" w:hAnsi="Yu Gothic"/>
          <w:sz w:val="18"/>
          <w:szCs w:val="18"/>
        </w:rPr>
        <w:t xml:space="preserve">財務知識×データ・フルエンシーを併せ持つ人材の不足と、誤判断時の説明責任・ガバナンス。</w:t>
      </w:r>
    </w:p>
    <w:p>
      <w:pPr>
        <w:pStyle w:val="Heading2"/>
        <w:spacing w:after="50" w:before="130"/>
      </w:pPr>
      <w:r>
        <w:rPr>
          <w:rFonts w:ascii="Yu Gothic" w:cs="Yu Gothic" w:eastAsia="Yu Gothic" w:hAnsi="Yu Gothic"/>
          <w:b/>
          <w:bCs/>
          <w:color w:val="00338D"/>
          <w:sz w:val="21"/>
          <w:szCs w:val="21"/>
        </w:rPr>
        <w:t xml:space="preserve">3. ケース面接で問われそうな問い</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shd w:fill="FFF7E6" w:val="clear"/>
          </w:tcPr>
          <w:p>
            <w:pPr>
              <w:spacing w:line="260"/>
            </w:pPr>
            <w:r>
              <w:rPr>
                <w:rFonts w:ascii="Yu Gothic" w:cs="Yu Gothic" w:eastAsia="Yu Gothic" w:hAnsi="Yu Gothic"/>
                <w:b/>
                <w:bCs/>
                <w:sz w:val="18"/>
                <w:szCs w:val="18"/>
              </w:rPr>
              <w:t xml:space="preserve">選択した企業において、AIをどの経営意思決定に組み込めば、競合より速く・質の高い意思決定を実現できるか提案せよ。</w:t>
            </w:r>
          </w:p>
        </w:tc>
      </w:tr>
    </w:tbl>
    <w:p>
      <w:pPr>
        <w:pStyle w:val="Heading2"/>
        <w:spacing w:after="50" w:before="130"/>
      </w:pPr>
      <w:r>
        <w:rPr>
          <w:rFonts w:ascii="Yu Gothic" w:cs="Yu Gothic" w:eastAsia="Yu Gothic" w:hAnsi="Yu Gothic"/>
          <w:b/>
          <w:bCs/>
          <w:color w:val="00338D"/>
          <w:sz w:val="21"/>
          <w:szCs w:val="21"/>
        </w:rPr>
        <w:t xml:space="preserve">4. 提案を考える際の視点</w:t>
      </w:r>
    </w:p>
    <w:p>
      <w:pPr>
        <w:pStyle w:val="ListParagraph"/>
        <w:numPr>
          <w:ilvl w:val="0"/>
          <w:numId w:val="2"/>
        </w:numPr>
        <w:spacing w:after="25" w:line="255"/>
      </w:pPr>
      <w:r>
        <w:rPr>
          <w:rFonts w:ascii="Yu Gothic" w:cs="Yu Gothic" w:eastAsia="Yu Gothic" w:hAnsi="Yu Gothic"/>
          <w:sz w:val="18"/>
          <w:szCs w:val="18"/>
        </w:rPr>
        <w:t xml:space="preserve">意思決定のボトルネック（どの判断が遅い・不正確か）を特定し、AIに任せる分析と人間の最終判断を分ける。</w:t>
      </w:r>
    </w:p>
    <w:p>
      <w:pPr>
        <w:pStyle w:val="ListParagraph"/>
        <w:numPr>
          <w:ilvl w:val="0"/>
          <w:numId w:val="2"/>
        </w:numPr>
        <w:spacing w:after="25" w:line="255"/>
      </w:pPr>
      <w:r>
        <w:rPr>
          <w:rFonts w:ascii="Yu Gothic" w:cs="Yu Gothic" w:eastAsia="Yu Gothic" w:hAnsi="Yu Gothic"/>
          <w:sz w:val="18"/>
          <w:szCs w:val="18"/>
        </w:rPr>
        <w:t xml:space="preserve">データ品質を前提条件として扱う（36％が最大の課題かつ機会と回答した事実を踏まえる）。</w:t>
      </w:r>
    </w:p>
    <w:p>
      <w:pPr>
        <w:pStyle w:val="ListParagraph"/>
        <w:numPr>
          <w:ilvl w:val="0"/>
          <w:numId w:val="2"/>
        </w:numPr>
        <w:spacing w:after="25" w:line="255"/>
      </w:pPr>
      <w:r>
        <w:rPr>
          <w:rFonts w:ascii="Yu Gothic" w:cs="Yu Gothic" w:eastAsia="Yu Gothic" w:hAnsi="Yu Gothic"/>
          <w:sz w:val="18"/>
          <w:szCs w:val="18"/>
        </w:rPr>
        <w:t xml:space="preserve">「保証対応力」＝AIの判断根拠を説明・監査できる体制を、信頼とスケールの条件として設計に含める。</w:t>
      </w:r>
    </w:p>
    <w:p>
      <w:pPr>
        <w:pStyle w:val="ListParagraph"/>
        <w:numPr>
          <w:ilvl w:val="0"/>
          <w:numId w:val="2"/>
        </w:numPr>
        <w:spacing w:after="25" w:line="255"/>
      </w:pPr>
      <w:r>
        <w:rPr>
          <w:rFonts w:ascii="Yu Gothic" w:cs="Yu Gothic" w:eastAsia="Yu Gothic" w:hAnsi="Yu Gothic"/>
          <w:sz w:val="18"/>
          <w:szCs w:val="18"/>
        </w:rPr>
        <w:t xml:space="preserve">ROIを「AI利用数」ではなく意思決定の速度・精度・収益性で測定し、財務×AI人材の育成を施策に組み込む。</w:t>
      </w:r>
    </w:p>
    <w:p>
      <w:pPr>
        <w:spacing w:after="40"/>
      </w:pPr>
    </w:p>
    <w:p>
      <w:pPr>
        <w:spacing w:after="60" w:line="270"/>
      </w:pPr>
      <w:r>
        <w:rPr>
          <w:rFonts w:ascii="Yu Gothic" w:cs="Yu Gothic" w:eastAsia="Yu Gothic" w:hAnsi="Yu Gothic"/>
          <w:i/>
          <w:iCs/>
          <w:color w:val="555555"/>
          <w:sz w:val="18"/>
          <w:szCs w:val="18"/>
        </w:rPr>
        <w:t xml:space="preserve">出典：KPMG Global AI in Finance 2026（2026年6月9日発表）</w:t>
      </w:r>
    </w:p>
    <w:p>
      <w:r>
        <w:br w:type="page"/>
      </w:r>
    </w:p>
    <w:p>
      <w:pPr>
        <w:pStyle w:val="Heading1"/>
        <w:spacing w:after="60" w:before="0"/>
      </w:pPr>
      <w:r>
        <w:rPr>
          <w:rFonts w:ascii="Yu Gothic" w:cs="Yu Gothic" w:eastAsia="Yu Gothic" w:hAnsi="Yu Gothic"/>
          <w:b/>
          <w:bCs/>
          <w:sz w:val="26"/>
          <w:szCs w:val="26"/>
        </w:rPr>
        <w:t xml:space="preserve">4. KPMGマネージドサービス展望調査2026</w:t>
      </w:r>
    </w:p>
    <w:p>
      <w:pPr>
        <w:spacing w:after="80"/>
      </w:pPr>
      <w:r>
        <w:rPr>
          <w:rFonts w:ascii="Yu Gothic" w:cs="Yu Gothic" w:eastAsia="Yu Gothic" w:hAnsi="Yu Gothic"/>
          <w:i/>
          <w:iCs/>
          <w:color w:val="555555"/>
          <w:sz w:val="19"/>
          <w:szCs w:val="19"/>
        </w:rPr>
        <w:t xml:space="preserve">外部専門性を活用し、AI変革をスケールさせる</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750"/>
        <w:gridCol w:w="7810"/>
      </w:tblGrid>
      <w:tr>
        <w:tc>
          <w:tcPr>
            <w:tcW w:type="dxa" w:w="1750"/>
            <w:shd w:fill="00338D" w:val="clear"/>
          </w:tcPr>
          <w:p>
            <w:r>
              <w:rPr>
                <w:rFonts w:ascii="Yu Gothic" w:cs="Yu Gothic" w:eastAsia="Yu Gothic" w:hAnsi="Yu Gothic"/>
                <w:b/>
                <w:bCs/>
                <w:color w:val="FFFFFF"/>
                <w:sz w:val="18"/>
                <w:szCs w:val="18"/>
              </w:rPr>
              <w:t xml:space="preserve">レポートの核心</w:t>
            </w:r>
          </w:p>
        </w:tc>
        <w:tc>
          <w:tcPr>
            <w:tcW w:type="dxa" w:w="7810"/>
            <w:shd w:fill="EEF2FA" w:val="clear"/>
          </w:tcPr>
          <w:p>
            <w:pPr>
              <w:spacing w:line="255"/>
            </w:pPr>
            <w:r>
              <w:rPr>
                <w:rFonts w:ascii="Yu Gothic" w:cs="Yu Gothic" w:eastAsia="Yu Gothic" w:hAnsi="Yu Gothic"/>
                <w:sz w:val="18"/>
                <w:szCs w:val="18"/>
              </w:rPr>
              <w:t xml:space="preserve">マネージドサービスは単なる業務委託・コスト削減手段ではなく、AI・専門人材・業務再設計を組み合わせ、企業変革を継続的に実行するための協働基盤へ変化している。</w:t>
            </w:r>
          </w:p>
        </w:tc>
      </w:tr>
    </w:tbl>
    <w:p>
      <w:pPr>
        <w:pStyle w:val="Heading2"/>
        <w:spacing w:after="50" w:before="130"/>
      </w:pPr>
      <w:r>
        <w:rPr>
          <w:rFonts w:ascii="Yu Gothic" w:cs="Yu Gothic" w:eastAsia="Yu Gothic" w:hAnsi="Yu Gothic"/>
          <w:b/>
          <w:bCs/>
          <w:color w:val="00338D"/>
          <w:sz w:val="21"/>
          <w:szCs w:val="21"/>
        </w:rPr>
        <w:t xml:space="preserve">1. レポートの要点</w:t>
      </w:r>
    </w:p>
    <w:p>
      <w:pPr>
        <w:pStyle w:val="ListParagraph"/>
        <w:numPr>
          <w:ilvl w:val="0"/>
          <w:numId w:val="2"/>
        </w:numPr>
        <w:spacing w:after="25" w:line="255"/>
      </w:pPr>
      <w:r>
        <w:rPr>
          <w:rFonts w:ascii="Yu Gothic" w:cs="Yu Gothic" w:eastAsia="Yu Gothic" w:hAnsi="Yu Gothic"/>
          <w:sz w:val="18"/>
          <w:szCs w:val="18"/>
        </w:rPr>
        <w:t xml:space="preserve">マネージドサービスの意思決定に関与する世界の大企業のシニアリーダー1,224人を対象。米調査会社IDCの調査・分析に、北米・欧州・アジア太平洋のシニアリーダー10名へのインタビューを加え、2026年に取り組むべき7つの課題を提示（2026年6月26日日本語発表）。</w:t>
      </w:r>
    </w:p>
    <w:p>
      <w:pPr>
        <w:pStyle w:val="ListParagraph"/>
        <w:numPr>
          <w:ilvl w:val="0"/>
          <w:numId w:val="2"/>
        </w:numPr>
        <w:spacing w:after="25" w:line="255"/>
      </w:pPr>
      <w:r>
        <w:rPr>
          <w:rFonts w:ascii="Yu Gothic" w:cs="Yu Gothic" w:eastAsia="Yu Gothic" w:hAnsi="Yu Gothic"/>
          <w:sz w:val="18"/>
          <w:szCs w:val="18"/>
        </w:rPr>
        <w:t xml:space="preserve">回答企業は銀行・証券、保険、製造、ライフサイエンス、テクノロジー・メディア・通信、エネルギーなど多様な業界にわたる。</w:t>
      </w:r>
    </w:p>
    <w:p>
      <w:pPr>
        <w:pStyle w:val="ListParagraph"/>
        <w:numPr>
          <w:ilvl w:val="0"/>
          <w:numId w:val="2"/>
        </w:numPr>
        <w:spacing w:after="25" w:line="255"/>
      </w:pPr>
      <w:r>
        <w:rPr>
          <w:rFonts w:ascii="Yu Gothic" w:cs="Yu Gothic" w:eastAsia="Yu Gothic" w:hAnsi="Yu Gothic"/>
          <w:sz w:val="18"/>
          <w:szCs w:val="18"/>
        </w:rPr>
        <w:t xml:space="preserve">91％の企業が、AIエージェントの継続的な監視・統制・運用保守においてマネージドサービスは重要と回答。98％がAI導入を重要な能力として挙げており、マネージドサービスはAI活用の実装・運用・統制を担う中核基盤へ進化している。</w:t>
      </w:r>
    </w:p>
    <w:p>
      <w:pPr>
        <w:pStyle w:val="ListParagraph"/>
        <w:numPr>
          <w:ilvl w:val="0"/>
          <w:numId w:val="2"/>
        </w:numPr>
        <w:spacing w:after="25" w:line="255"/>
      </w:pPr>
      <w:r>
        <w:rPr>
          <w:rFonts w:ascii="Yu Gothic" w:cs="Yu Gothic" w:eastAsia="Yu Gothic" w:hAnsi="Yu Gothic"/>
          <w:sz w:val="18"/>
          <w:szCs w:val="18"/>
        </w:rPr>
        <w:t xml:space="preserve">87％が、マネージドサービスを自社のDX戦略に高度に組み込んでいると回答。「委託先」から「変革パートナー」への位置づけの変化が鮮明になった。</w:t>
      </w:r>
    </w:p>
    <w:p>
      <w:pPr>
        <w:pStyle w:val="ListParagraph"/>
        <w:numPr>
          <w:ilvl w:val="0"/>
          <w:numId w:val="2"/>
        </w:numPr>
        <w:spacing w:after="25" w:line="255"/>
      </w:pPr>
      <w:r>
        <w:rPr>
          <w:rFonts w:ascii="Yu Gothic" w:cs="Yu Gothic" w:eastAsia="Yu Gothic" w:hAnsi="Yu Gothic"/>
          <w:sz w:val="18"/>
          <w:szCs w:val="18"/>
        </w:rPr>
        <w:t xml:space="preserve">約60％の企業が、単一の業務機能全体または全社レベルでマネージドサービスを活用。税務、サイバーセキュリティ、AI管理などが主要な活用領域となっている。</w:t>
      </w:r>
    </w:p>
    <w:p>
      <w:pPr>
        <w:pStyle w:val="ListParagraph"/>
        <w:numPr>
          <w:ilvl w:val="0"/>
          <w:numId w:val="2"/>
        </w:numPr>
        <w:spacing w:after="25" w:line="255"/>
      </w:pPr>
      <w:r>
        <w:rPr>
          <w:rFonts w:ascii="Yu Gothic" w:cs="Yu Gothic" w:eastAsia="Yu Gothic" w:hAnsi="Yu Gothic"/>
          <w:sz w:val="18"/>
          <w:szCs w:val="18"/>
        </w:rPr>
        <w:t xml:space="preserve">2026年の7つの課題として、業務プロセスの再設計、データガバナンスの強化、安全なAI活用、人材とAIの適切な組合せ、全社的なチェンジマネジメント等を提示。コスト削減目的の外注ではなく、継続的変革を支えるパートナーとしての活用を提唱している。</w:t>
      </w:r>
    </w:p>
    <w:p>
      <w:pPr>
        <w:pStyle w:val="Heading2"/>
        <w:spacing w:after="50" w:before="130"/>
      </w:pPr>
      <w:r>
        <w:rPr>
          <w:rFonts w:ascii="Yu Gothic" w:cs="Yu Gothic" w:eastAsia="Yu Gothic" w:hAnsi="Yu Gothic"/>
          <w:b/>
          <w:bCs/>
          <w:color w:val="00338D"/>
          <w:sz w:val="21"/>
          <w:szCs w:val="21"/>
        </w:rPr>
        <w:t xml:space="preserve">2. 論点となる課題</w:t>
      </w:r>
    </w:p>
    <w:p>
      <w:pPr>
        <w:pStyle w:val="ListParagraph"/>
        <w:numPr>
          <w:ilvl w:val="0"/>
          <w:numId w:val="2"/>
        </w:numPr>
        <w:spacing w:after="25" w:line="255"/>
      </w:pPr>
      <w:r>
        <w:rPr>
          <w:rFonts w:ascii="Yu Gothic" w:cs="Yu Gothic" w:eastAsia="Yu Gothic" w:hAnsi="Yu Gothic"/>
          <w:sz w:val="18"/>
          <w:szCs w:val="18"/>
        </w:rPr>
        <w:t xml:space="preserve">自社開発（内製）と外部活用の境界をどう設定するか。コアとなるデータ・知見・意思決定能力を何と定義するか。</w:t>
      </w:r>
    </w:p>
    <w:p>
      <w:pPr>
        <w:pStyle w:val="ListParagraph"/>
        <w:numPr>
          <w:ilvl w:val="0"/>
          <w:numId w:val="2"/>
        </w:numPr>
        <w:spacing w:after="25" w:line="255"/>
      </w:pPr>
      <w:r>
        <w:rPr>
          <w:rFonts w:ascii="Yu Gothic" w:cs="Yu Gothic" w:eastAsia="Yu Gothic" w:hAnsi="Yu Gothic"/>
          <w:sz w:val="18"/>
          <w:szCs w:val="18"/>
        </w:rPr>
        <w:t xml:space="preserve">技術的負債・人材不足・データ基盤不足を、外部専門性でどう補完するか。</w:t>
      </w:r>
    </w:p>
    <w:p>
      <w:pPr>
        <w:pStyle w:val="ListParagraph"/>
        <w:numPr>
          <w:ilvl w:val="0"/>
          <w:numId w:val="2"/>
        </w:numPr>
        <w:spacing w:after="25" w:line="255"/>
      </w:pPr>
      <w:r>
        <w:rPr>
          <w:rFonts w:ascii="Yu Gothic" w:cs="Yu Gothic" w:eastAsia="Yu Gothic" w:hAnsi="Yu Gothic"/>
          <w:sz w:val="18"/>
          <w:szCs w:val="18"/>
        </w:rPr>
        <w:t xml:space="preserve">外部ベンダーへの過度な依存による競争力・ノウハウ流出とロックインのリスク。AI活用に伴うセキュリティ・規制・データ管理の責任分界。</w:t>
      </w:r>
    </w:p>
    <w:p>
      <w:pPr>
        <w:pStyle w:val="ListParagraph"/>
        <w:numPr>
          <w:ilvl w:val="0"/>
          <w:numId w:val="2"/>
        </w:numPr>
        <w:spacing w:after="25" w:line="255"/>
      </w:pPr>
      <w:r>
        <w:rPr>
          <w:rFonts w:ascii="Yu Gothic" w:cs="Yu Gothic" w:eastAsia="Yu Gothic" w:hAnsi="Yu Gothic"/>
          <w:sz w:val="18"/>
          <w:szCs w:val="18"/>
        </w:rPr>
        <w:t xml:space="preserve">業務委託が業務改革（プロセス再設計）につながらず、既存業務の単なる自動化・外注で終わるリスク。</w:t>
      </w:r>
    </w:p>
    <w:p>
      <w:pPr>
        <w:pStyle w:val="Heading2"/>
        <w:spacing w:after="50" w:before="130"/>
      </w:pPr>
      <w:r>
        <w:rPr>
          <w:rFonts w:ascii="Yu Gothic" w:cs="Yu Gothic" w:eastAsia="Yu Gothic" w:hAnsi="Yu Gothic"/>
          <w:b/>
          <w:bCs/>
          <w:color w:val="00338D"/>
          <w:sz w:val="21"/>
          <w:szCs w:val="21"/>
        </w:rPr>
        <w:t xml:space="preserve">3. ケース面接で問われそうな問い</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shd w:fill="FFF7E6" w:val="clear"/>
          </w:tcPr>
          <w:p>
            <w:pPr>
              <w:spacing w:line="260"/>
            </w:pPr>
            <w:r>
              <w:rPr>
                <w:rFonts w:ascii="Yu Gothic" w:cs="Yu Gothic" w:eastAsia="Yu Gothic" w:hAnsi="Yu Gothic"/>
                <w:b/>
                <w:bCs/>
                <w:sz w:val="18"/>
                <w:szCs w:val="18"/>
              </w:rPr>
              <w:t xml:space="preserve">選択した企業がAI活用を加速するために、何を自社で保有し、何を外部パートナーと協働すべきか。戦略的なサービス活用モデルを提案せよ。</w:t>
            </w:r>
          </w:p>
        </w:tc>
      </w:tr>
    </w:tbl>
    <w:p>
      <w:pPr>
        <w:pStyle w:val="Heading2"/>
        <w:spacing w:after="50" w:before="130"/>
      </w:pPr>
      <w:r>
        <w:rPr>
          <w:rFonts w:ascii="Yu Gothic" w:cs="Yu Gothic" w:eastAsia="Yu Gothic" w:hAnsi="Yu Gothic"/>
          <w:b/>
          <w:bCs/>
          <w:color w:val="00338D"/>
          <w:sz w:val="21"/>
          <w:szCs w:val="21"/>
        </w:rPr>
        <w:t xml:space="preserve">4. 提案を考える際の視点</w:t>
      </w:r>
    </w:p>
    <w:p>
      <w:pPr>
        <w:pStyle w:val="ListParagraph"/>
        <w:numPr>
          <w:ilvl w:val="0"/>
          <w:numId w:val="2"/>
        </w:numPr>
        <w:spacing w:after="25" w:line="255"/>
      </w:pPr>
      <w:r>
        <w:rPr>
          <w:rFonts w:ascii="Yu Gothic" w:cs="Yu Gothic" w:eastAsia="Yu Gothic" w:hAnsi="Yu Gothic"/>
          <w:sz w:val="18"/>
          <w:szCs w:val="18"/>
        </w:rPr>
        <w:t xml:space="preserve">企業のコア競争力（自社保有すべき判断領域・データ）と、外部調達すべき専門性（陳腐化が速い技術・運用）を切り分ける。</w:t>
      </w:r>
    </w:p>
    <w:p>
      <w:pPr>
        <w:pStyle w:val="ListParagraph"/>
        <w:numPr>
          <w:ilvl w:val="0"/>
          <w:numId w:val="2"/>
        </w:numPr>
        <w:spacing w:after="25" w:line="255"/>
      </w:pPr>
      <w:r>
        <w:rPr>
          <w:rFonts w:ascii="Yu Gothic" w:cs="Yu Gothic" w:eastAsia="Yu Gothic" w:hAnsi="Yu Gothic"/>
          <w:sz w:val="18"/>
          <w:szCs w:val="18"/>
        </w:rPr>
        <w:t xml:space="preserve">外注の目的をコスト削減ではなく、変革速度・品質・レジリエンスで定義する（レポートの「変革パートナー」観に整合）。</w:t>
      </w:r>
    </w:p>
    <w:p>
      <w:pPr>
        <w:pStyle w:val="ListParagraph"/>
        <w:numPr>
          <w:ilvl w:val="0"/>
          <w:numId w:val="2"/>
        </w:numPr>
        <w:spacing w:after="25" w:line="255"/>
      </w:pPr>
      <w:r>
        <w:rPr>
          <w:rFonts w:ascii="Yu Gothic" w:cs="Yu Gothic" w:eastAsia="Yu Gothic" w:hAnsi="Yu Gothic"/>
          <w:sz w:val="18"/>
          <w:szCs w:val="18"/>
        </w:rPr>
        <w:t xml:space="preserve">ベンダー選定基準にAI能力、セキュリティ、規制対応、変革実行力を含め、依存リスク（ロックイン）の管理策も示す。</w:t>
      </w:r>
    </w:p>
    <w:p>
      <w:pPr>
        <w:pStyle w:val="ListParagraph"/>
        <w:numPr>
          <w:ilvl w:val="0"/>
          <w:numId w:val="2"/>
        </w:numPr>
        <w:spacing w:after="25" w:line="255"/>
      </w:pPr>
      <w:r>
        <w:rPr>
          <w:rFonts w:ascii="Yu Gothic" w:cs="Yu Gothic" w:eastAsia="Yu Gothic" w:hAnsi="Yu Gothic"/>
          <w:sz w:val="18"/>
          <w:szCs w:val="18"/>
        </w:rPr>
        <w:t xml:space="preserve">外部活用後も自社に残すべきデータ・知見・意思決定能力を明確にし、知見移転（人材トランスファー）を設計に含める。</w:t>
      </w:r>
    </w:p>
    <w:p>
      <w:pPr>
        <w:spacing w:after="40"/>
      </w:pPr>
    </w:p>
    <w:p>
      <w:pPr>
        <w:spacing w:after="60" w:line="270"/>
      </w:pPr>
      <w:r>
        <w:rPr>
          <w:rFonts w:ascii="Yu Gothic" w:cs="Yu Gothic" w:eastAsia="Yu Gothic" w:hAnsi="Yu Gothic"/>
          <w:i/>
          <w:iCs/>
          <w:color w:val="555555"/>
          <w:sz w:val="18"/>
          <w:szCs w:val="18"/>
        </w:rPr>
        <w:t xml:space="preserve">出典：KPMGマネージドサービス展望調査2026（日本語版、2026年6月26日発表）</w:t>
      </w:r>
    </w:p>
    <w:p>
      <w:r>
        <w:br w:type="page"/>
      </w:r>
    </w:p>
    <w:p>
      <w:pPr>
        <w:pStyle w:val="Heading1"/>
        <w:spacing w:after="60" w:before="0"/>
      </w:pPr>
      <w:r>
        <w:rPr>
          <w:rFonts w:ascii="Yu Gothic" w:cs="Yu Gothic" w:eastAsia="Yu Gothic" w:hAnsi="Yu Gothic"/>
          <w:b/>
          <w:bCs/>
          <w:sz w:val="26"/>
          <w:szCs w:val="26"/>
        </w:rPr>
        <w:t xml:space="preserve">5. 「経営戦略と人事戦略の連動」の現在地と今後の考察</w:t>
      </w:r>
    </w:p>
    <w:p>
      <w:pPr>
        <w:spacing w:after="80"/>
      </w:pPr>
      <w:r>
        <w:rPr>
          <w:rFonts w:ascii="Yu Gothic" w:cs="Yu Gothic" w:eastAsia="Yu Gothic" w:hAnsi="Yu Gothic"/>
          <w:i/>
          <w:iCs/>
          <w:color w:val="555555"/>
          <w:sz w:val="19"/>
          <w:szCs w:val="19"/>
        </w:rPr>
        <w:t xml:space="preserve">人的資本経営を開示から経営実装へ</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750"/>
        <w:gridCol w:w="7810"/>
      </w:tblGrid>
      <w:tr>
        <w:tc>
          <w:tcPr>
            <w:tcW w:type="dxa" w:w="1750"/>
            <w:shd w:fill="00338D" w:val="clear"/>
          </w:tcPr>
          <w:p>
            <w:r>
              <w:rPr>
                <w:rFonts w:ascii="Yu Gothic" w:cs="Yu Gothic" w:eastAsia="Yu Gothic" w:hAnsi="Yu Gothic"/>
                <w:b/>
                <w:bCs/>
                <w:color w:val="FFFFFF"/>
                <w:sz w:val="18"/>
                <w:szCs w:val="18"/>
              </w:rPr>
              <w:t xml:space="preserve">レポートの核心</w:t>
            </w:r>
          </w:p>
        </w:tc>
        <w:tc>
          <w:tcPr>
            <w:tcW w:type="dxa" w:w="7810"/>
            <w:shd w:fill="EEF2FA" w:val="clear"/>
          </w:tcPr>
          <w:p>
            <w:pPr>
              <w:spacing w:line="255"/>
            </w:pPr>
            <w:r>
              <w:rPr>
                <w:rFonts w:ascii="Yu Gothic" w:cs="Yu Gothic" w:eastAsia="Yu Gothic" w:hAnsi="Yu Gothic"/>
                <w:sz w:val="18"/>
                <w:szCs w:val="18"/>
              </w:rPr>
              <w:t xml:space="preserve">人的資本の開示が進んでも、経営戦略と人事戦略が実際に接続されている企業は少ない。経営戦略から必要な人材ポートフォリオを逆算し、施策とKPIをつなぐことが課題。</w:t>
            </w:r>
          </w:p>
        </w:tc>
      </w:tr>
    </w:tbl>
    <w:p>
      <w:pPr>
        <w:pStyle w:val="Heading2"/>
        <w:spacing w:after="50" w:before="130"/>
      </w:pPr>
      <w:r>
        <w:rPr>
          <w:rFonts w:ascii="Yu Gothic" w:cs="Yu Gothic" w:eastAsia="Yu Gothic" w:hAnsi="Yu Gothic"/>
          <w:b/>
          <w:bCs/>
          <w:color w:val="00338D"/>
          <w:sz w:val="21"/>
          <w:szCs w:val="21"/>
        </w:rPr>
        <w:t xml:space="preserve">1. レポートの要点</w:t>
      </w:r>
    </w:p>
    <w:p>
      <w:pPr>
        <w:pStyle w:val="ListParagraph"/>
        <w:numPr>
          <w:ilvl w:val="0"/>
          <w:numId w:val="2"/>
        </w:numPr>
        <w:spacing w:after="25" w:line="255"/>
      </w:pPr>
      <w:r>
        <w:rPr>
          <w:rFonts w:ascii="Yu Gothic" w:cs="Yu Gothic" w:eastAsia="Yu Gothic" w:hAnsi="Yu Gothic"/>
          <w:sz w:val="18"/>
          <w:szCs w:val="18"/>
        </w:rPr>
        <w:t xml:space="preserve">人的資本経営の先進企業とされる東証プライム上場企業73社（人的資本レポート発行企業32社＋人的資本コンソーシアム好事例集掲載企業41社）の開示情報（有価証券報告書・統合報告書・人的資本レポート等）を分析（2026年4月発表）。</w:t>
      </w:r>
    </w:p>
    <w:p>
      <w:pPr>
        <w:pStyle w:val="ListParagraph"/>
        <w:numPr>
          <w:ilvl w:val="0"/>
          <w:numId w:val="2"/>
        </w:numPr>
        <w:spacing w:after="25" w:line="255"/>
      </w:pPr>
      <w:r>
        <w:rPr>
          <w:rFonts w:ascii="Yu Gothic" w:cs="Yu Gothic" w:eastAsia="Yu Gothic" w:hAnsi="Yu Gothic"/>
          <w:sz w:val="18"/>
          <w:szCs w:val="18"/>
        </w:rPr>
        <w:t xml:space="preserve">KPMG独自の評価尺度により、「人的資本ストーリーの成熟度」と「人材ポートフォリオの成熟度」の2軸で各社の連動レベルを評価した点が特徴。</w:t>
      </w:r>
    </w:p>
    <w:p>
      <w:pPr>
        <w:pStyle w:val="ListParagraph"/>
        <w:numPr>
          <w:ilvl w:val="0"/>
          <w:numId w:val="2"/>
        </w:numPr>
        <w:spacing w:after="25" w:line="255"/>
      </w:pPr>
      <w:r>
        <w:rPr>
          <w:rFonts w:ascii="Yu Gothic" w:cs="Yu Gothic" w:eastAsia="Yu Gothic" w:hAnsi="Yu Gothic"/>
          <w:sz w:val="18"/>
          <w:szCs w:val="18"/>
        </w:rPr>
        <w:t xml:space="preserve">96％が人的資本を経営戦略上の重要要素と位置付ける一方、経営戦略と人事戦略の接続を具体的に示せている企業は19％。先進企業ですら、理念と実装の間に大きなギャップがある。</w:t>
      </w:r>
    </w:p>
    <w:p>
      <w:pPr>
        <w:pStyle w:val="ListParagraph"/>
        <w:numPr>
          <w:ilvl w:val="0"/>
          <w:numId w:val="2"/>
        </w:numPr>
        <w:spacing w:after="25" w:line="255"/>
      </w:pPr>
      <w:r>
        <w:rPr>
          <w:rFonts w:ascii="Yu Gothic" w:cs="Yu Gothic" w:eastAsia="Yu Gothic" w:hAnsi="Yu Gothic"/>
          <w:sz w:val="18"/>
          <w:szCs w:val="18"/>
        </w:rPr>
        <w:t xml:space="preserve">約7割が重点人材タイプを定めているが、それを経営・事業戦略に沿って設定していると確認できる企業は約1割。人材定義が戦略から逆算されていない。</w:t>
      </w:r>
    </w:p>
    <w:p>
      <w:pPr>
        <w:pStyle w:val="ListParagraph"/>
        <w:numPr>
          <w:ilvl w:val="0"/>
          <w:numId w:val="2"/>
        </w:numPr>
        <w:spacing w:after="25" w:line="255"/>
      </w:pPr>
      <w:r>
        <w:rPr>
          <w:rFonts w:ascii="Yu Gothic" w:cs="Yu Gothic" w:eastAsia="Yu Gothic" w:hAnsi="Yu Gothic"/>
          <w:sz w:val="18"/>
          <w:szCs w:val="18"/>
        </w:rPr>
        <w:t xml:space="preserve">人材施策は、インプット（投資）→アクション（施策）→アウトプット（能力・配置）→アウトカム（事業成果）の因果連鎖で捉え、開示もこのストーリーで語る必要がある。</w:t>
      </w:r>
    </w:p>
    <w:p>
      <w:pPr>
        <w:pStyle w:val="ListParagraph"/>
        <w:numPr>
          <w:ilvl w:val="0"/>
          <w:numId w:val="2"/>
        </w:numPr>
        <w:spacing w:after="25" w:line="255"/>
      </w:pPr>
      <w:r>
        <w:rPr>
          <w:rFonts w:ascii="Yu Gothic" w:cs="Yu Gothic" w:eastAsia="Yu Gothic" w:hAnsi="Yu Gothic"/>
          <w:sz w:val="18"/>
          <w:szCs w:val="18"/>
        </w:rPr>
        <w:t xml:space="preserve">連動とは、人材ポートフォリオから人事基盤（制度・システム・人事部門能力）に至る各要素が整合し相互に連動している状態を指す。事業構造の変化に応じて人材リソースを再配置する発想が、先進企業とその他を分ける鍵となる。</w:t>
      </w:r>
    </w:p>
    <w:p>
      <w:pPr>
        <w:pStyle w:val="Heading2"/>
        <w:spacing w:after="50" w:before="130"/>
      </w:pPr>
      <w:r>
        <w:rPr>
          <w:rFonts w:ascii="Yu Gothic" w:cs="Yu Gothic" w:eastAsia="Yu Gothic" w:hAnsi="Yu Gothic"/>
          <w:b/>
          <w:bCs/>
          <w:color w:val="00338D"/>
          <w:sz w:val="21"/>
          <w:szCs w:val="21"/>
        </w:rPr>
        <w:t xml:space="preserve">2. 論点となる課題</w:t>
      </w:r>
    </w:p>
    <w:p>
      <w:pPr>
        <w:pStyle w:val="ListParagraph"/>
        <w:numPr>
          <w:ilvl w:val="0"/>
          <w:numId w:val="2"/>
        </w:numPr>
        <w:spacing w:after="25" w:line="255"/>
      </w:pPr>
      <w:r>
        <w:rPr>
          <w:rFonts w:ascii="Yu Gothic" w:cs="Yu Gothic" w:eastAsia="Yu Gothic" w:hAnsi="Yu Gothic"/>
          <w:sz w:val="18"/>
          <w:szCs w:val="18"/>
        </w:rPr>
        <w:t xml:space="preserve">人的資本開示がチェックリスト化し、経営成果（アウトカム）につながらない。</w:t>
      </w:r>
    </w:p>
    <w:p>
      <w:pPr>
        <w:pStyle w:val="ListParagraph"/>
        <w:numPr>
          <w:ilvl w:val="0"/>
          <w:numId w:val="2"/>
        </w:numPr>
        <w:spacing w:after="25" w:line="255"/>
      </w:pPr>
      <w:r>
        <w:rPr>
          <w:rFonts w:ascii="Yu Gothic" w:cs="Yu Gothic" w:eastAsia="Yu Gothic" w:hAnsi="Yu Gothic"/>
          <w:sz w:val="18"/>
          <w:szCs w:val="18"/>
        </w:rPr>
        <w:t xml:space="preserve">経営戦略から必要人材を逆算するプロセスがなく、重点人材の定義が現状の延長にとどまる（戦略整合はわずか約1割）。</w:t>
      </w:r>
    </w:p>
    <w:p>
      <w:pPr>
        <w:pStyle w:val="ListParagraph"/>
        <w:numPr>
          <w:ilvl w:val="0"/>
          <w:numId w:val="2"/>
        </w:numPr>
        <w:spacing w:after="25" w:line="255"/>
      </w:pPr>
      <w:r>
        <w:rPr>
          <w:rFonts w:ascii="Yu Gothic" w:cs="Yu Gothic" w:eastAsia="Yu Gothic" w:hAnsi="Yu Gothic"/>
          <w:sz w:val="18"/>
          <w:szCs w:val="18"/>
        </w:rPr>
        <w:t xml:space="preserve">AI・デジタル化によるスキル需要の急変に対し、採用・育成・配置・リスキリングが個別施策に分断されたまま対応できない。</w:t>
      </w:r>
    </w:p>
    <w:p>
      <w:pPr>
        <w:pStyle w:val="ListParagraph"/>
        <w:numPr>
          <w:ilvl w:val="0"/>
          <w:numId w:val="2"/>
        </w:numPr>
        <w:spacing w:after="25" w:line="255"/>
      </w:pPr>
      <w:r>
        <w:rPr>
          <w:rFonts w:ascii="Yu Gothic" w:cs="Yu Gothic" w:eastAsia="Yu Gothic" w:hAnsi="Yu Gothic"/>
          <w:sz w:val="18"/>
          <w:szCs w:val="18"/>
        </w:rPr>
        <w:t xml:space="preserve">人事部門が経営課題を理解し、経営と対等に議論する力（HRBP機能）の不足。</w:t>
      </w:r>
    </w:p>
    <w:p>
      <w:pPr>
        <w:pStyle w:val="Heading2"/>
        <w:spacing w:after="50" w:before="130"/>
      </w:pPr>
      <w:r>
        <w:rPr>
          <w:rFonts w:ascii="Yu Gothic" w:cs="Yu Gothic" w:eastAsia="Yu Gothic" w:hAnsi="Yu Gothic"/>
          <w:b/>
          <w:bCs/>
          <w:color w:val="00338D"/>
          <w:sz w:val="21"/>
          <w:szCs w:val="21"/>
        </w:rPr>
        <w:t xml:space="preserve">3. ケース面接で問われそうな問い</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shd w:fill="FFF7E6" w:val="clear"/>
          </w:tcPr>
          <w:p>
            <w:pPr>
              <w:spacing w:line="260"/>
            </w:pPr>
            <w:r>
              <w:rPr>
                <w:rFonts w:ascii="Yu Gothic" w:cs="Yu Gothic" w:eastAsia="Yu Gothic" w:hAnsi="Yu Gothic"/>
                <w:b/>
                <w:bCs/>
                <w:sz w:val="18"/>
                <w:szCs w:val="18"/>
              </w:rPr>
              <w:t xml:space="preserve">AI・デジタル化などの事業環境変化を前提に、選択した企業の人材ポートフォリオをどのように再設計すべきか提案せよ。</w:t>
            </w:r>
          </w:p>
        </w:tc>
      </w:tr>
    </w:tbl>
    <w:p>
      <w:pPr>
        <w:pStyle w:val="Heading2"/>
        <w:spacing w:after="50" w:before="130"/>
      </w:pPr>
      <w:r>
        <w:rPr>
          <w:rFonts w:ascii="Yu Gothic" w:cs="Yu Gothic" w:eastAsia="Yu Gothic" w:hAnsi="Yu Gothic"/>
          <w:b/>
          <w:bCs/>
          <w:color w:val="00338D"/>
          <w:sz w:val="21"/>
          <w:szCs w:val="21"/>
        </w:rPr>
        <w:t xml:space="preserve">4. 提案を考える際の視点</w:t>
      </w:r>
    </w:p>
    <w:p>
      <w:pPr>
        <w:pStyle w:val="ListParagraph"/>
        <w:numPr>
          <w:ilvl w:val="0"/>
          <w:numId w:val="2"/>
        </w:numPr>
        <w:spacing w:after="25" w:line="255"/>
      </w:pPr>
      <w:r>
        <w:rPr>
          <w:rFonts w:ascii="Yu Gothic" w:cs="Yu Gothic" w:eastAsia="Yu Gothic" w:hAnsi="Yu Gothic"/>
          <w:sz w:val="18"/>
          <w:szCs w:val="18"/>
        </w:rPr>
        <w:t xml:space="preserve">まず将来の事業ポートフォリオと必要ケイパビリティを定義し、そこから必要人材を逆算する（96％対19％のギャップを埋める提案にする）。</w:t>
      </w:r>
    </w:p>
    <w:p>
      <w:pPr>
        <w:pStyle w:val="ListParagraph"/>
        <w:numPr>
          <w:ilvl w:val="0"/>
          <w:numId w:val="2"/>
        </w:numPr>
        <w:spacing w:after="25" w:line="255"/>
      </w:pPr>
      <w:r>
        <w:rPr>
          <w:rFonts w:ascii="Yu Gothic" w:cs="Yu Gothic" w:eastAsia="Yu Gothic" w:hAnsi="Yu Gothic"/>
          <w:sz w:val="18"/>
          <w:szCs w:val="18"/>
        </w:rPr>
        <w:t xml:space="preserve">必要人材と現有人材のギャップを定量・定性で把握し、採用・育成・配置・外部活用を統合した充足計画を示す。</w:t>
      </w:r>
    </w:p>
    <w:p>
      <w:pPr>
        <w:pStyle w:val="ListParagraph"/>
        <w:numPr>
          <w:ilvl w:val="0"/>
          <w:numId w:val="2"/>
        </w:numPr>
        <w:spacing w:after="25" w:line="255"/>
      </w:pPr>
      <w:r>
        <w:rPr>
          <w:rFonts w:ascii="Yu Gothic" w:cs="Yu Gothic" w:eastAsia="Yu Gothic" w:hAnsi="Yu Gothic"/>
          <w:sz w:val="18"/>
          <w:szCs w:val="18"/>
        </w:rPr>
        <w:t xml:space="preserve">施策をインプット→アクション→アウトプット→アウトカムの因果でつなぎ、人事KPIを研修受講率等ではなく事業成果に接続する。</w:t>
      </w:r>
    </w:p>
    <w:p>
      <w:pPr>
        <w:pStyle w:val="ListParagraph"/>
        <w:numPr>
          <w:ilvl w:val="0"/>
          <w:numId w:val="2"/>
        </w:numPr>
        <w:spacing w:after="25" w:line="255"/>
      </w:pPr>
      <w:r>
        <w:rPr>
          <w:rFonts w:ascii="Yu Gothic" w:cs="Yu Gothic" w:eastAsia="Yu Gothic" w:hAnsi="Yu Gothic"/>
          <w:sz w:val="18"/>
          <w:szCs w:val="18"/>
        </w:rPr>
        <w:t xml:space="preserve">AIによる代替ではなく、人とAIの役割分担を職種別に設計し、リスキリングの方向性と結びつける。</w:t>
      </w:r>
    </w:p>
    <w:p>
      <w:pPr>
        <w:spacing w:after="40"/>
      </w:pPr>
    </w:p>
    <w:p>
      <w:pPr>
        <w:spacing w:after="60" w:line="270"/>
      </w:pPr>
      <w:r>
        <w:rPr>
          <w:rFonts w:ascii="Yu Gothic" w:cs="Yu Gothic" w:eastAsia="Yu Gothic" w:hAnsi="Yu Gothic"/>
          <w:i/>
          <w:iCs/>
          <w:color w:val="555555"/>
          <w:sz w:val="18"/>
          <w:szCs w:val="18"/>
        </w:rPr>
        <w:t xml:space="preserve">出典：KPMG「『経営戦略と人事戦略の連動』の現在地と今後の考察」（日本の人的資本経営先進企業73社調査、2026年4月22日）</w:t>
      </w:r>
    </w:p>
    <w:p>
      <w:r>
        <w:br w:type="page"/>
      </w:r>
    </w:p>
    <w:p>
      <w:pPr>
        <w:pStyle w:val="Heading1"/>
        <w:spacing w:after="60" w:before="0"/>
      </w:pPr>
      <w:r>
        <w:rPr>
          <w:rFonts w:ascii="Yu Gothic" w:cs="Yu Gothic" w:eastAsia="Yu Gothic" w:hAnsi="Yu Gothic"/>
          <w:b/>
          <w:bCs/>
          <w:sz w:val="26"/>
          <w:szCs w:val="26"/>
        </w:rPr>
        <w:t xml:space="preserve">6. サステナビリティ経営2.0／日本の企業報告に関する調査2025</w:t>
      </w:r>
    </w:p>
    <w:p>
      <w:pPr>
        <w:spacing w:after="80"/>
      </w:pPr>
      <w:r>
        <w:rPr>
          <w:rFonts w:ascii="Yu Gothic" w:cs="Yu Gothic" w:eastAsia="Yu Gothic" w:hAnsi="Yu Gothic"/>
          <w:i/>
          <w:iCs/>
          <w:color w:val="555555"/>
          <w:sz w:val="19"/>
          <w:szCs w:val="19"/>
        </w:rPr>
        <w:t xml:space="preserve">サステナビリティを企業価値・成長戦略に組み込む</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750"/>
        <w:gridCol w:w="7810"/>
      </w:tblGrid>
      <w:tr>
        <w:tc>
          <w:tcPr>
            <w:tcW w:type="dxa" w:w="1750"/>
            <w:shd w:fill="00338D" w:val="clear"/>
          </w:tcPr>
          <w:p>
            <w:r>
              <w:rPr>
                <w:rFonts w:ascii="Yu Gothic" w:cs="Yu Gothic" w:eastAsia="Yu Gothic" w:hAnsi="Yu Gothic"/>
                <w:b/>
                <w:bCs/>
                <w:color w:val="FFFFFF"/>
                <w:sz w:val="18"/>
                <w:szCs w:val="18"/>
              </w:rPr>
              <w:t xml:space="preserve">レポートの核心</w:t>
            </w:r>
          </w:p>
        </w:tc>
        <w:tc>
          <w:tcPr>
            <w:tcW w:type="dxa" w:w="7810"/>
            <w:shd w:fill="EEF2FA" w:val="clear"/>
          </w:tcPr>
          <w:p>
            <w:pPr>
              <w:spacing w:line="255"/>
            </w:pPr>
            <w:r>
              <w:rPr>
                <w:rFonts w:ascii="Yu Gothic" w:cs="Yu Gothic" w:eastAsia="Yu Gothic" w:hAnsi="Yu Gothic"/>
                <w:sz w:val="18"/>
                <w:szCs w:val="18"/>
              </w:rPr>
              <w:t xml:space="preserve">サステナビリティを社会貢献・開示のテーマにとどめず、自社の事業戦略・成長・企業価値向上の起点として再定義する。統合思考により、目的・リスク・機会・戦略・業績・ガバナンスをつなげる。</w:t>
            </w:r>
          </w:p>
        </w:tc>
      </w:tr>
    </w:tbl>
    <w:p>
      <w:pPr>
        <w:pStyle w:val="Heading2"/>
        <w:spacing w:after="50" w:before="130"/>
      </w:pPr>
      <w:r>
        <w:rPr>
          <w:rFonts w:ascii="Yu Gothic" w:cs="Yu Gothic" w:eastAsia="Yu Gothic" w:hAnsi="Yu Gothic"/>
          <w:b/>
          <w:bCs/>
          <w:color w:val="00338D"/>
          <w:sz w:val="21"/>
          <w:szCs w:val="21"/>
        </w:rPr>
        <w:t xml:space="preserve">1. レポートの要点</w:t>
      </w:r>
    </w:p>
    <w:p>
      <w:pPr>
        <w:pStyle w:val="ListParagraph"/>
        <w:numPr>
          <w:ilvl w:val="0"/>
          <w:numId w:val="2"/>
        </w:numPr>
        <w:spacing w:after="25" w:line="255"/>
      </w:pPr>
      <w:r>
        <w:rPr>
          <w:rFonts w:ascii="Yu Gothic" w:cs="Yu Gothic" w:eastAsia="Yu Gothic" w:hAnsi="Yu Gothic"/>
          <w:sz w:val="18"/>
          <w:szCs w:val="18"/>
        </w:rPr>
        <w:t xml:space="preserve">「新たな時代に必要なサステナビリティの捉え方」（2025年9月〜のシリーズ）は、反ESGの広がり等の環境変化を踏まえ、日本企業のサステナビリティ経営の発想転換を提言。「日本の企業報告に関する調査2025」（2026年4月）は統合報告書等の開示実態を分析。</w:t>
      </w:r>
    </w:p>
    <w:p>
      <w:pPr>
        <w:pStyle w:val="ListParagraph"/>
        <w:numPr>
          <w:ilvl w:val="0"/>
          <w:numId w:val="2"/>
        </w:numPr>
        <w:spacing w:after="25" w:line="255"/>
      </w:pPr>
      <w:r>
        <w:rPr>
          <w:rFonts w:ascii="Yu Gothic" w:cs="Yu Gothic" w:eastAsia="Yu Gothic" w:hAnsi="Yu Gothic"/>
          <w:sz w:val="18"/>
          <w:szCs w:val="18"/>
        </w:rPr>
        <w:t xml:space="preserve">従来（1.0）は、外部ステークホルダーからの要請に軸足を置き、広範なサステナビリティ課題に網羅的に対応する傾向が強かった。その結果、施策が自社のビジネスモデル・成長戦略と結びつかず、コスト・開示負担にとどまる企業が多い。</w:t>
      </w:r>
    </w:p>
    <w:p>
      <w:pPr>
        <w:pStyle w:val="ListParagraph"/>
        <w:numPr>
          <w:ilvl w:val="0"/>
          <w:numId w:val="2"/>
        </w:numPr>
        <w:spacing w:after="25" w:line="255"/>
      </w:pPr>
      <w:r>
        <w:rPr>
          <w:rFonts w:ascii="Yu Gothic" w:cs="Yu Gothic" w:eastAsia="Yu Gothic" w:hAnsi="Yu Gothic"/>
          <w:sz w:val="18"/>
          <w:szCs w:val="18"/>
        </w:rPr>
        <w:t xml:space="preserve">「サステナビリティ経営2.0」は発想を反転させる：まず自社の目指す姿（長期ビジョン）を定め、その実現にサステナビリティをどう活用できるかという視点に立つ。サステナビリティは中長期の企業価値向上と成長ストーリーの「起点」となる。</w:t>
      </w:r>
    </w:p>
    <w:p>
      <w:pPr>
        <w:pStyle w:val="ListParagraph"/>
        <w:numPr>
          <w:ilvl w:val="0"/>
          <w:numId w:val="2"/>
        </w:numPr>
        <w:spacing w:after="25" w:line="255"/>
      </w:pPr>
      <w:r>
        <w:rPr>
          <w:rFonts w:ascii="Yu Gothic" w:cs="Yu Gothic" w:eastAsia="Yu Gothic" w:hAnsi="Yu Gothic"/>
          <w:sz w:val="18"/>
          <w:szCs w:val="18"/>
        </w:rPr>
        <w:t xml:space="preserve">マテリアリティも変革の対象：網羅的なリスト化から、企業価値創造に直結する「経営マテリアリティ」への絞り込みと磨き込みが方向性。絞り込んだ課題は事業戦略・資源配分と一体で運用する。</w:t>
      </w:r>
    </w:p>
    <w:p>
      <w:pPr>
        <w:pStyle w:val="ListParagraph"/>
        <w:numPr>
          <w:ilvl w:val="0"/>
          <w:numId w:val="2"/>
        </w:numPr>
        <w:spacing w:after="25" w:line="255"/>
      </w:pPr>
      <w:r>
        <w:rPr>
          <w:rFonts w:ascii="Yu Gothic" w:cs="Yu Gothic" w:eastAsia="Yu Gothic" w:hAnsi="Yu Gothic"/>
          <w:sz w:val="18"/>
          <w:szCs w:val="18"/>
        </w:rPr>
        <w:t xml:space="preserve">企業報告では、目的・文化・リスクと機会・戦略・業績・ガバナンスの「つながり」を統合思考で一貫して示すことが重要。サステナビリティ情報と財務情報の分断が、企業価値への因果を説明できない主因となっている。</w:t>
      </w:r>
    </w:p>
    <w:p>
      <w:pPr>
        <w:pStyle w:val="ListParagraph"/>
        <w:numPr>
          <w:ilvl w:val="0"/>
          <w:numId w:val="2"/>
        </w:numPr>
        <w:spacing w:after="25" w:line="255"/>
      </w:pPr>
      <w:r>
        <w:rPr>
          <w:rFonts w:ascii="Yu Gothic" w:cs="Yu Gothic" w:eastAsia="Yu Gothic" w:hAnsi="Yu Gothic"/>
          <w:sz w:val="18"/>
          <w:szCs w:val="18"/>
        </w:rPr>
        <w:t xml:space="preserve">SSBJ基準に基づく開示・保証の制度化が進むなか、開示の信頼性・データ品質・第三者保証への対応が新たな経営課題となる。</w:t>
      </w:r>
    </w:p>
    <w:p>
      <w:pPr>
        <w:pStyle w:val="Heading2"/>
        <w:spacing w:after="50" w:before="130"/>
      </w:pPr>
      <w:r>
        <w:rPr>
          <w:rFonts w:ascii="Yu Gothic" w:cs="Yu Gothic" w:eastAsia="Yu Gothic" w:hAnsi="Yu Gothic"/>
          <w:b/>
          <w:bCs/>
          <w:color w:val="00338D"/>
          <w:sz w:val="21"/>
          <w:szCs w:val="21"/>
        </w:rPr>
        <w:t xml:space="preserve">2. 論点となる課題</w:t>
      </w:r>
    </w:p>
    <w:p>
      <w:pPr>
        <w:pStyle w:val="ListParagraph"/>
        <w:numPr>
          <w:ilvl w:val="0"/>
          <w:numId w:val="2"/>
        </w:numPr>
        <w:spacing w:after="25" w:line="255"/>
      </w:pPr>
      <w:r>
        <w:rPr>
          <w:rFonts w:ascii="Yu Gothic" w:cs="Yu Gothic" w:eastAsia="Yu Gothic" w:hAnsi="Yu Gothic"/>
          <w:sz w:val="18"/>
          <w:szCs w:val="18"/>
        </w:rPr>
        <w:t xml:space="preserve">環境・社会対応がコスト負担にとどまり、収益・成長・企業価値につながらない（1.0の限界）。</w:t>
      </w:r>
    </w:p>
    <w:p>
      <w:pPr>
        <w:pStyle w:val="ListParagraph"/>
        <w:numPr>
          <w:ilvl w:val="0"/>
          <w:numId w:val="2"/>
        </w:numPr>
        <w:spacing w:after="25" w:line="255"/>
      </w:pPr>
      <w:r>
        <w:rPr>
          <w:rFonts w:ascii="Yu Gothic" w:cs="Yu Gothic" w:eastAsia="Yu Gothic" w:hAnsi="Yu Gothic"/>
          <w:sz w:val="18"/>
          <w:szCs w:val="18"/>
        </w:rPr>
        <w:t xml:space="preserve">重要課題が広がりすぎ、経営上の優先順位と資源配分が不明確になる。</w:t>
      </w:r>
    </w:p>
    <w:p>
      <w:pPr>
        <w:pStyle w:val="ListParagraph"/>
        <w:numPr>
          <w:ilvl w:val="0"/>
          <w:numId w:val="2"/>
        </w:numPr>
        <w:spacing w:after="25" w:line="255"/>
      </w:pPr>
      <w:r>
        <w:rPr>
          <w:rFonts w:ascii="Yu Gothic" w:cs="Yu Gothic" w:eastAsia="Yu Gothic" w:hAnsi="Yu Gothic"/>
          <w:sz w:val="18"/>
          <w:szCs w:val="18"/>
        </w:rPr>
        <w:t xml:space="preserve">サステナビリティ情報と財務情報・経営戦略が分断され、企業価値向上への因果関係を説明できない。</w:t>
      </w:r>
    </w:p>
    <w:p>
      <w:pPr>
        <w:pStyle w:val="ListParagraph"/>
        <w:numPr>
          <w:ilvl w:val="0"/>
          <w:numId w:val="2"/>
        </w:numPr>
        <w:spacing w:after="25" w:line="255"/>
      </w:pPr>
      <w:r>
        <w:rPr>
          <w:rFonts w:ascii="Yu Gothic" w:cs="Yu Gothic" w:eastAsia="Yu Gothic" w:hAnsi="Yu Gothic"/>
          <w:sz w:val="18"/>
          <w:szCs w:val="18"/>
        </w:rPr>
        <w:t xml:space="preserve">開示の信頼性・データ品質・第三者保証への対応（SSBJ時代の新たな要請）。</w:t>
      </w:r>
    </w:p>
    <w:p>
      <w:pPr>
        <w:pStyle w:val="Heading2"/>
        <w:spacing w:after="50" w:before="130"/>
      </w:pPr>
      <w:r>
        <w:rPr>
          <w:rFonts w:ascii="Yu Gothic" w:cs="Yu Gothic" w:eastAsia="Yu Gothic" w:hAnsi="Yu Gothic"/>
          <w:b/>
          <w:bCs/>
          <w:color w:val="00338D"/>
          <w:sz w:val="21"/>
          <w:szCs w:val="21"/>
        </w:rPr>
        <w:t xml:space="preserve">3. ケース面接で問われそうな問い</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shd w:fill="FFF7E6" w:val="clear"/>
          </w:tcPr>
          <w:p>
            <w:pPr>
              <w:spacing w:line="260"/>
            </w:pPr>
            <w:r>
              <w:rPr>
                <w:rFonts w:ascii="Yu Gothic" w:cs="Yu Gothic" w:eastAsia="Yu Gothic" w:hAnsi="Yu Gothic"/>
                <w:b/>
                <w:bCs/>
                <w:sz w:val="18"/>
                <w:szCs w:val="18"/>
              </w:rPr>
              <w:t xml:space="preserve">指定された業界から企業を1社選び、サステナビリティ課題をどのように競争優位・新規事業・企業価値向上につなげるか提案せよ。</w:t>
            </w:r>
          </w:p>
        </w:tc>
      </w:tr>
    </w:tbl>
    <w:p>
      <w:pPr>
        <w:pStyle w:val="Heading2"/>
        <w:spacing w:after="50" w:before="130"/>
      </w:pPr>
      <w:r>
        <w:rPr>
          <w:rFonts w:ascii="Yu Gothic" w:cs="Yu Gothic" w:eastAsia="Yu Gothic" w:hAnsi="Yu Gothic"/>
          <w:b/>
          <w:bCs/>
          <w:color w:val="00338D"/>
          <w:sz w:val="21"/>
          <w:szCs w:val="21"/>
        </w:rPr>
        <w:t xml:space="preserve">4. 提案を考える際の視点</w:t>
      </w:r>
    </w:p>
    <w:p>
      <w:pPr>
        <w:pStyle w:val="ListParagraph"/>
        <w:numPr>
          <w:ilvl w:val="0"/>
          <w:numId w:val="2"/>
        </w:numPr>
        <w:spacing w:after="25" w:line="255"/>
      </w:pPr>
      <w:r>
        <w:rPr>
          <w:rFonts w:ascii="Yu Gothic" w:cs="Yu Gothic" w:eastAsia="Yu Gothic" w:hAnsi="Yu Gothic"/>
          <w:sz w:val="18"/>
          <w:szCs w:val="18"/>
        </w:rPr>
        <w:t xml:space="preserve">「何をすべきか（外部要請）」ではなく「自社の成長戦略にどう効くか（2.0の発想）」から考える。</w:t>
      </w:r>
    </w:p>
    <w:p>
      <w:pPr>
        <w:pStyle w:val="ListParagraph"/>
        <w:numPr>
          <w:ilvl w:val="0"/>
          <w:numId w:val="2"/>
        </w:numPr>
        <w:spacing w:after="25" w:line="255"/>
      </w:pPr>
      <w:r>
        <w:rPr>
          <w:rFonts w:ascii="Yu Gothic" w:cs="Yu Gothic" w:eastAsia="Yu Gothic" w:hAnsi="Yu Gothic"/>
          <w:sz w:val="18"/>
          <w:szCs w:val="18"/>
        </w:rPr>
        <w:t xml:space="preserve">業界特有の課題から、企業価値創造に直結する経営マテリアリティへ絞り込む。</w:t>
      </w:r>
    </w:p>
    <w:p>
      <w:pPr>
        <w:pStyle w:val="ListParagraph"/>
        <w:numPr>
          <w:ilvl w:val="0"/>
          <w:numId w:val="2"/>
        </w:numPr>
        <w:spacing w:after="25" w:line="255"/>
      </w:pPr>
      <w:r>
        <w:rPr>
          <w:rFonts w:ascii="Yu Gothic" w:cs="Yu Gothic" w:eastAsia="Yu Gothic" w:hAnsi="Yu Gothic"/>
          <w:sz w:val="18"/>
          <w:szCs w:val="18"/>
        </w:rPr>
        <w:t xml:space="preserve">施策をコスト削減型・収益機会型・資本コスト型（ESG評価・ブランド）に分類し、それぞれの物差しで効果を示す。</w:t>
      </w:r>
    </w:p>
    <w:p>
      <w:pPr>
        <w:pStyle w:val="ListParagraph"/>
        <w:numPr>
          <w:ilvl w:val="0"/>
          <w:numId w:val="2"/>
        </w:numPr>
        <w:spacing w:after="25" w:line="255"/>
      </w:pPr>
      <w:r>
        <w:rPr>
          <w:rFonts w:ascii="Yu Gothic" w:cs="Yu Gothic" w:eastAsia="Yu Gothic" w:hAnsi="Yu Gothic"/>
          <w:sz w:val="18"/>
          <w:szCs w:val="18"/>
        </w:rPr>
        <w:t xml:space="preserve">サステナビリティ施策を事業ポートフォリオ・KPI・役員報酬に落とし込み、開示・データ・第三者保証まで含めて信頼性を設計する。</w:t>
      </w:r>
    </w:p>
    <w:p>
      <w:pPr>
        <w:spacing w:after="40"/>
      </w:pPr>
    </w:p>
    <w:p>
      <w:pPr>
        <w:spacing w:after="60" w:line="270"/>
      </w:pPr>
      <w:r>
        <w:rPr>
          <w:rFonts w:ascii="Yu Gothic" w:cs="Yu Gothic" w:eastAsia="Yu Gothic" w:hAnsi="Yu Gothic"/>
          <w:i/>
          <w:iCs/>
          <w:color w:val="555555"/>
          <w:sz w:val="18"/>
          <w:szCs w:val="18"/>
        </w:rPr>
        <w:t xml:space="preserve">出典：KPMG「新たな時代に必要なサステナビリティの捉え方（サステナビリティ経営2.0）」（2025年9月〜）／「日本の企業報告に関する調査2025」（2026年4月）</w:t>
      </w:r>
    </w:p>
    <w:p>
      <w:r>
        <w:br w:type="page"/>
      </w:r>
    </w:p>
    <w:p>
      <w:pPr>
        <w:pStyle w:val="Heading1"/>
        <w:spacing w:after="60" w:before="0"/>
      </w:pPr>
      <w:r>
        <w:rPr>
          <w:rFonts w:ascii="Yu Gothic" w:cs="Yu Gothic" w:eastAsia="Yu Gothic" w:hAnsi="Yu Gothic"/>
          <w:b/>
          <w:bCs/>
          <w:sz w:val="26"/>
          <w:szCs w:val="26"/>
        </w:rPr>
        <w:t xml:space="preserve">6レポートを横断した出題傾向</w:t>
      </w:r>
    </w:p>
    <w:p>
      <w:pPr>
        <w:spacing w:after="60" w:line="270"/>
      </w:pPr>
      <w:r>
        <w:rPr>
          <w:rFonts w:ascii="Yu Gothic" w:cs="Yu Gothic" w:eastAsia="Yu Gothic" w:hAnsi="Yu Gothic"/>
          <w:sz w:val="18"/>
          <w:szCs w:val="18"/>
        </w:rPr>
        <w:t xml:space="preserve">6つのレポートを横断すると、KPMGの最近の論点は、単独の技術・ESG・人事テーマではなく、「外部環境の変化を踏まえ、企業固有の強みを使って、企業価値をどう高めるか」という構造に集約されます。共通するのは「導入・開示・施策の量」ではなく「実装・接続・成果」を問う姿勢です。</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186"/>
        <w:gridCol w:w="3187"/>
        <w:gridCol w:w="3187"/>
      </w:tblGrid>
      <w:tr>
        <w:tc>
          <w:tcPr>
            <w:tcW w:type="dxa" w:w="3186"/>
            <w:shd w:fill="00338D" w:val="clear"/>
          </w:tcPr>
          <w:p>
            <w:pPr>
              <w:spacing w:line="250"/>
            </w:pPr>
            <w:r>
              <w:rPr>
                <w:rFonts w:ascii="Yu Gothic" w:cs="Yu Gothic" w:eastAsia="Yu Gothic" w:hAnsi="Yu Gothic"/>
                <w:b/>
                <w:bCs/>
                <w:color w:val="FFFFFF"/>
                <w:sz w:val="18"/>
                <w:szCs w:val="18"/>
              </w:rPr>
              <w:t xml:space="preserve">外部変化</w:t>
            </w:r>
          </w:p>
        </w:tc>
        <w:tc>
          <w:tcPr>
            <w:tcW w:type="dxa" w:w="3186"/>
            <w:shd w:fill="00338D" w:val="clear"/>
          </w:tcPr>
          <w:p>
            <w:pPr>
              <w:spacing w:line="250"/>
            </w:pPr>
            <w:r>
              <w:rPr>
                <w:rFonts w:ascii="Yu Gothic" w:cs="Yu Gothic" w:eastAsia="Yu Gothic" w:hAnsi="Yu Gothic"/>
                <w:b/>
                <w:bCs/>
                <w:color w:val="FFFFFF"/>
                <w:sz w:val="18"/>
                <w:szCs w:val="18"/>
              </w:rPr>
              <w:t xml:space="preserve">企業の課題</w:t>
            </w:r>
          </w:p>
        </w:tc>
        <w:tc>
          <w:tcPr>
            <w:tcW w:type="dxa" w:w="3186"/>
            <w:shd w:fill="00338D" w:val="clear"/>
          </w:tcPr>
          <w:p>
            <w:pPr>
              <w:spacing w:line="250"/>
            </w:pPr>
            <w:r>
              <w:rPr>
                <w:rFonts w:ascii="Yu Gothic" w:cs="Yu Gothic" w:eastAsia="Yu Gothic" w:hAnsi="Yu Gothic"/>
                <w:b/>
                <w:bCs/>
                <w:color w:val="FFFFFF"/>
                <w:sz w:val="18"/>
                <w:szCs w:val="18"/>
              </w:rPr>
              <w:t xml:space="preserve">ケースで求められる提案</w:t>
            </w:r>
          </w:p>
        </w:tc>
      </w:tr>
      <w:tr>
        <w:tc>
          <w:tcPr>
            <w:tcW w:type="dxa" w:w="3186"/>
          </w:tcPr>
          <w:p>
            <w:pPr>
              <w:spacing w:line="250"/>
            </w:pPr>
            <w:r>
              <w:rPr>
                <w:rFonts w:ascii="Yu Gothic" w:cs="Yu Gothic" w:eastAsia="Yu Gothic" w:hAnsi="Yu Gothic"/>
                <w:b w:val="false"/>
                <w:bCs w:val="false"/>
                <w:color w:val="000000"/>
                <w:sz w:val="18"/>
                <w:szCs w:val="18"/>
              </w:rPr>
              <w:t xml:space="preserve">AI・AIエージェント</w:t>
            </w:r>
          </w:p>
        </w:tc>
        <w:tc>
          <w:tcPr>
            <w:tcW w:type="dxa" w:w="3186"/>
          </w:tcPr>
          <w:p>
            <w:pPr>
              <w:spacing w:line="250"/>
            </w:pPr>
            <w:r>
              <w:rPr>
                <w:rFonts w:ascii="Yu Gothic" w:cs="Yu Gothic" w:eastAsia="Yu Gothic" w:hAnsi="Yu Gothic"/>
                <w:b w:val="false"/>
                <w:bCs w:val="false"/>
                <w:color w:val="000000"/>
                <w:sz w:val="18"/>
                <w:szCs w:val="18"/>
              </w:rPr>
              <w:t xml:space="preserve">導入しても価値が出ない（ROI達成24％、全社展開31％）</w:t>
            </w:r>
          </w:p>
        </w:tc>
        <w:tc>
          <w:tcPr>
            <w:tcW w:type="dxa" w:w="3186"/>
          </w:tcPr>
          <w:p>
            <w:pPr>
              <w:spacing w:line="250"/>
            </w:pPr>
            <w:r>
              <w:rPr>
                <w:rFonts w:ascii="Yu Gothic" w:cs="Yu Gothic" w:eastAsia="Yu Gothic" w:hAnsi="Yu Gothic"/>
                <w:b w:val="false"/>
                <w:bCs w:val="false"/>
                <w:color w:val="000000"/>
                <w:sz w:val="18"/>
                <w:szCs w:val="18"/>
              </w:rPr>
              <w:t xml:space="preserve">業務・組織・事業モデルの再設計</w:t>
            </w:r>
          </w:p>
        </w:tc>
      </w:tr>
      <w:tr>
        <w:tc>
          <w:tcPr>
            <w:tcW w:type="dxa" w:w="3186"/>
          </w:tcPr>
          <w:p>
            <w:pPr>
              <w:spacing w:line="250"/>
            </w:pPr>
            <w:r>
              <w:rPr>
                <w:rFonts w:ascii="Yu Gothic" w:cs="Yu Gothic" w:eastAsia="Yu Gothic" w:hAnsi="Yu Gothic"/>
                <w:b w:val="false"/>
                <w:bCs w:val="false"/>
                <w:color w:val="000000"/>
                <w:sz w:val="18"/>
                <w:szCs w:val="18"/>
              </w:rPr>
              <w:t xml:space="preserve">データ・技術革新</w:t>
            </w:r>
          </w:p>
        </w:tc>
        <w:tc>
          <w:tcPr>
            <w:tcW w:type="dxa" w:w="3186"/>
          </w:tcPr>
          <w:p>
            <w:pPr>
              <w:spacing w:line="250"/>
            </w:pPr>
            <w:r>
              <w:rPr>
                <w:rFonts w:ascii="Yu Gothic" w:cs="Yu Gothic" w:eastAsia="Yu Gothic" w:hAnsi="Yu Gothic"/>
                <w:b w:val="false"/>
                <w:bCs w:val="false"/>
                <w:color w:val="000000"/>
                <w:sz w:val="18"/>
                <w:szCs w:val="18"/>
              </w:rPr>
              <w:t xml:space="preserve">データ分断・技術的負債・保証対応力の不足</w:t>
            </w:r>
          </w:p>
        </w:tc>
        <w:tc>
          <w:tcPr>
            <w:tcW w:type="dxa" w:w="3186"/>
          </w:tcPr>
          <w:p>
            <w:pPr>
              <w:spacing w:line="250"/>
            </w:pPr>
            <w:r>
              <w:rPr>
                <w:rFonts w:ascii="Yu Gothic" w:cs="Yu Gothic" w:eastAsia="Yu Gothic" w:hAnsi="Yu Gothic"/>
                <w:b w:val="false"/>
                <w:bCs w:val="false"/>
                <w:color w:val="000000"/>
                <w:sz w:val="18"/>
                <w:szCs w:val="18"/>
              </w:rPr>
              <w:t xml:space="preserve">基盤投資と競争優位の結合</w:t>
            </w:r>
          </w:p>
        </w:tc>
      </w:tr>
      <w:tr>
        <w:tc>
          <w:tcPr>
            <w:tcW w:type="dxa" w:w="3186"/>
          </w:tcPr>
          <w:p>
            <w:pPr>
              <w:spacing w:line="250"/>
            </w:pPr>
            <w:r>
              <w:rPr>
                <w:rFonts w:ascii="Yu Gothic" w:cs="Yu Gothic" w:eastAsia="Yu Gothic" w:hAnsi="Yu Gothic"/>
                <w:b w:val="false"/>
                <w:bCs w:val="false"/>
                <w:color w:val="000000"/>
                <w:sz w:val="18"/>
                <w:szCs w:val="18"/>
              </w:rPr>
              <w:t xml:space="preserve">人的資本</w:t>
            </w:r>
          </w:p>
        </w:tc>
        <w:tc>
          <w:tcPr>
            <w:tcW w:type="dxa" w:w="3186"/>
          </w:tcPr>
          <w:p>
            <w:pPr>
              <w:spacing w:line="250"/>
            </w:pPr>
            <w:r>
              <w:rPr>
                <w:rFonts w:ascii="Yu Gothic" w:cs="Yu Gothic" w:eastAsia="Yu Gothic" w:hAnsi="Yu Gothic"/>
                <w:b w:val="false"/>
                <w:bCs w:val="false"/>
                <w:color w:val="000000"/>
                <w:sz w:val="18"/>
                <w:szCs w:val="18"/>
              </w:rPr>
              <w:t xml:space="preserve">必要人材と現有人材のギャップ（戦略整合は約1割）</w:t>
            </w:r>
          </w:p>
        </w:tc>
        <w:tc>
          <w:tcPr>
            <w:tcW w:type="dxa" w:w="3186"/>
          </w:tcPr>
          <w:p>
            <w:pPr>
              <w:spacing w:line="250"/>
            </w:pPr>
            <w:r>
              <w:rPr>
                <w:rFonts w:ascii="Yu Gothic" w:cs="Yu Gothic" w:eastAsia="Yu Gothic" w:hAnsi="Yu Gothic"/>
                <w:b w:val="false"/>
                <w:bCs w:val="false"/>
                <w:color w:val="000000"/>
                <w:sz w:val="18"/>
                <w:szCs w:val="18"/>
              </w:rPr>
              <w:t xml:space="preserve">人材ポートフォリオ再設計</w:t>
            </w:r>
          </w:p>
        </w:tc>
      </w:tr>
      <w:tr>
        <w:tc>
          <w:tcPr>
            <w:tcW w:type="dxa" w:w="3186"/>
          </w:tcPr>
          <w:p>
            <w:pPr>
              <w:spacing w:line="250"/>
            </w:pPr>
            <w:r>
              <w:rPr>
                <w:rFonts w:ascii="Yu Gothic" w:cs="Yu Gothic" w:eastAsia="Yu Gothic" w:hAnsi="Yu Gothic"/>
                <w:b w:val="false"/>
                <w:bCs w:val="false"/>
                <w:color w:val="000000"/>
                <w:sz w:val="18"/>
                <w:szCs w:val="18"/>
              </w:rPr>
              <w:t xml:space="preserve">外部専門性</w:t>
            </w:r>
          </w:p>
        </w:tc>
        <w:tc>
          <w:tcPr>
            <w:tcW w:type="dxa" w:w="3186"/>
          </w:tcPr>
          <w:p>
            <w:pPr>
              <w:spacing w:line="250"/>
            </w:pPr>
            <w:r>
              <w:rPr>
                <w:rFonts w:ascii="Yu Gothic" w:cs="Yu Gothic" w:eastAsia="Yu Gothic" w:hAnsi="Yu Gothic"/>
                <w:b w:val="false"/>
                <w:bCs w:val="false"/>
                <w:color w:val="000000"/>
                <w:sz w:val="18"/>
                <w:szCs w:val="18"/>
              </w:rPr>
              <w:t xml:space="preserve">自社だけではAI変革が遅い（人材・専門性の制約）</w:t>
            </w:r>
          </w:p>
        </w:tc>
        <w:tc>
          <w:tcPr>
            <w:tcW w:type="dxa" w:w="3186"/>
          </w:tcPr>
          <w:p>
            <w:pPr>
              <w:spacing w:line="250"/>
            </w:pPr>
            <w:r>
              <w:rPr>
                <w:rFonts w:ascii="Yu Gothic" w:cs="Yu Gothic" w:eastAsia="Yu Gothic" w:hAnsi="Yu Gothic"/>
                <w:b w:val="false"/>
                <w:bCs w:val="false"/>
                <w:color w:val="000000"/>
                <w:sz w:val="18"/>
                <w:szCs w:val="18"/>
              </w:rPr>
              <w:t xml:space="preserve">内製・外部活用の最適組合せ</w:t>
            </w:r>
          </w:p>
        </w:tc>
      </w:tr>
      <w:tr>
        <w:tc>
          <w:tcPr>
            <w:tcW w:type="dxa" w:w="3186"/>
          </w:tcPr>
          <w:p>
            <w:pPr>
              <w:spacing w:line="250"/>
            </w:pPr>
            <w:r>
              <w:rPr>
                <w:rFonts w:ascii="Yu Gothic" w:cs="Yu Gothic" w:eastAsia="Yu Gothic" w:hAnsi="Yu Gothic"/>
                <w:b w:val="false"/>
                <w:bCs w:val="false"/>
                <w:color w:val="000000"/>
                <w:sz w:val="18"/>
                <w:szCs w:val="18"/>
              </w:rPr>
              <w:t xml:space="preserve">サステナビリティ</w:t>
            </w:r>
          </w:p>
        </w:tc>
        <w:tc>
          <w:tcPr>
            <w:tcW w:type="dxa" w:w="3186"/>
          </w:tcPr>
          <w:p>
            <w:pPr>
              <w:spacing w:line="250"/>
            </w:pPr>
            <w:r>
              <w:rPr>
                <w:rFonts w:ascii="Yu Gothic" w:cs="Yu Gothic" w:eastAsia="Yu Gothic" w:hAnsi="Yu Gothic"/>
                <w:b w:val="false"/>
                <w:bCs w:val="false"/>
                <w:color w:val="000000"/>
                <w:sz w:val="18"/>
                <w:szCs w:val="18"/>
              </w:rPr>
              <w:t xml:space="preserve">開示・対応が企業価値に結びつかない</w:t>
            </w:r>
          </w:p>
        </w:tc>
        <w:tc>
          <w:tcPr>
            <w:tcW w:type="dxa" w:w="3186"/>
          </w:tcPr>
          <w:p>
            <w:pPr>
              <w:spacing w:line="250"/>
            </w:pPr>
            <w:r>
              <w:rPr>
                <w:rFonts w:ascii="Yu Gothic" w:cs="Yu Gothic" w:eastAsia="Yu Gothic" w:hAnsi="Yu Gothic"/>
                <w:b w:val="false"/>
                <w:bCs w:val="false"/>
                <w:color w:val="000000"/>
                <w:sz w:val="18"/>
                <w:szCs w:val="18"/>
              </w:rPr>
              <w:t xml:space="preserve">成長・収益・競争優位への転換</w:t>
            </w:r>
          </w:p>
        </w:tc>
      </w:tr>
    </w:tbl>
    <w:p>
      <w:pPr>
        <w:spacing w:after="40"/>
      </w:pPr>
    </w:p>
    <w:p>
      <w:pPr>
        <w:spacing w:after="60" w:line="270"/>
      </w:pPr>
      <w:r>
        <w:rPr>
          <w:rFonts w:ascii="Yu Gothic" w:cs="Yu Gothic" w:eastAsia="Yu Gothic" w:hAnsi="Yu Gothic"/>
          <w:b/>
          <w:bCs/>
          <w:sz w:val="18"/>
          <w:szCs w:val="18"/>
        </w:rPr>
        <w:t xml:space="preserve">本番対策の最重要ポイント：レポートの内容を説明するだけでは不十分です。レポートの論点（と裏付けとなる数値）を、選択した企業の「具体的な経営課題」と「企業固有の強み」に接続し、施策・実行・KPIまで提案することが重要です。</w:t>
      </w:r>
    </w:p>
    <w:sectPr>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2026-07-18T02:18:17.958Z</dcterms:created>
  <dcterms:modified xsi:type="dcterms:W3CDTF">2026-07-18T02:18:17.971Z</dcterms:modified>
</cp:coreProperties>
</file>

<file path=docProps/custom.xml><?xml version="1.0" encoding="utf-8"?>
<Properties xmlns="http://schemas.openxmlformats.org/officeDocument/2006/custom-properties" xmlns:vt="http://schemas.openxmlformats.org/officeDocument/2006/docPropsVTypes"/>
</file>