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1E7A34"/>
          <w:sz w:val="56"/>
          <w:szCs w:val="56"/>
        </w:rPr>
        <w:t xml:space="preserve">ゆうちょ銀行 企業研究レポート</w:t>
      </w:r>
    </w:p>
    <w:p>
      <w:pPr>
        <w:spacing w:after="400"/>
        <w:jc w:val="center"/>
      </w:pPr>
      <w:r>
        <w:rPr>
          <w:color w:val="444444"/>
          <w:sz w:val="28"/>
          <w:szCs w:val="28"/>
        </w:rPr>
        <w:t xml:space="preserve">インターン（総合職：マーケット）選考に向けて</w:t>
      </w:r>
    </w:p>
    <w:p>
      <w:pPr>
        <w:spacing w:after="100"/>
        <w:jc w:val="center"/>
      </w:pPr>
      <w:r>
        <w:rPr>
          <w:color w:val="666666"/>
          <w:sz w:val="22"/>
          <w:szCs w:val="22"/>
        </w:rPr>
        <w:t xml:space="preserve">作成日：2026年8月12日</w:t>
      </w:r>
    </w:p>
    <w:p>
      <w:pPr>
        <w:spacing w:after="900"/>
        <w:jc w:val="center"/>
      </w:pPr>
      <w:r>
        <w:rPr>
          <w:color w:val="666666"/>
          <w:sz w:val="22"/>
          <w:szCs w:val="22"/>
        </w:rPr>
        <w:t xml:space="preserve">対象：信吾</w:t>
      </w:r>
    </w:p>
    <w:p>
      <w:pPr>
        <w:spacing w:after="120"/>
      </w:pPr>
      <w:r>
        <w:rPr>
          <w:color w:val="555555"/>
          <w:sz w:val="20"/>
          <w:szCs w:val="20"/>
        </w:rPr>
        <w:t xml:space="preserve">本資料は、ゆうちょ銀行が公表した「2026年度投資家説明会」資料（2026年5月20日）および「個人投資家さま向け会社説明資料」（2026年7月）をもとに、インターン選考（総合職：マーケット）に向けた企業研究資料としてまとめたものです。特に、マーケット部門（市場運用業務）に関するトピックを中心に整理しています。</w:t>
      </w:r>
    </w:p>
    <w:p>
      <w:r>
        <w:br w:type="page"/>
      </w:r>
    </w:p>
    <w:p>
      <w:pPr>
        <w:pStyle w:val="Heading1"/>
        <w:spacing w:after="150" w:before="300"/>
      </w:pPr>
      <w:r>
        <w:t xml:space="preserve">1. 会社概要</w:t>
      </w:r>
    </w:p>
    <w:p>
      <w:pPr>
        <w:spacing w:after="120"/>
      </w:pPr>
      <w:r>
        <w:t xml:space="preserve">創業から現在まで、全国津々浦々の顧客に金融サービスを提供してきたゆうちょ銀行の沿革と基本情報。</w:t>
      </w:r>
    </w:p>
    <w:p>
      <w:pPr>
        <w:jc w:val="center"/>
      </w:pPr>
      <w:r>
        <w:drawing>
          <wp:inline distT="0" distB="0" distL="0" distR="0">
            <wp:extent cx="5667375"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3924300"/>
                    </a:xfrm>
                    <a:prstGeom prst="rect">
                      <a:avLst/>
                    </a:prstGeom>
                  </pic:spPr>
                </pic:pic>
              </a:graphicData>
            </a:graphic>
          </wp:inline>
        </w:drawing>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1E7A34" w:color="auto" w:val="clear"/>
            <w:tcMar>
              <w:top w:type="dxa" w:w="80"/>
              <w:left w:type="dxa" w:w="100"/>
              <w:bottom w:type="dxa" w:w="80"/>
              <w:right w:type="dxa" w:w="100"/>
            </w:tcMar>
          </w:tcPr>
          <w:p>
            <w:r>
              <w:rPr>
                <w:b/>
                <w:bCs/>
                <w:color w:val="FFFFFF"/>
                <w:sz w:val="20"/>
                <w:szCs w:val="20"/>
              </w:rPr>
              <w:t xml:space="preserve">項目</w:t>
            </w:r>
          </w:p>
        </w:tc>
        <w:tc>
          <w:tcPr>
            <w:tcW w:type="dxa" w:w="7150"/>
            <w:shd w:fill="1E7A34" w:color="auto" w:val="clear"/>
            <w:tcMar>
              <w:top w:type="dxa" w:w="80"/>
              <w:left w:type="dxa" w:w="100"/>
              <w:bottom w:type="dxa" w:w="80"/>
              <w:right w:type="dxa" w:w="100"/>
            </w:tcMar>
          </w:tcPr>
          <w:p>
            <w:r>
              <w:rPr>
                <w:b/>
                <w:bCs/>
                <w:color w:val="FFFFFF"/>
                <w:sz w:val="20"/>
                <w:szCs w:val="20"/>
              </w:rPr>
              <w:t xml:space="preserve">内容</w:t>
            </w:r>
          </w:p>
        </w:tc>
      </w:tr>
      <w:tr>
        <w:tc>
          <w:tcPr>
            <w:tcW w:type="dxa" w:w="2200"/>
            <w:shd w:fill="F2F7F3" w:color="auto" w:val="clear"/>
            <w:tcMar>
              <w:top w:type="dxa" w:w="80"/>
              <w:left w:type="dxa" w:w="100"/>
              <w:bottom w:type="dxa" w:w="80"/>
              <w:right w:type="dxa" w:w="100"/>
            </w:tcMar>
          </w:tcPr>
          <w:p>
            <w:r>
              <w:rPr>
                <w:sz w:val="20"/>
                <w:szCs w:val="20"/>
              </w:rPr>
              <w:t xml:space="preserve">商号</w:t>
            </w:r>
          </w:p>
        </w:tc>
        <w:tc>
          <w:tcPr>
            <w:tcW w:type="dxa" w:w="7150"/>
            <w:shd w:fill="F2F7F3" w:color="auto" w:val="clear"/>
            <w:tcMar>
              <w:top w:type="dxa" w:w="80"/>
              <w:left w:type="dxa" w:w="100"/>
              <w:bottom w:type="dxa" w:w="80"/>
              <w:right w:type="dxa" w:w="100"/>
            </w:tcMar>
          </w:tcPr>
          <w:p>
            <w:r>
              <w:rPr>
                <w:sz w:val="20"/>
                <w:szCs w:val="20"/>
              </w:rPr>
              <w:t xml:space="preserve">株式会社ゆうちょ銀行（Japan Post Bank Co., Ltd.）</w:t>
            </w:r>
          </w:p>
        </w:tc>
      </w:tr>
      <w:tr>
        <w:tc>
          <w:tcPr>
            <w:tcW w:type="dxa" w:w="2200"/>
            <w:shd w:fill="FFFFFF" w:color="auto" w:val="clear"/>
            <w:tcMar>
              <w:top w:type="dxa" w:w="80"/>
              <w:left w:type="dxa" w:w="100"/>
              <w:bottom w:type="dxa" w:w="80"/>
              <w:right w:type="dxa" w:w="100"/>
            </w:tcMar>
          </w:tcPr>
          <w:p>
            <w:r>
              <w:rPr>
                <w:sz w:val="20"/>
                <w:szCs w:val="20"/>
              </w:rPr>
              <w:t xml:space="preserve">証券コード</w:t>
            </w:r>
          </w:p>
        </w:tc>
        <w:tc>
          <w:tcPr>
            <w:tcW w:type="dxa" w:w="7150"/>
            <w:shd w:fill="FFFFFF" w:color="auto" w:val="clear"/>
            <w:tcMar>
              <w:top w:type="dxa" w:w="80"/>
              <w:left w:type="dxa" w:w="100"/>
              <w:bottom w:type="dxa" w:w="80"/>
              <w:right w:type="dxa" w:w="100"/>
            </w:tcMar>
          </w:tcPr>
          <w:p>
            <w:r>
              <w:rPr>
                <w:sz w:val="20"/>
                <w:szCs w:val="20"/>
              </w:rPr>
              <w:t xml:space="preserve">7182（東京証券取引所プライム市場）</w:t>
            </w:r>
          </w:p>
        </w:tc>
      </w:tr>
      <w:tr>
        <w:tc>
          <w:tcPr>
            <w:tcW w:type="dxa" w:w="2200"/>
            <w:shd w:fill="F2F7F3" w:color="auto" w:val="clear"/>
            <w:tcMar>
              <w:top w:type="dxa" w:w="80"/>
              <w:left w:type="dxa" w:w="100"/>
              <w:bottom w:type="dxa" w:w="80"/>
              <w:right w:type="dxa" w:w="100"/>
            </w:tcMar>
          </w:tcPr>
          <w:p>
            <w:r>
              <w:rPr>
                <w:sz w:val="20"/>
                <w:szCs w:val="20"/>
              </w:rPr>
              <w:t xml:space="preserve">設立の沿革</w:t>
            </w:r>
          </w:p>
        </w:tc>
        <w:tc>
          <w:tcPr>
            <w:tcW w:type="dxa" w:w="7150"/>
            <w:shd w:fill="F2F7F3" w:color="auto" w:val="clear"/>
            <w:tcMar>
              <w:top w:type="dxa" w:w="80"/>
              <w:left w:type="dxa" w:w="100"/>
              <w:bottom w:type="dxa" w:w="80"/>
              <w:right w:type="dxa" w:w="100"/>
            </w:tcMar>
          </w:tcPr>
          <w:p>
            <w:r>
              <w:rPr>
                <w:sz w:val="20"/>
                <w:szCs w:val="20"/>
              </w:rPr>
              <w:t xml:space="preserve">1875年 郵便貯金事業開始 → 2007年 民営化 → 2015年 上場</w:t>
            </w:r>
          </w:p>
        </w:tc>
      </w:tr>
      <w:tr>
        <w:tc>
          <w:tcPr>
            <w:tcW w:type="dxa" w:w="2200"/>
            <w:shd w:fill="FFFFFF" w:color="auto" w:val="clear"/>
            <w:tcMar>
              <w:top w:type="dxa" w:w="80"/>
              <w:left w:type="dxa" w:w="100"/>
              <w:bottom w:type="dxa" w:w="80"/>
              <w:right w:type="dxa" w:w="100"/>
            </w:tcMar>
          </w:tcPr>
          <w:p>
            <w:r>
              <w:rPr>
                <w:sz w:val="20"/>
                <w:szCs w:val="20"/>
              </w:rPr>
              <w:t xml:space="preserve">信用格付（長期）</w:t>
            </w:r>
          </w:p>
        </w:tc>
        <w:tc>
          <w:tcPr>
            <w:tcW w:type="dxa" w:w="7150"/>
            <w:shd w:fill="FFFFFF" w:color="auto" w:val="clear"/>
            <w:tcMar>
              <w:top w:type="dxa" w:w="80"/>
              <w:left w:type="dxa" w:w="100"/>
              <w:bottom w:type="dxa" w:w="80"/>
              <w:right w:type="dxa" w:w="100"/>
            </w:tcMar>
          </w:tcPr>
          <w:p>
            <w:r>
              <w:rPr>
                <w:sz w:val="20"/>
                <w:szCs w:val="20"/>
              </w:rPr>
              <w:t xml:space="preserve">Moody's：A1　S&amp;P：A</w:t>
            </w:r>
          </w:p>
        </w:tc>
      </w:tr>
      <w:tr>
        <w:tc>
          <w:tcPr>
            <w:tcW w:type="dxa" w:w="2200"/>
            <w:shd w:fill="F2F7F3" w:color="auto" w:val="clear"/>
            <w:tcMar>
              <w:top w:type="dxa" w:w="80"/>
              <w:left w:type="dxa" w:w="100"/>
              <w:bottom w:type="dxa" w:w="80"/>
              <w:right w:type="dxa" w:w="100"/>
            </w:tcMar>
          </w:tcPr>
          <w:p>
            <w:r>
              <w:rPr>
                <w:sz w:val="20"/>
                <w:szCs w:val="20"/>
              </w:rPr>
              <w:t xml:space="preserve">親会社</w:t>
            </w:r>
          </w:p>
        </w:tc>
        <w:tc>
          <w:tcPr>
            <w:tcW w:type="dxa" w:w="7150"/>
            <w:shd w:fill="F2F7F3" w:color="auto" w:val="clear"/>
            <w:tcMar>
              <w:top w:type="dxa" w:w="80"/>
              <w:left w:type="dxa" w:w="100"/>
              <w:bottom w:type="dxa" w:w="80"/>
              <w:right w:type="dxa" w:w="100"/>
            </w:tcMar>
          </w:tcPr>
          <w:p>
            <w:r>
              <w:rPr>
                <w:sz w:val="20"/>
                <w:szCs w:val="20"/>
              </w:rPr>
              <w:t xml:space="preserve">日本郵政株式会社（政府保有割合38.0%、日本郵政のゆうちょ銀行保有比率49.8%）</w:t>
            </w:r>
          </w:p>
        </w:tc>
      </w:tr>
    </w:tbl>
    <w:p>
      <w:pPr>
        <w:spacing w:before="200"/>
      </w:pPr>
    </w:p>
    <w:p>
      <w:pPr>
        <w:pStyle w:val="Heading2"/>
        <w:spacing w:after="120" w:before="250"/>
      </w:pPr>
      <w:r>
        <w:t xml:space="preserve">ビジネスモデル</w:t>
      </w:r>
    </w:p>
    <w:p>
      <w:pPr>
        <w:spacing w:after="120"/>
      </w:pPr>
      <w:r>
        <w:t xml:space="preserve">安心・安全・便利な金融サービスを提供し、預かった貯金（約186兆円）で資金運用を行うのが基本構造。金融サービス提供による役務収益と、資金運用による運用益（資金収益）の2本柱で収益をあげている。</w:t>
      </w:r>
    </w:p>
    <w:p>
      <w:pPr>
        <w:jc w:val="center"/>
      </w:pPr>
      <w:r>
        <w:drawing>
          <wp:inline distT="0" distB="0" distL="0" distR="0">
            <wp:extent cx="5667375"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3924300"/>
                    </a:xfrm>
                    <a:prstGeom prst="rect">
                      <a:avLst/>
                    </a:prstGeom>
                  </pic:spPr>
                </pic:pic>
              </a:graphicData>
            </a:graphic>
          </wp:inline>
        </w:drawing>
      </w:r>
    </w:p>
    <w:p>
      <w:pPr>
        <w:pStyle w:val="Heading2"/>
        <w:spacing w:after="120" w:before="250"/>
      </w:pPr>
      <w:r>
        <w:t xml:space="preserve">店舗網・顧客基盤（2026年3月末時点）</w:t>
      </w:r>
    </w:p>
    <w:p>
      <w:pPr>
        <w:jc w:val="center"/>
      </w:pPr>
      <w:r>
        <w:drawing>
          <wp:inline distT="0" distB="0" distL="0" distR="0">
            <wp:extent cx="5667375"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3924300"/>
                    </a:xfrm>
                    <a:prstGeom prst="rect">
                      <a:avLst/>
                    </a:prstGeom>
                  </pic:spPr>
                </pic:pic>
              </a:graphicData>
            </a:graphic>
          </wp:inline>
        </w:drawing>
      </w:r>
    </w:p>
    <w:p>
      <w:pPr>
        <w:pStyle w:val="ListParagraph"/>
        <w:numPr>
          <w:ilvl w:val="0"/>
          <w:numId w:val="2"/>
        </w:numPr>
        <w:spacing w:after="60"/>
      </w:pPr>
      <w:r>
        <w:t xml:space="preserve">総店舗数（郵便局数を含む）：23,306店（全都道府県に150店舗以上）</w:t>
      </w:r>
    </w:p>
    <w:p>
      <w:pPr>
        <w:pStyle w:val="ListParagraph"/>
        <w:numPr>
          <w:ilvl w:val="0"/>
          <w:numId w:val="2"/>
        </w:numPr>
        <w:spacing w:after="60"/>
      </w:pPr>
      <w:r>
        <w:t xml:space="preserve">貯金残高：186.1兆円</w:t>
      </w:r>
    </w:p>
    <w:p>
      <w:pPr>
        <w:pStyle w:val="ListParagraph"/>
        <w:numPr>
          <w:ilvl w:val="0"/>
          <w:numId w:val="2"/>
        </w:numPr>
        <w:spacing w:after="60"/>
      </w:pPr>
      <w:r>
        <w:t xml:space="preserve">ゆうちょ通帳アプリ登録口座数：1,662万口座</w:t>
      </w:r>
    </w:p>
    <w:p>
      <w:pPr>
        <w:pStyle w:val="ListParagraph"/>
        <w:numPr>
          <w:ilvl w:val="0"/>
          <w:numId w:val="2"/>
        </w:numPr>
        <w:spacing w:after="60"/>
      </w:pPr>
      <w:r>
        <w:t xml:space="preserve">通常貯金口座数：約1.2億口座（日本の全人口に匹敵する規模）</w:t>
      </w:r>
    </w:p>
    <w:p>
      <w:r>
        <w:br w:type="page"/>
      </w:r>
    </w:p>
    <w:p>
      <w:pPr>
        <w:pStyle w:val="Heading1"/>
        <w:spacing w:after="150" w:before="300"/>
      </w:pPr>
      <w:r>
        <w:t xml:space="preserve">2. 経営戦略：新・中期経営計画（2026〜2028年度）</w:t>
      </w:r>
    </w:p>
    <w:p>
      <w:pPr>
        <w:pStyle w:val="Heading2"/>
        <w:spacing w:after="120" w:before="250"/>
      </w:pPr>
      <w:r>
        <w:t xml:space="preserve">トップメッセージの要旨</w:t>
      </w:r>
    </w:p>
    <w:p>
      <w:pPr>
        <w:spacing w:after="120"/>
      </w:pPr>
      <w:r>
        <w:t xml:space="preserve">前・中期経営計画（2021〜2025年度）の5年間で、3期連続の上場来最高益、時価総額一時10兆円突破など企業価値向上を大幅に進展。円金利ポートフォリオの再構築等の成果も積み上がり、「非連続的な成長に向けた新しいステージ」に立っているとしている。</w:t>
      </w:r>
    </w:p>
    <w:p>
      <w:pPr>
        <w:pStyle w:val="Heading2"/>
        <w:spacing w:after="120" w:before="250"/>
      </w:pPr>
      <w:r>
        <w:t xml:space="preserve">中長期ビジョン（15年後・2040年にありたい姿）</w:t>
      </w:r>
    </w:p>
    <w:p>
      <w:pPr>
        <w:pStyle w:val="ListParagraph"/>
        <w:numPr>
          <w:ilvl w:val="0"/>
          <w:numId w:val="2"/>
        </w:numPr>
        <w:spacing w:after="60"/>
      </w:pPr>
      <w:r>
        <w:t xml:space="preserve">お客さまの多様なニーズに応え、人生に伴走する「日本随一の総合金融プラットフォーマー」</w:t>
      </w:r>
    </w:p>
    <w:p>
      <w:pPr>
        <w:pStyle w:val="ListParagraph"/>
        <w:numPr>
          <w:ilvl w:val="0"/>
          <w:numId w:val="2"/>
        </w:numPr>
        <w:spacing w:after="60"/>
      </w:pPr>
      <w:r>
        <w:t xml:space="preserve">国内外への投資を通じ、お客さまの資産価値向上とサステナブルな社会の実現を目指す「世界有数のマーケットプレイヤー」</w:t>
      </w:r>
    </w:p>
    <w:p>
      <w:pPr>
        <w:jc w:val="center"/>
      </w:pPr>
      <w:r>
        <w:drawing>
          <wp:inline distT="0" distB="0" distL="0" distR="0">
            <wp:extent cx="5667375"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3924300"/>
                    </a:xfrm>
                    <a:prstGeom prst="rect">
                      <a:avLst/>
                    </a:prstGeom>
                  </pic:spPr>
                </pic:pic>
              </a:graphicData>
            </a:graphic>
          </wp:inline>
        </w:drawing>
      </w:r>
    </w:p>
    <w:p>
      <w:pPr>
        <w:pStyle w:val="Heading2"/>
        <w:spacing w:after="120" w:before="250"/>
      </w:pPr>
      <w:r>
        <w:t xml:space="preserve">2つのミッションと4つの事業戦略</w:t>
      </w:r>
    </w:p>
    <w:p>
      <w:pPr>
        <w:jc w:val="center"/>
      </w:pPr>
      <w:r>
        <w:drawing>
          <wp:inline distT="0" distB="0" distL="0" distR="0">
            <wp:extent cx="5667375"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3924300"/>
                    </a:xfrm>
                    <a:prstGeom prst="rect">
                      <a:avLst/>
                    </a:prstGeom>
                  </pic:spPr>
                </pic:pic>
              </a:graphicData>
            </a:graphic>
          </wp:inline>
        </w:drawing>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700"/>
        <w:gridCol w:w="2050"/>
      </w:tblGrid>
      <w:tr>
        <w:tc>
          <w:tcPr>
            <w:tcW w:type="dxa" w:w="2600"/>
            <w:shd w:fill="1E7A34" w:color="auto" w:val="clear"/>
            <w:tcMar>
              <w:top w:type="dxa" w:w="80"/>
              <w:left w:type="dxa" w:w="100"/>
              <w:bottom w:type="dxa" w:w="80"/>
              <w:right w:type="dxa" w:w="100"/>
            </w:tcMar>
          </w:tcPr>
          <w:p>
            <w:r>
              <w:rPr>
                <w:b/>
                <w:bCs/>
                <w:color w:val="FFFFFF"/>
                <w:sz w:val="20"/>
                <w:szCs w:val="20"/>
              </w:rPr>
              <w:t xml:space="preserve">事業戦略</w:t>
            </w:r>
          </w:p>
        </w:tc>
        <w:tc>
          <w:tcPr>
            <w:tcW w:type="dxa" w:w="4700"/>
            <w:shd w:fill="1E7A34" w:color="auto" w:val="clear"/>
            <w:tcMar>
              <w:top w:type="dxa" w:w="80"/>
              <w:left w:type="dxa" w:w="100"/>
              <w:bottom w:type="dxa" w:w="80"/>
              <w:right w:type="dxa" w:w="100"/>
            </w:tcMar>
          </w:tcPr>
          <w:p>
            <w:r>
              <w:rPr>
                <w:b/>
                <w:bCs/>
                <w:color w:val="FFFFFF"/>
                <w:sz w:val="20"/>
                <w:szCs w:val="20"/>
              </w:rPr>
              <w:t xml:space="preserve">概要</w:t>
            </w:r>
          </w:p>
        </w:tc>
        <w:tc>
          <w:tcPr>
            <w:tcW w:type="dxa" w:w="2050"/>
            <w:shd w:fill="1E7A34" w:color="auto" w:val="clear"/>
            <w:tcMar>
              <w:top w:type="dxa" w:w="80"/>
              <w:left w:type="dxa" w:w="100"/>
              <w:bottom w:type="dxa" w:w="80"/>
              <w:right w:type="dxa" w:w="100"/>
            </w:tcMar>
          </w:tcPr>
          <w:p>
            <w:r>
              <w:rPr>
                <w:b/>
                <w:bCs/>
                <w:color w:val="FFFFFF"/>
                <w:sz w:val="20"/>
                <w:szCs w:val="20"/>
              </w:rPr>
              <w:t xml:space="preserve">KPI（2028年度末）</w:t>
            </w:r>
          </w:p>
        </w:tc>
      </w:tr>
      <w:tr>
        <w:tc>
          <w:tcPr>
            <w:tcW w:type="dxa" w:w="2600"/>
            <w:shd w:fill="F2F7F3" w:color="auto" w:val="clear"/>
            <w:tcMar>
              <w:top w:type="dxa" w:w="80"/>
              <w:left w:type="dxa" w:w="100"/>
              <w:bottom w:type="dxa" w:w="80"/>
              <w:right w:type="dxa" w:w="100"/>
            </w:tcMar>
          </w:tcPr>
          <w:p>
            <w:r>
              <w:rPr>
                <w:sz w:val="20"/>
                <w:szCs w:val="20"/>
              </w:rPr>
              <w:t xml:space="preserve">デジタルペイメント事業戦略</w:t>
            </w:r>
          </w:p>
        </w:tc>
        <w:tc>
          <w:tcPr>
            <w:tcW w:type="dxa" w:w="4700"/>
            <w:shd w:fill="F2F7F3" w:color="auto" w:val="clear"/>
            <w:tcMar>
              <w:top w:type="dxa" w:w="80"/>
              <w:left w:type="dxa" w:w="100"/>
              <w:bottom w:type="dxa" w:w="80"/>
              <w:right w:type="dxa" w:w="100"/>
            </w:tcMar>
          </w:tcPr>
          <w:p>
            <w:r>
              <w:rPr>
                <w:sz w:val="20"/>
                <w:szCs w:val="20"/>
              </w:rPr>
              <w:t xml:space="preserve">ゆうちょ通帳アプリを起点に「お得さ」でゆうちょの日常使いをデジタル化</w:t>
            </w:r>
          </w:p>
        </w:tc>
        <w:tc>
          <w:tcPr>
            <w:tcW w:type="dxa" w:w="2050"/>
            <w:shd w:fill="F2F7F3" w:color="auto" w:val="clear"/>
            <w:tcMar>
              <w:top w:type="dxa" w:w="80"/>
              <w:left w:type="dxa" w:w="100"/>
              <w:bottom w:type="dxa" w:w="80"/>
              <w:right w:type="dxa" w:w="100"/>
            </w:tcMar>
          </w:tcPr>
          <w:p>
            <w:r>
              <w:rPr>
                <w:sz w:val="20"/>
                <w:szCs w:val="20"/>
              </w:rPr>
              <w:t xml:space="preserve">通帳アプリ登録口座数 2,500万口座</w:t>
            </w:r>
          </w:p>
        </w:tc>
      </w:tr>
      <w:tr>
        <w:tc>
          <w:tcPr>
            <w:tcW w:type="dxa" w:w="2600"/>
            <w:shd w:fill="FFFFFF" w:color="auto" w:val="clear"/>
            <w:tcMar>
              <w:top w:type="dxa" w:w="80"/>
              <w:left w:type="dxa" w:w="100"/>
              <w:bottom w:type="dxa" w:w="80"/>
              <w:right w:type="dxa" w:w="100"/>
            </w:tcMar>
          </w:tcPr>
          <w:p>
            <w:r>
              <w:rPr>
                <w:sz w:val="20"/>
                <w:szCs w:val="20"/>
              </w:rPr>
              <w:t xml:space="preserve">コンサルティング事業戦略</w:t>
            </w:r>
          </w:p>
        </w:tc>
        <w:tc>
          <w:tcPr>
            <w:tcW w:type="dxa" w:w="4700"/>
            <w:shd w:fill="FFFFFF" w:color="auto" w:val="clear"/>
            <w:tcMar>
              <w:top w:type="dxa" w:w="80"/>
              <w:left w:type="dxa" w:w="100"/>
              <w:bottom w:type="dxa" w:w="80"/>
              <w:right w:type="dxa" w:w="100"/>
            </w:tcMar>
          </w:tcPr>
          <w:p>
            <w:r>
              <w:rPr>
                <w:sz w:val="20"/>
                <w:szCs w:val="20"/>
              </w:rPr>
              <w:t xml:space="preserve">パートナー企業と連携し多様な金融ニーズに対応する新商品・サービスを提供</w:t>
            </w:r>
          </w:p>
        </w:tc>
        <w:tc>
          <w:tcPr>
            <w:tcW w:type="dxa" w:w="2050"/>
            <w:shd w:fill="FFFFFF" w:color="auto" w:val="clear"/>
            <w:tcMar>
              <w:top w:type="dxa" w:w="80"/>
              <w:left w:type="dxa" w:w="100"/>
              <w:bottom w:type="dxa" w:w="80"/>
              <w:right w:type="dxa" w:w="100"/>
            </w:tcMar>
          </w:tcPr>
          <w:p>
            <w:r>
              <w:rPr>
                <w:sz w:val="20"/>
                <w:szCs w:val="20"/>
              </w:rPr>
              <w:t xml:space="preserve">長期資産形成制度利用者数 110万人</w:t>
            </w:r>
          </w:p>
        </w:tc>
      </w:tr>
      <w:tr>
        <w:tc>
          <w:tcPr>
            <w:tcW w:type="dxa" w:w="2600"/>
            <w:shd w:fill="F2F7F3" w:color="auto" w:val="clear"/>
            <w:tcMar>
              <w:top w:type="dxa" w:w="80"/>
              <w:left w:type="dxa" w:w="100"/>
              <w:bottom w:type="dxa" w:w="80"/>
              <w:right w:type="dxa" w:w="100"/>
            </w:tcMar>
          </w:tcPr>
          <w:p>
            <w:r>
              <w:rPr>
                <w:sz w:val="20"/>
                <w:szCs w:val="20"/>
              </w:rPr>
              <w:t xml:space="preserve">地域・企業ソリューション事業戦略</w:t>
            </w:r>
          </w:p>
        </w:tc>
        <w:tc>
          <w:tcPr>
            <w:tcW w:type="dxa" w:w="4700"/>
            <w:shd w:fill="F2F7F3" w:color="auto" w:val="clear"/>
            <w:tcMar>
              <w:top w:type="dxa" w:w="80"/>
              <w:left w:type="dxa" w:w="100"/>
              <w:bottom w:type="dxa" w:w="80"/>
              <w:right w:type="dxa" w:w="100"/>
            </w:tcMar>
          </w:tcPr>
          <w:p>
            <w:r>
              <w:rPr>
                <w:sz w:val="20"/>
                <w:szCs w:val="20"/>
              </w:rPr>
              <w:t xml:space="preserve">ゆうちょキャピタルパートナーズ中心にGP事業展開、地域PE投資を深化</w:t>
            </w:r>
          </w:p>
        </w:tc>
        <w:tc>
          <w:tcPr>
            <w:tcW w:type="dxa" w:w="2050"/>
            <w:shd w:fill="F2F7F3" w:color="auto" w:val="clear"/>
            <w:tcMar>
              <w:top w:type="dxa" w:w="80"/>
              <w:left w:type="dxa" w:w="100"/>
              <w:bottom w:type="dxa" w:w="80"/>
              <w:right w:type="dxa" w:w="100"/>
            </w:tcMar>
          </w:tcPr>
          <w:p>
            <w:r>
              <w:rPr>
                <w:sz w:val="20"/>
                <w:szCs w:val="20"/>
              </w:rPr>
              <w:t xml:space="preserve">子会社GP投資実行 60件600億円程度</w:t>
            </w:r>
          </w:p>
        </w:tc>
      </w:tr>
      <w:tr>
        <w:tc>
          <w:tcPr>
            <w:tcW w:type="dxa" w:w="2600"/>
            <w:shd w:fill="FFFFFF" w:color="auto" w:val="clear"/>
            <w:tcMar>
              <w:top w:type="dxa" w:w="80"/>
              <w:left w:type="dxa" w:w="100"/>
              <w:bottom w:type="dxa" w:w="80"/>
              <w:right w:type="dxa" w:w="100"/>
            </w:tcMar>
          </w:tcPr>
          <w:p>
            <w:r>
              <w:rPr>
                <w:sz w:val="20"/>
                <w:szCs w:val="20"/>
              </w:rPr>
              <w:t xml:space="preserve">市場運用・アセットマネジメント事業戦略</w:t>
            </w:r>
          </w:p>
        </w:tc>
        <w:tc>
          <w:tcPr>
            <w:tcW w:type="dxa" w:w="4700"/>
            <w:shd w:fill="FFFFFF" w:color="auto" w:val="clear"/>
            <w:tcMar>
              <w:top w:type="dxa" w:w="80"/>
              <w:left w:type="dxa" w:w="100"/>
              <w:bottom w:type="dxa" w:w="80"/>
              <w:right w:type="dxa" w:w="100"/>
            </w:tcMar>
          </w:tcPr>
          <w:p>
            <w:r>
              <w:rPr>
                <w:sz w:val="20"/>
                <w:szCs w:val="20"/>
              </w:rPr>
              <w:t xml:space="preserve">円金利資産とリスク性資産の最適な運用ポートフォリオ追求、AM事業へ挑戦</w:t>
            </w:r>
          </w:p>
        </w:tc>
        <w:tc>
          <w:tcPr>
            <w:tcW w:type="dxa" w:w="2050"/>
            <w:shd w:fill="FFFFFF" w:color="auto" w:val="clear"/>
            <w:tcMar>
              <w:top w:type="dxa" w:w="80"/>
              <w:left w:type="dxa" w:w="100"/>
              <w:bottom w:type="dxa" w:w="80"/>
              <w:right w:type="dxa" w:w="100"/>
            </w:tcMar>
          </w:tcPr>
          <w:p>
            <w:r>
              <w:rPr>
                <w:sz w:val="20"/>
                <w:szCs w:val="20"/>
              </w:rPr>
              <w:t xml:space="preserve">資金収支等 2.3兆円超</w:t>
            </w:r>
          </w:p>
        </w:tc>
      </w:tr>
    </w:tbl>
    <w:p>
      <w:pPr>
        <w:spacing w:before="200"/>
      </w:pPr>
    </w:p>
    <w:p>
      <w:pPr>
        <w:pStyle w:val="Heading2"/>
        <w:spacing w:after="120" w:before="250"/>
      </w:pPr>
      <w:r>
        <w:t xml:space="preserve">財務目標（2028年度時点）</w:t>
      </w:r>
    </w:p>
    <w:p>
      <w:pPr>
        <w:pStyle w:val="ListParagraph"/>
        <w:numPr>
          <w:ilvl w:val="0"/>
          <w:numId w:val="2"/>
        </w:numPr>
        <w:spacing w:after="60"/>
      </w:pPr>
      <w:r>
        <w:t xml:space="preserve">当期純利益：1兆円超（3年間で倍増）</w:t>
      </w:r>
    </w:p>
    <w:p>
      <w:pPr>
        <w:pStyle w:val="ListParagraph"/>
        <w:numPr>
          <w:ilvl w:val="0"/>
          <w:numId w:val="2"/>
        </w:numPr>
        <w:spacing w:after="60"/>
      </w:pPr>
      <w:r>
        <w:t xml:space="preserve">ROE（株主資本ベース）：10%程度</w:t>
      </w:r>
    </w:p>
    <w:p>
      <w:pPr>
        <w:pStyle w:val="ListParagraph"/>
        <w:numPr>
          <w:ilvl w:val="0"/>
          <w:numId w:val="2"/>
        </w:numPr>
        <w:spacing w:after="60"/>
      </w:pPr>
      <w:r>
        <w:t xml:space="preserve">OHR（経費率）：40%程度</w:t>
      </w:r>
    </w:p>
    <w:p>
      <w:pPr>
        <w:pStyle w:val="ListParagraph"/>
        <w:numPr>
          <w:ilvl w:val="0"/>
          <w:numId w:val="2"/>
        </w:numPr>
        <w:spacing w:after="60"/>
      </w:pPr>
      <w:r>
        <w:t xml:space="preserve">CET1比率（平時目標レンジ）：11〜13%</w:t>
      </w:r>
    </w:p>
    <w:p>
      <w:pPr>
        <w:pStyle w:val="Heading2"/>
        <w:spacing w:after="120" w:before="250"/>
      </w:pPr>
      <w:r>
        <w:t xml:space="preserve">利益計画のロードマップ</w:t>
      </w:r>
    </w:p>
    <w:p>
      <w:pPr>
        <w:spacing w:after="120"/>
      </w:pPr>
      <w:r>
        <w:t xml:space="preserve">円金利ポートフォリオの再構築、リスク性資産のリスク対比リターン向上を通じた資金収支等の増加が、利益拡大の主たる成長ドライバー。</w:t>
      </w:r>
    </w:p>
    <w:p>
      <w:pPr>
        <w:jc w:val="center"/>
      </w:pPr>
      <w:r>
        <w:drawing>
          <wp:inline distT="0" distB="0" distL="0" distR="0">
            <wp:extent cx="5667375"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3924300"/>
                    </a:xfrm>
                    <a:prstGeom prst="rect">
                      <a:avLst/>
                    </a:prstGeom>
                  </pic:spPr>
                </pic:pic>
              </a:graphicData>
            </a:graphic>
          </wp:inline>
        </w:drawing>
      </w:r>
    </w:p>
    <w:p>
      <w:r>
        <w:br w:type="page"/>
      </w:r>
    </w:p>
    <w:p>
      <w:pPr>
        <w:pStyle w:val="Heading1"/>
        <w:spacing w:after="150" w:before="300"/>
      </w:pPr>
      <w:r>
        <w:t xml:space="preserve">3. 業績・財務ハイライト</w:t>
      </w:r>
    </w:p>
    <w:p>
      <w:pPr>
        <w:pStyle w:val="Heading2"/>
        <w:spacing w:after="120" w:before="250"/>
      </w:pPr>
      <w:r>
        <w:t xml:space="preserve">当期純利益の推移：3期連続で上場来最高益</w:t>
      </w:r>
    </w:p>
    <w:p>
      <w:pPr>
        <w:jc w:val="center"/>
      </w:pPr>
      <w:r>
        <w:drawing>
          <wp:inline distT="0" distB="0" distL="0" distR="0">
            <wp:extent cx="5667375"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3924300"/>
                    </a:xfrm>
                    <a:prstGeom prst="rect">
                      <a:avLst/>
                    </a:prstGeom>
                  </pic:spPr>
                </pic:pic>
              </a:graphicData>
            </a:graphic>
          </wp:inline>
        </w:drawing>
      </w:r>
    </w:p>
    <w:p>
      <w:pPr>
        <w:pStyle w:val="Heading2"/>
        <w:spacing w:after="120" w:before="250"/>
      </w:pPr>
      <w:r>
        <w:t xml:space="preserve">1株あたり配当金の推移：3期連続の増配</w:t>
      </w:r>
    </w:p>
    <w:p>
      <w:pPr>
        <w:jc w:val="center"/>
      </w:pPr>
      <w:r>
        <w:drawing>
          <wp:inline distT="0" distB="0" distL="0" distR="0">
            <wp:extent cx="5667375"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7375" cy="3924300"/>
                    </a:xfrm>
                    <a:prstGeom prst="rect">
                      <a:avLst/>
                    </a:prstGeom>
                  </pic:spPr>
                </pic:pic>
              </a:graphicData>
            </a:graphic>
          </wp:inline>
        </w:drawing>
      </w:r>
    </w:p>
    <w:p>
      <w:pPr>
        <w:pStyle w:val="Heading2"/>
        <w:spacing w:after="120" w:before="250"/>
      </w:pPr>
      <w:r>
        <w:t xml:space="preserve">25年度決算ハイライト（連結）</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50"/>
      </w:tblGrid>
      <w:tr>
        <w:tc>
          <w:tcPr>
            <w:tcW w:type="dxa" w:w="2600"/>
            <w:shd w:fill="1E7A34" w:color="auto" w:val="clear"/>
            <w:tcMar>
              <w:top w:type="dxa" w:w="80"/>
              <w:left w:type="dxa" w:w="100"/>
              <w:bottom w:type="dxa" w:w="80"/>
              <w:right w:type="dxa" w:w="100"/>
            </w:tcMar>
          </w:tcPr>
          <w:p>
            <w:r>
              <w:rPr>
                <w:b/>
                <w:bCs/>
                <w:color w:val="FFFFFF"/>
                <w:sz w:val="20"/>
                <w:szCs w:val="20"/>
              </w:rPr>
              <w:t xml:space="preserve">項目</w:t>
            </w:r>
          </w:p>
        </w:tc>
        <w:tc>
          <w:tcPr>
            <w:tcW w:type="dxa" w:w="4200"/>
            <w:shd w:fill="1E7A34" w:color="auto" w:val="clear"/>
            <w:tcMar>
              <w:top w:type="dxa" w:w="80"/>
              <w:left w:type="dxa" w:w="100"/>
              <w:bottom w:type="dxa" w:w="80"/>
              <w:right w:type="dxa" w:w="100"/>
            </w:tcMar>
          </w:tcPr>
          <w:p>
            <w:r>
              <w:rPr>
                <w:b/>
                <w:bCs/>
                <w:color w:val="FFFFFF"/>
                <w:sz w:val="20"/>
                <w:szCs w:val="20"/>
              </w:rPr>
              <w:t xml:space="preserve">25年度実績</w:t>
            </w:r>
          </w:p>
        </w:tc>
        <w:tc>
          <w:tcPr>
            <w:tcW w:type="dxa" w:w="2550"/>
            <w:shd w:fill="1E7A34" w:color="auto" w:val="clear"/>
            <w:tcMar>
              <w:top w:type="dxa" w:w="80"/>
              <w:left w:type="dxa" w:w="100"/>
              <w:bottom w:type="dxa" w:w="80"/>
              <w:right w:type="dxa" w:w="100"/>
            </w:tcMar>
          </w:tcPr>
          <w:p>
            <w:r>
              <w:rPr>
                <w:b/>
                <w:bCs/>
                <w:color w:val="FFFFFF"/>
                <w:sz w:val="20"/>
                <w:szCs w:val="20"/>
              </w:rPr>
              <w:t xml:space="preserve">対前年度比</w:t>
            </w:r>
          </w:p>
        </w:tc>
      </w:tr>
      <w:tr>
        <w:tc>
          <w:tcPr>
            <w:tcW w:type="dxa" w:w="2600"/>
            <w:shd w:fill="F2F7F3" w:color="auto" w:val="clear"/>
            <w:tcMar>
              <w:top w:type="dxa" w:w="80"/>
              <w:left w:type="dxa" w:w="100"/>
              <w:bottom w:type="dxa" w:w="80"/>
              <w:right w:type="dxa" w:w="100"/>
            </w:tcMar>
          </w:tcPr>
          <w:p>
            <w:r>
              <w:rPr>
                <w:sz w:val="20"/>
                <w:szCs w:val="20"/>
              </w:rPr>
              <w:t xml:space="preserve">親会社株主純利益</w:t>
            </w:r>
          </w:p>
        </w:tc>
        <w:tc>
          <w:tcPr>
            <w:tcW w:type="dxa" w:w="4200"/>
            <w:shd w:fill="F2F7F3" w:color="auto" w:val="clear"/>
            <w:tcMar>
              <w:top w:type="dxa" w:w="80"/>
              <w:left w:type="dxa" w:w="100"/>
              <w:bottom w:type="dxa" w:w="80"/>
              <w:right w:type="dxa" w:w="100"/>
            </w:tcMar>
          </w:tcPr>
          <w:p>
            <w:r>
              <w:rPr>
                <w:sz w:val="20"/>
                <w:szCs w:val="20"/>
              </w:rPr>
              <w:t xml:space="preserve">5,255億円（上場来最高益）</w:t>
            </w:r>
          </w:p>
        </w:tc>
        <w:tc>
          <w:tcPr>
            <w:tcW w:type="dxa" w:w="2550"/>
            <w:shd w:fill="F2F7F3" w:color="auto" w:val="clear"/>
            <w:tcMar>
              <w:top w:type="dxa" w:w="80"/>
              <w:left w:type="dxa" w:w="100"/>
              <w:bottom w:type="dxa" w:w="80"/>
              <w:right w:type="dxa" w:w="100"/>
            </w:tcMar>
          </w:tcPr>
          <w:p>
            <w:r>
              <w:rPr>
                <w:sz w:val="20"/>
                <w:szCs w:val="20"/>
              </w:rPr>
              <w:t xml:space="preserve">＋1,112億円</w:t>
            </w:r>
          </w:p>
        </w:tc>
      </w:tr>
      <w:tr>
        <w:tc>
          <w:tcPr>
            <w:tcW w:type="dxa" w:w="2600"/>
            <w:shd w:fill="FFFFFF" w:color="auto" w:val="clear"/>
            <w:tcMar>
              <w:top w:type="dxa" w:w="80"/>
              <w:left w:type="dxa" w:w="100"/>
              <w:bottom w:type="dxa" w:w="80"/>
              <w:right w:type="dxa" w:w="100"/>
            </w:tcMar>
          </w:tcPr>
          <w:p>
            <w:r>
              <w:rPr>
                <w:sz w:val="20"/>
                <w:szCs w:val="20"/>
              </w:rPr>
              <w:t xml:space="preserve">経常利益</w:t>
            </w:r>
          </w:p>
        </w:tc>
        <w:tc>
          <w:tcPr>
            <w:tcW w:type="dxa" w:w="4200"/>
            <w:shd w:fill="FFFFFF" w:color="auto" w:val="clear"/>
            <w:tcMar>
              <w:top w:type="dxa" w:w="80"/>
              <w:left w:type="dxa" w:w="100"/>
              <w:bottom w:type="dxa" w:w="80"/>
              <w:right w:type="dxa" w:w="100"/>
            </w:tcMar>
          </w:tcPr>
          <w:p>
            <w:r>
              <w:rPr>
                <w:sz w:val="20"/>
                <w:szCs w:val="20"/>
              </w:rPr>
              <w:t xml:space="preserve">7,591億円</w:t>
            </w:r>
          </w:p>
        </w:tc>
        <w:tc>
          <w:tcPr>
            <w:tcW w:type="dxa" w:w="2550"/>
            <w:shd w:fill="FFFFFF" w:color="auto" w:val="clear"/>
            <w:tcMar>
              <w:top w:type="dxa" w:w="80"/>
              <w:left w:type="dxa" w:w="100"/>
              <w:bottom w:type="dxa" w:w="80"/>
              <w:right w:type="dxa" w:w="100"/>
            </w:tcMar>
          </w:tcPr>
          <w:p>
            <w:r>
              <w:rPr>
                <w:sz w:val="20"/>
                <w:szCs w:val="20"/>
              </w:rPr>
              <w:t xml:space="preserve">＋1,746億円</w:t>
            </w:r>
          </w:p>
        </w:tc>
      </w:tr>
      <w:tr>
        <w:tc>
          <w:tcPr>
            <w:tcW w:type="dxa" w:w="2600"/>
            <w:shd w:fill="F2F7F3" w:color="auto" w:val="clear"/>
            <w:tcMar>
              <w:top w:type="dxa" w:w="80"/>
              <w:left w:type="dxa" w:w="100"/>
              <w:bottom w:type="dxa" w:w="80"/>
              <w:right w:type="dxa" w:w="100"/>
            </w:tcMar>
          </w:tcPr>
          <w:p>
            <w:r>
              <w:rPr>
                <w:sz w:val="20"/>
                <w:szCs w:val="20"/>
              </w:rPr>
              <w:t xml:space="preserve">資金収支等</w:t>
            </w:r>
          </w:p>
        </w:tc>
        <w:tc>
          <w:tcPr>
            <w:tcW w:type="dxa" w:w="4200"/>
            <w:shd w:fill="F2F7F3" w:color="auto" w:val="clear"/>
            <w:tcMar>
              <w:top w:type="dxa" w:w="80"/>
              <w:left w:type="dxa" w:w="100"/>
              <w:bottom w:type="dxa" w:w="80"/>
              <w:right w:type="dxa" w:w="100"/>
            </w:tcMar>
          </w:tcPr>
          <w:p>
            <w:r>
              <w:rPr>
                <w:sz w:val="20"/>
                <w:szCs w:val="20"/>
              </w:rPr>
              <w:t xml:space="preserve">15,363億円</w:t>
            </w:r>
          </w:p>
        </w:tc>
        <w:tc>
          <w:tcPr>
            <w:tcW w:type="dxa" w:w="2550"/>
            <w:shd w:fill="F2F7F3" w:color="auto" w:val="clear"/>
            <w:tcMar>
              <w:top w:type="dxa" w:w="80"/>
              <w:left w:type="dxa" w:w="100"/>
              <w:bottom w:type="dxa" w:w="80"/>
              <w:right w:type="dxa" w:w="100"/>
            </w:tcMar>
          </w:tcPr>
          <w:p>
            <w:r>
              <w:rPr>
                <w:sz w:val="20"/>
                <w:szCs w:val="20"/>
              </w:rPr>
              <w:t xml:space="preserve">＋2,010億円</w:t>
            </w:r>
          </w:p>
        </w:tc>
      </w:tr>
      <w:tr>
        <w:tc>
          <w:tcPr>
            <w:tcW w:type="dxa" w:w="2600"/>
            <w:shd w:fill="FFFFFF" w:color="auto" w:val="clear"/>
            <w:tcMar>
              <w:top w:type="dxa" w:w="80"/>
              <w:left w:type="dxa" w:w="100"/>
              <w:bottom w:type="dxa" w:w="80"/>
              <w:right w:type="dxa" w:w="100"/>
            </w:tcMar>
          </w:tcPr>
          <w:p>
            <w:r>
              <w:rPr>
                <w:sz w:val="20"/>
                <w:szCs w:val="20"/>
              </w:rPr>
              <w:t xml:space="preserve">役務取引等利益</w:t>
            </w:r>
          </w:p>
        </w:tc>
        <w:tc>
          <w:tcPr>
            <w:tcW w:type="dxa" w:w="4200"/>
            <w:shd w:fill="FFFFFF" w:color="auto" w:val="clear"/>
            <w:tcMar>
              <w:top w:type="dxa" w:w="80"/>
              <w:left w:type="dxa" w:w="100"/>
              <w:bottom w:type="dxa" w:w="80"/>
              <w:right w:type="dxa" w:w="100"/>
            </w:tcMar>
          </w:tcPr>
          <w:p>
            <w:r>
              <w:rPr>
                <w:sz w:val="20"/>
                <w:szCs w:val="20"/>
              </w:rPr>
              <w:t xml:space="preserve">1,675億円</w:t>
            </w:r>
          </w:p>
        </w:tc>
        <w:tc>
          <w:tcPr>
            <w:tcW w:type="dxa" w:w="2550"/>
            <w:shd w:fill="FFFFFF" w:color="auto" w:val="clear"/>
            <w:tcMar>
              <w:top w:type="dxa" w:w="80"/>
              <w:left w:type="dxa" w:w="100"/>
              <w:bottom w:type="dxa" w:w="80"/>
              <w:right w:type="dxa" w:w="100"/>
            </w:tcMar>
          </w:tcPr>
          <w:p>
            <w:r>
              <w:rPr>
                <w:sz w:val="20"/>
                <w:szCs w:val="20"/>
              </w:rPr>
              <w:t xml:space="preserve">＋112億円</w:t>
            </w:r>
          </w:p>
        </w:tc>
      </w:tr>
      <w:tr>
        <w:tc>
          <w:tcPr>
            <w:tcW w:type="dxa" w:w="2600"/>
            <w:shd w:fill="F2F7F3" w:color="auto" w:val="clear"/>
            <w:tcMar>
              <w:top w:type="dxa" w:w="80"/>
              <w:left w:type="dxa" w:w="100"/>
              <w:bottom w:type="dxa" w:w="80"/>
              <w:right w:type="dxa" w:w="100"/>
            </w:tcMar>
          </w:tcPr>
          <w:p>
            <w:r>
              <w:rPr>
                <w:sz w:val="20"/>
                <w:szCs w:val="20"/>
              </w:rPr>
              <w:t xml:space="preserve">1株当たり配当金（期末）</w:t>
            </w:r>
          </w:p>
        </w:tc>
        <w:tc>
          <w:tcPr>
            <w:tcW w:type="dxa" w:w="4200"/>
            <w:shd w:fill="F2F7F3" w:color="auto" w:val="clear"/>
            <w:tcMar>
              <w:top w:type="dxa" w:w="80"/>
              <w:left w:type="dxa" w:w="100"/>
              <w:bottom w:type="dxa" w:w="80"/>
              <w:right w:type="dxa" w:w="100"/>
            </w:tcMar>
          </w:tcPr>
          <w:p>
            <w:r>
              <w:rPr>
                <w:sz w:val="20"/>
                <w:szCs w:val="20"/>
              </w:rPr>
              <w:t xml:space="preserve">74円（3期連続増配）</w:t>
            </w:r>
          </w:p>
        </w:tc>
        <w:tc>
          <w:tcPr>
            <w:tcW w:type="dxa" w:w="2550"/>
            <w:shd w:fill="F2F7F3" w:color="auto" w:val="clear"/>
            <w:tcMar>
              <w:top w:type="dxa" w:w="80"/>
              <w:left w:type="dxa" w:w="100"/>
              <w:bottom w:type="dxa" w:w="80"/>
              <w:right w:type="dxa" w:w="100"/>
            </w:tcMar>
          </w:tcPr>
          <w:p>
            <w:r>
              <w:rPr>
                <w:sz w:val="20"/>
                <w:szCs w:val="20"/>
              </w:rPr>
              <w:t xml:space="preserve">＋16円</w:t>
            </w:r>
          </w:p>
        </w:tc>
      </w:tr>
    </w:tbl>
    <w:p>
      <w:pPr>
        <w:spacing w:before="200"/>
      </w:pPr>
    </w:p>
    <w:p>
      <w:pPr>
        <w:pStyle w:val="Heading2"/>
        <w:spacing w:after="120" w:before="250"/>
      </w:pPr>
      <w:r>
        <w:t xml:space="preserve">26年度計画（連結）</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50"/>
      </w:tblGrid>
      <w:tr>
        <w:tc>
          <w:tcPr>
            <w:tcW w:type="dxa" w:w="2600"/>
            <w:shd w:fill="1E7A34" w:color="auto" w:val="clear"/>
            <w:tcMar>
              <w:top w:type="dxa" w:w="80"/>
              <w:left w:type="dxa" w:w="100"/>
              <w:bottom w:type="dxa" w:w="80"/>
              <w:right w:type="dxa" w:w="100"/>
            </w:tcMar>
          </w:tcPr>
          <w:p>
            <w:r>
              <w:rPr>
                <w:b/>
                <w:bCs/>
                <w:color w:val="FFFFFF"/>
                <w:sz w:val="20"/>
                <w:szCs w:val="20"/>
              </w:rPr>
              <w:t xml:space="preserve">項目</w:t>
            </w:r>
          </w:p>
        </w:tc>
        <w:tc>
          <w:tcPr>
            <w:tcW w:type="dxa" w:w="4200"/>
            <w:shd w:fill="1E7A34" w:color="auto" w:val="clear"/>
            <w:tcMar>
              <w:top w:type="dxa" w:w="80"/>
              <w:left w:type="dxa" w:w="100"/>
              <w:bottom w:type="dxa" w:w="80"/>
              <w:right w:type="dxa" w:w="100"/>
            </w:tcMar>
          </w:tcPr>
          <w:p>
            <w:r>
              <w:rPr>
                <w:b/>
                <w:bCs/>
                <w:color w:val="FFFFFF"/>
                <w:sz w:val="20"/>
                <w:szCs w:val="20"/>
              </w:rPr>
              <w:t xml:space="preserve">26年度予想</w:t>
            </w:r>
          </w:p>
        </w:tc>
        <w:tc>
          <w:tcPr>
            <w:tcW w:type="dxa" w:w="2550"/>
            <w:shd w:fill="1E7A34" w:color="auto" w:val="clear"/>
            <w:tcMar>
              <w:top w:type="dxa" w:w="80"/>
              <w:left w:type="dxa" w:w="100"/>
              <w:bottom w:type="dxa" w:w="80"/>
              <w:right w:type="dxa" w:w="100"/>
            </w:tcMar>
          </w:tcPr>
          <w:p>
            <w:r>
              <w:rPr>
                <w:b/>
                <w:bCs/>
                <w:color w:val="FFFFFF"/>
                <w:sz w:val="20"/>
                <w:szCs w:val="20"/>
              </w:rPr>
              <w:t xml:space="preserve">25年度実績比</w:t>
            </w:r>
          </w:p>
        </w:tc>
      </w:tr>
      <w:tr>
        <w:tc>
          <w:tcPr>
            <w:tcW w:type="dxa" w:w="2600"/>
            <w:shd w:fill="F2F7F3" w:color="auto" w:val="clear"/>
            <w:tcMar>
              <w:top w:type="dxa" w:w="80"/>
              <w:left w:type="dxa" w:w="100"/>
              <w:bottom w:type="dxa" w:w="80"/>
              <w:right w:type="dxa" w:w="100"/>
            </w:tcMar>
          </w:tcPr>
          <w:p>
            <w:r>
              <w:rPr>
                <w:sz w:val="20"/>
                <w:szCs w:val="20"/>
              </w:rPr>
              <w:t xml:space="preserve">親会社株主純利益</w:t>
            </w:r>
          </w:p>
        </w:tc>
        <w:tc>
          <w:tcPr>
            <w:tcW w:type="dxa" w:w="4200"/>
            <w:shd w:fill="F2F7F3" w:color="auto" w:val="clear"/>
            <w:tcMar>
              <w:top w:type="dxa" w:w="80"/>
              <w:left w:type="dxa" w:w="100"/>
              <w:bottom w:type="dxa" w:w="80"/>
              <w:right w:type="dxa" w:w="100"/>
            </w:tcMar>
          </w:tcPr>
          <w:p>
            <w:r>
              <w:rPr>
                <w:sz w:val="20"/>
                <w:szCs w:val="20"/>
              </w:rPr>
              <w:t xml:space="preserve">6,600億円（4期連続の上場来最高益予想）</w:t>
            </w:r>
          </w:p>
        </w:tc>
        <w:tc>
          <w:tcPr>
            <w:tcW w:type="dxa" w:w="2550"/>
            <w:shd w:fill="F2F7F3" w:color="auto" w:val="clear"/>
            <w:tcMar>
              <w:top w:type="dxa" w:w="80"/>
              <w:left w:type="dxa" w:w="100"/>
              <w:bottom w:type="dxa" w:w="80"/>
              <w:right w:type="dxa" w:w="100"/>
            </w:tcMar>
          </w:tcPr>
          <w:p>
            <w:r>
              <w:rPr>
                <w:sz w:val="20"/>
                <w:szCs w:val="20"/>
              </w:rPr>
              <w:t xml:space="preserve">＋1,340億円</w:t>
            </w:r>
          </w:p>
        </w:tc>
      </w:tr>
      <w:tr>
        <w:tc>
          <w:tcPr>
            <w:tcW w:type="dxa" w:w="2600"/>
            <w:shd w:fill="FFFFFF" w:color="auto" w:val="clear"/>
            <w:tcMar>
              <w:top w:type="dxa" w:w="80"/>
              <w:left w:type="dxa" w:w="100"/>
              <w:bottom w:type="dxa" w:w="80"/>
              <w:right w:type="dxa" w:w="100"/>
            </w:tcMar>
          </w:tcPr>
          <w:p>
            <w:r>
              <w:rPr>
                <w:sz w:val="20"/>
                <w:szCs w:val="20"/>
              </w:rPr>
              <w:t xml:space="preserve">経常利益</w:t>
            </w:r>
          </w:p>
        </w:tc>
        <w:tc>
          <w:tcPr>
            <w:tcW w:type="dxa" w:w="4200"/>
            <w:shd w:fill="FFFFFF" w:color="auto" w:val="clear"/>
            <w:tcMar>
              <w:top w:type="dxa" w:w="80"/>
              <w:left w:type="dxa" w:w="100"/>
              <w:bottom w:type="dxa" w:w="80"/>
              <w:right w:type="dxa" w:w="100"/>
            </w:tcMar>
          </w:tcPr>
          <w:p>
            <w:r>
              <w:rPr>
                <w:sz w:val="20"/>
                <w:szCs w:val="20"/>
              </w:rPr>
              <w:t xml:space="preserve">9,550億円</w:t>
            </w:r>
          </w:p>
        </w:tc>
        <w:tc>
          <w:tcPr>
            <w:tcW w:type="dxa" w:w="2550"/>
            <w:shd w:fill="FFFFFF" w:color="auto" w:val="clear"/>
            <w:tcMar>
              <w:top w:type="dxa" w:w="80"/>
              <w:left w:type="dxa" w:w="100"/>
              <w:bottom w:type="dxa" w:w="80"/>
              <w:right w:type="dxa" w:w="100"/>
            </w:tcMar>
          </w:tcPr>
          <w:p>
            <w:r>
              <w:rPr>
                <w:sz w:val="20"/>
                <w:szCs w:val="20"/>
              </w:rPr>
              <w:t xml:space="preserve">＋1,960億円</w:t>
            </w:r>
          </w:p>
        </w:tc>
      </w:tr>
      <w:tr>
        <w:tc>
          <w:tcPr>
            <w:tcW w:type="dxa" w:w="2600"/>
            <w:shd w:fill="F2F7F3" w:color="auto" w:val="clear"/>
            <w:tcMar>
              <w:top w:type="dxa" w:w="80"/>
              <w:left w:type="dxa" w:w="100"/>
              <w:bottom w:type="dxa" w:w="80"/>
              <w:right w:type="dxa" w:w="100"/>
            </w:tcMar>
          </w:tcPr>
          <w:p>
            <w:r>
              <w:rPr>
                <w:sz w:val="20"/>
                <w:szCs w:val="20"/>
              </w:rPr>
              <w:t xml:space="preserve">1株当たり配当金</w:t>
            </w:r>
          </w:p>
        </w:tc>
        <w:tc>
          <w:tcPr>
            <w:tcW w:type="dxa" w:w="4200"/>
            <w:shd w:fill="F2F7F3" w:color="auto" w:val="clear"/>
            <w:tcMar>
              <w:top w:type="dxa" w:w="80"/>
              <w:left w:type="dxa" w:w="100"/>
              <w:bottom w:type="dxa" w:w="80"/>
              <w:right w:type="dxa" w:w="100"/>
            </w:tcMar>
          </w:tcPr>
          <w:p>
            <w:r>
              <w:rPr>
                <w:sz w:val="20"/>
                <w:szCs w:val="20"/>
              </w:rPr>
              <w:t xml:space="preserve">93円（＋19円増配）</w:t>
            </w:r>
          </w:p>
        </w:tc>
        <w:tc>
          <w:tcPr>
            <w:tcW w:type="dxa" w:w="2550"/>
            <w:shd w:fill="F2F7F3" w:color="auto" w:val="clear"/>
            <w:tcMar>
              <w:top w:type="dxa" w:w="80"/>
              <w:left w:type="dxa" w:w="100"/>
              <w:bottom w:type="dxa" w:w="80"/>
              <w:right w:type="dxa" w:w="100"/>
            </w:tcMar>
          </w:tcPr>
          <w:p>
            <w:r>
              <w:rPr>
                <w:sz w:val="20"/>
                <w:szCs w:val="20"/>
              </w:rPr>
              <w:t xml:space="preserve">＋19円</w:t>
            </w:r>
          </w:p>
        </w:tc>
      </w:tr>
    </w:tbl>
    <w:p>
      <w:r>
        <w:br w:type="page"/>
      </w:r>
    </w:p>
    <w:p>
      <w:pPr>
        <w:pStyle w:val="Heading1"/>
        <w:spacing w:after="150" w:before="300"/>
      </w:pPr>
      <w:r>
        <w:t xml:space="preserve">4. マーケット部門（市場運用・アセットマネジメント事業）</w:t>
      </w:r>
    </w:p>
    <w:p>
      <w:pPr>
        <w:spacing w:after="120"/>
      </w:pPr>
      <w:r>
        <w:rPr>
          <w:b/>
          <w:bCs/>
        </w:rPr>
        <w:t xml:space="preserve">インターン「2days仕事体験（総合職：マーケット）」に直結する最重要セクション。ゆうちょ銀行は預かった約186兆円の貯金を国際分散投資で運用する、本邦最大級（運用資産約223兆円）の機関投資家である。</w:t>
      </w:r>
    </w:p>
    <w:p>
      <w:pPr>
        <w:pStyle w:val="Heading2"/>
        <w:spacing w:after="120" w:before="250"/>
      </w:pPr>
      <w:r>
        <w:t xml:space="preserve">4.1　運用のパラダイムシフト</w:t>
      </w:r>
    </w:p>
    <w:p>
      <w:pPr>
        <w:spacing w:after="120"/>
      </w:pPr>
      <w:r>
        <w:t xml:space="preserve">民営化時点（2007年）は国債中心の投資（88.0%）だったが、「金利のない世界」（2023年3月末）では外国証券等を中心とする国際分散投資に注力（外国証券等34.6%）。2024年のマイナス金利政策解除を経て「金利のある世界」を迎えた直近（2026年3月末）では、国債への積極投資に着手している（国債18.5%へ再拡大）。</w:t>
      </w:r>
    </w:p>
    <w:p>
      <w:pPr>
        <w:jc w:val="center"/>
      </w:pPr>
      <w:r>
        <w:drawing>
          <wp:inline distT="0" distB="0" distL="0" distR="0">
            <wp:extent cx="5667375"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3924300"/>
                    </a:xfrm>
                    <a:prstGeom prst="rect">
                      <a:avLst/>
                    </a:prstGeom>
                  </pic:spPr>
                </pic:pic>
              </a:graphicData>
            </a:graphic>
          </wp:inline>
        </w:drawing>
      </w:r>
    </w:p>
    <w:p>
      <w:pPr>
        <w:pStyle w:val="Heading2"/>
        <w:spacing w:after="120" w:before="250"/>
      </w:pPr>
      <w:r>
        <w:t xml:space="preserve">4.2　円金利ポートフォリオの再構築</w:t>
      </w:r>
    </w:p>
    <w:p>
      <w:pPr>
        <w:spacing w:after="120"/>
      </w:pPr>
      <w:r>
        <w:t xml:space="preserve">2016年のマイナス金利政策導入以降、7年間で約1/2に縮小していた国債保有残高は、2023年を底に反転・拡大へ。10年超の長期債を中心に投資し、ラダー型（残存期間を分散させた）ポートフォリオの構築を進めている。</w:t>
      </w:r>
    </w:p>
    <w:p>
      <w:pPr>
        <w:jc w:val="center"/>
      </w:pPr>
      <w:r>
        <w:drawing>
          <wp:inline distT="0" distB="0" distL="0" distR="0">
            <wp:extent cx="5667375"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7375" cy="3924300"/>
                    </a:xfrm>
                    <a:prstGeom prst="rect">
                      <a:avLst/>
                    </a:prstGeom>
                  </pic:spPr>
                </pic:pic>
              </a:graphicData>
            </a:graphic>
          </wp:inline>
        </w:drawing>
      </w:r>
    </w:p>
    <w:p>
      <w:pPr>
        <w:pStyle w:val="Heading2"/>
        <w:spacing w:after="120" w:before="250"/>
      </w:pPr>
      <w:r>
        <w:t xml:space="preserve">4.3　市場運用・アセットマネジメント事業戦略：最適な運用ポートフォリオの追求</w:t>
      </w:r>
    </w:p>
    <w:p>
      <w:pPr>
        <w:spacing w:after="120"/>
      </w:pPr>
      <w:r>
        <w:t xml:space="preserve">円金利資産とリスク性資産（外国証券・クレジット・PE・不動産等）のベストミックスを追求。リスク性資産は量的に成熟期を迎えたため、今後はリスク対比リターンの改善（投資効率の向上）に軸足を移す。</w:t>
      </w:r>
    </w:p>
    <w:p>
      <w:pPr>
        <w:jc w:val="center"/>
      </w:pPr>
      <w:r>
        <w:drawing>
          <wp:inline distT="0" distB="0" distL="0" distR="0">
            <wp:extent cx="5667375"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7375" cy="3924300"/>
                    </a:xfrm>
                    <a:prstGeom prst="rect">
                      <a:avLst/>
                    </a:prstGeom>
                  </pic:spPr>
                </pic:pic>
              </a:graphicData>
            </a:graphic>
          </wp:inline>
        </w:drawing>
      </w:r>
    </w:p>
    <w:p>
      <w:pPr>
        <w:pStyle w:val="Heading2"/>
        <w:spacing w:after="120" w:before="250"/>
      </w:pPr>
      <w:r>
        <w:t xml:space="preserve">4.4　ALM運営の方針</w:t>
      </w:r>
    </w:p>
    <w:p>
      <w:pPr>
        <w:spacing w:after="120"/>
      </w:pPr>
      <w:r>
        <w:t xml:space="preserve">「日本の全人口に匹敵する約1.2億口座」を有し、その大半が個人の粘着性の高い貯金という安定した資金調達基盤を強みに、資産（運用）サイドと負債（調達）サイドのバランスを意識した安定的なALM運営を推進。2028年度に資金収支等23,000億円超を目指す。</w:t>
      </w:r>
    </w:p>
    <w:p>
      <w:pPr>
        <w:jc w:val="center"/>
      </w:pPr>
      <w:r>
        <w:drawing>
          <wp:inline distT="0" distB="0" distL="0" distR="0">
            <wp:extent cx="5667375"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67375" cy="3924300"/>
                    </a:xfrm>
                    <a:prstGeom prst="rect">
                      <a:avLst/>
                    </a:prstGeom>
                  </pic:spPr>
                </pic:pic>
              </a:graphicData>
            </a:graphic>
          </wp:inline>
        </w:drawing>
      </w:r>
    </w:p>
    <w:p>
      <w:pPr>
        <w:pStyle w:val="Heading2"/>
        <w:spacing w:after="120" w:before="250"/>
      </w:pPr>
      <w:r>
        <w:t xml:space="preserve">4.5　リスク性資産への投資</w:t>
      </w:r>
    </w:p>
    <w:p>
      <w:pPr>
        <w:spacing w:after="120"/>
      </w:pPr>
      <w:r>
        <w:t xml:space="preserve">リスク性資産残高は109.0兆円（26年3月末）まで拡大し、量的な成熟期が到来。今後はアセットクラス毎の市場サイクルを捉えた選別的な投資により、投資効率をさらに改善する方針。</w:t>
      </w:r>
    </w:p>
    <w:p>
      <w:pPr>
        <w:jc w:val="center"/>
      </w:pPr>
      <w:r>
        <w:drawing>
          <wp:inline distT="0" distB="0" distL="0" distR="0">
            <wp:extent cx="5667375"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67375" cy="3924300"/>
                    </a:xfrm>
                    <a:prstGeom prst="rect">
                      <a:avLst/>
                    </a:prstGeom>
                  </pic:spPr>
                </pic:pic>
              </a:graphicData>
            </a:graphic>
          </wp:inline>
        </w:drawing>
      </w:r>
    </w:p>
    <w:p>
      <w:pPr>
        <w:pStyle w:val="Heading2"/>
        <w:spacing w:after="120" w:before="250"/>
      </w:pPr>
      <w:r>
        <w:t xml:space="preserve">4.6　資金収支等の見通し：収益は加速度的に拡大へ</w:t>
      </w:r>
    </w:p>
    <w:p>
      <w:pPr>
        <w:spacing w:after="120"/>
      </w:pPr>
      <w:r>
        <w:t xml:space="preserve">金利環境の正常化（金利のある世界への転換）により収益構造は大きく変化。円金利資産に係る資金収支等が反転・拡大し、リスク性資産と合わせて収益の加速度的な拡大を見込む。</w:t>
      </w:r>
    </w:p>
    <w:p>
      <w:pPr>
        <w:jc w:val="center"/>
      </w:pPr>
      <w:r>
        <w:drawing>
          <wp:inline distT="0" distB="0" distL="0" distR="0">
            <wp:extent cx="5667375"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67375" cy="3924300"/>
                    </a:xfrm>
                    <a:prstGeom prst="rect">
                      <a:avLst/>
                    </a:prstGeom>
                  </pic:spPr>
                </pic:pic>
              </a:graphicData>
            </a:graphic>
          </wp:inline>
        </w:drawing>
      </w:r>
    </w:p>
    <w:p>
      <w:pPr>
        <w:pStyle w:val="Heading2"/>
        <w:spacing w:after="120" w:before="250"/>
      </w:pPr>
      <w:r>
        <w:t xml:space="preserve">4.7　アセットマネジメントビジネスへの新たな挑戦</w:t>
      </w:r>
    </w:p>
    <w:p>
      <w:pPr>
        <w:spacing w:after="120"/>
      </w:pPr>
      <w:r>
        <w:t xml:space="preserve">JP投信とJPインベストメントの合併により新設された「ゆうちょアセットマネジメント株式会社（JPAM）」（2026年4月1日発足）を中核に、特色あるアセットマネジメントビジネスに挑戦。世界有数の資産運用規模を有するスケールメリットを活かし、機関投資家・個人投資家双方に向けた新たな運用機会を提供する。</w:t>
      </w:r>
    </w:p>
    <w:p>
      <w:pPr>
        <w:pStyle w:val="ListParagraph"/>
        <w:numPr>
          <w:ilvl w:val="0"/>
          <w:numId w:val="2"/>
        </w:numPr>
        <w:spacing w:after="60"/>
      </w:pPr>
      <w:r>
        <w:t xml:space="preserve">運用スケールの共有：ゆうちょ銀行が築いてきた優秀な運用者とのリレーションを投資家に共有</w:t>
      </w:r>
    </w:p>
    <w:p>
      <w:pPr>
        <w:pStyle w:val="ListParagraph"/>
        <w:numPr>
          <w:ilvl w:val="0"/>
          <w:numId w:val="2"/>
        </w:numPr>
        <w:spacing w:after="60"/>
      </w:pPr>
      <w:r>
        <w:t xml:space="preserve">アセットオーナーとしての目線：培ってきた運用力を活かし、お客さまと同じ目線に立った商品を提供</w:t>
      </w:r>
    </w:p>
    <w:p>
      <w:pPr>
        <w:pStyle w:val="ListParagraph"/>
        <w:numPr>
          <w:ilvl w:val="0"/>
          <w:numId w:val="2"/>
        </w:numPr>
        <w:spacing w:after="60"/>
      </w:pPr>
      <w:r>
        <w:t xml:space="preserve">新たな運用機会の提供：アセットクラスごとに蓄積してきた運用ノウハウを活かした新商品</w:t>
      </w:r>
    </w:p>
    <w:p>
      <w:pPr>
        <w:pStyle w:val="ListParagraph"/>
        <w:numPr>
          <w:ilvl w:val="0"/>
          <w:numId w:val="2"/>
        </w:numPr>
        <w:spacing w:after="60"/>
      </w:pPr>
      <w:r>
        <w:t xml:space="preserve">インオーガニック戦略”α”：海外を中心としたアセットマネジメント会社との業務・資本提携を通じ、経済的リターンに加え人材育成やJPAMの成長（手数料収入拡大）を目指す</w:t>
      </w:r>
    </w:p>
    <w:p>
      <w:pPr>
        <w:pStyle w:val="Heading2"/>
        <w:spacing w:after="120" w:before="250"/>
      </w:pPr>
      <w:r>
        <w:t xml:space="preserve">4.8　市場部門の組織体制（2026年7月1日現在）</w:t>
      </w:r>
    </w:p>
    <w:p>
      <w:pPr>
        <w:spacing w:after="120"/>
      </w:pPr>
      <w:r>
        <w:t xml:space="preserve">市場部門は、市場統括部・クオンツ・テクノロジー戦略室・クレジット投資部・投資分析部・債券投資部・株式投資部・プライベートエクイティ投資部・不動産投資部・資金管理部・市場管理部で構成。部長クラスには、ドイツ証券・みずほ証券・三菱UFJ銀行・JPモルガン証券・大同生命・日本政策投資銀行・シティグループ証券など外部金融機関出身者が多数登用されており、専門人材を積極的に登用する組織であることがうかがえる。</w:t>
      </w:r>
    </w:p>
    <w:p>
      <w:pPr>
        <w:jc w:val="center"/>
      </w:pPr>
      <w:r>
        <w:drawing>
          <wp:inline distT="0" distB="0" distL="0" distR="0">
            <wp:extent cx="5667375"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67375" cy="3924300"/>
                    </a:xfrm>
                    <a:prstGeom prst="rect">
                      <a:avLst/>
                    </a:prstGeom>
                  </pic:spPr>
                </pic:pic>
              </a:graphicData>
            </a:graphic>
          </wp:inline>
        </w:drawing>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6050"/>
      </w:tblGrid>
      <w:tr>
        <w:tc>
          <w:tcPr>
            <w:tcW w:type="dxa" w:w="3300"/>
            <w:shd w:fill="1E7A34" w:color="auto" w:val="clear"/>
            <w:tcMar>
              <w:top w:type="dxa" w:w="80"/>
              <w:left w:type="dxa" w:w="100"/>
              <w:bottom w:type="dxa" w:w="80"/>
              <w:right w:type="dxa" w:w="100"/>
            </w:tcMar>
          </w:tcPr>
          <w:p>
            <w:r>
              <w:rPr>
                <w:b/>
                <w:bCs/>
                <w:color w:val="FFFFFF"/>
                <w:sz w:val="20"/>
                <w:szCs w:val="20"/>
              </w:rPr>
              <w:t xml:space="preserve">部署</w:t>
            </w:r>
          </w:p>
        </w:tc>
        <w:tc>
          <w:tcPr>
            <w:tcW w:type="dxa" w:w="6050"/>
            <w:shd w:fill="1E7A34" w:color="auto" w:val="clear"/>
            <w:tcMar>
              <w:top w:type="dxa" w:w="80"/>
              <w:left w:type="dxa" w:w="100"/>
              <w:bottom w:type="dxa" w:w="80"/>
              <w:right w:type="dxa" w:w="100"/>
            </w:tcMar>
          </w:tcPr>
          <w:p>
            <w:r>
              <w:rPr>
                <w:b/>
                <w:bCs/>
                <w:color w:val="FFFFFF"/>
                <w:sz w:val="20"/>
                <w:szCs w:val="20"/>
              </w:rPr>
              <w:t xml:space="preserve">主な経歴（部長等）</w:t>
            </w:r>
          </w:p>
        </w:tc>
      </w:tr>
      <w:tr>
        <w:tc>
          <w:tcPr>
            <w:tcW w:type="dxa" w:w="3300"/>
            <w:shd w:fill="F2F7F3" w:color="auto" w:val="clear"/>
            <w:tcMar>
              <w:top w:type="dxa" w:w="80"/>
              <w:left w:type="dxa" w:w="100"/>
              <w:bottom w:type="dxa" w:w="80"/>
              <w:right w:type="dxa" w:w="100"/>
            </w:tcMar>
          </w:tcPr>
          <w:p>
            <w:r>
              <w:rPr>
                <w:sz w:val="20"/>
                <w:szCs w:val="20"/>
              </w:rPr>
              <w:t xml:space="preserve">市場統括部（＋クオンツ・テクノロジー戦略室）</w:t>
            </w:r>
          </w:p>
        </w:tc>
        <w:tc>
          <w:tcPr>
            <w:tcW w:type="dxa" w:w="6050"/>
            <w:shd w:fill="F2F7F3" w:color="auto" w:val="clear"/>
            <w:tcMar>
              <w:top w:type="dxa" w:w="80"/>
              <w:left w:type="dxa" w:w="100"/>
              <w:bottom w:type="dxa" w:w="80"/>
              <w:right w:type="dxa" w:w="100"/>
            </w:tcMar>
          </w:tcPr>
          <w:p>
            <w:r>
              <w:rPr>
                <w:sz w:val="20"/>
                <w:szCs w:val="20"/>
              </w:rPr>
              <w:t xml:space="preserve">ゆうちょ銀行（生え抜き）</w:t>
            </w:r>
          </w:p>
        </w:tc>
      </w:tr>
      <w:tr>
        <w:tc>
          <w:tcPr>
            <w:tcW w:type="dxa" w:w="3300"/>
            <w:shd w:fill="FFFFFF" w:color="auto" w:val="clear"/>
            <w:tcMar>
              <w:top w:type="dxa" w:w="80"/>
              <w:left w:type="dxa" w:w="100"/>
              <w:bottom w:type="dxa" w:w="80"/>
              <w:right w:type="dxa" w:w="100"/>
            </w:tcMar>
          </w:tcPr>
          <w:p>
            <w:r>
              <w:rPr>
                <w:sz w:val="20"/>
                <w:szCs w:val="20"/>
              </w:rPr>
              <w:t xml:space="preserve">クレジット投資部</w:t>
            </w:r>
          </w:p>
        </w:tc>
        <w:tc>
          <w:tcPr>
            <w:tcW w:type="dxa" w:w="6050"/>
            <w:shd w:fill="FFFFFF" w:color="auto" w:val="clear"/>
            <w:tcMar>
              <w:top w:type="dxa" w:w="80"/>
              <w:left w:type="dxa" w:w="100"/>
              <w:bottom w:type="dxa" w:w="80"/>
              <w:right w:type="dxa" w:w="100"/>
            </w:tcMar>
          </w:tcPr>
          <w:p>
            <w:r>
              <w:rPr>
                <w:sz w:val="20"/>
                <w:szCs w:val="20"/>
              </w:rPr>
              <w:t xml:space="preserve">ドイツ証券</w:t>
            </w:r>
          </w:p>
        </w:tc>
      </w:tr>
      <w:tr>
        <w:tc>
          <w:tcPr>
            <w:tcW w:type="dxa" w:w="3300"/>
            <w:shd w:fill="F2F7F3" w:color="auto" w:val="clear"/>
            <w:tcMar>
              <w:top w:type="dxa" w:w="80"/>
              <w:left w:type="dxa" w:w="100"/>
              <w:bottom w:type="dxa" w:w="80"/>
              <w:right w:type="dxa" w:w="100"/>
            </w:tcMar>
          </w:tcPr>
          <w:p>
            <w:r>
              <w:rPr>
                <w:sz w:val="20"/>
                <w:szCs w:val="20"/>
              </w:rPr>
              <w:t xml:space="preserve">投資分析部</w:t>
            </w:r>
          </w:p>
        </w:tc>
        <w:tc>
          <w:tcPr>
            <w:tcW w:type="dxa" w:w="6050"/>
            <w:shd w:fill="F2F7F3" w:color="auto" w:val="clear"/>
            <w:tcMar>
              <w:top w:type="dxa" w:w="80"/>
              <w:left w:type="dxa" w:w="100"/>
              <w:bottom w:type="dxa" w:w="80"/>
              <w:right w:type="dxa" w:w="100"/>
            </w:tcMar>
          </w:tcPr>
          <w:p>
            <w:r>
              <w:rPr>
                <w:sz w:val="20"/>
                <w:szCs w:val="20"/>
              </w:rPr>
              <w:t xml:space="preserve">みずほ証券</w:t>
            </w:r>
          </w:p>
        </w:tc>
      </w:tr>
      <w:tr>
        <w:tc>
          <w:tcPr>
            <w:tcW w:type="dxa" w:w="3300"/>
            <w:shd w:fill="FFFFFF" w:color="auto" w:val="clear"/>
            <w:tcMar>
              <w:top w:type="dxa" w:w="80"/>
              <w:left w:type="dxa" w:w="100"/>
              <w:bottom w:type="dxa" w:w="80"/>
              <w:right w:type="dxa" w:w="100"/>
            </w:tcMar>
          </w:tcPr>
          <w:p>
            <w:r>
              <w:rPr>
                <w:sz w:val="20"/>
                <w:szCs w:val="20"/>
              </w:rPr>
              <w:t xml:space="preserve">債券投資部</w:t>
            </w:r>
          </w:p>
        </w:tc>
        <w:tc>
          <w:tcPr>
            <w:tcW w:type="dxa" w:w="6050"/>
            <w:shd w:fill="FFFFFF" w:color="auto" w:val="clear"/>
            <w:tcMar>
              <w:top w:type="dxa" w:w="80"/>
              <w:left w:type="dxa" w:w="100"/>
              <w:bottom w:type="dxa" w:w="80"/>
              <w:right w:type="dxa" w:w="100"/>
            </w:tcMar>
          </w:tcPr>
          <w:p>
            <w:r>
              <w:rPr>
                <w:sz w:val="20"/>
                <w:szCs w:val="20"/>
              </w:rPr>
              <w:t xml:space="preserve">三菱UFJ銀行</w:t>
            </w:r>
          </w:p>
        </w:tc>
      </w:tr>
      <w:tr>
        <w:tc>
          <w:tcPr>
            <w:tcW w:type="dxa" w:w="3300"/>
            <w:shd w:fill="F2F7F3" w:color="auto" w:val="clear"/>
            <w:tcMar>
              <w:top w:type="dxa" w:w="80"/>
              <w:left w:type="dxa" w:w="100"/>
              <w:bottom w:type="dxa" w:w="80"/>
              <w:right w:type="dxa" w:w="100"/>
            </w:tcMar>
          </w:tcPr>
          <w:p>
            <w:r>
              <w:rPr>
                <w:sz w:val="20"/>
                <w:szCs w:val="20"/>
              </w:rPr>
              <w:t xml:space="preserve">株式投資部</w:t>
            </w:r>
          </w:p>
        </w:tc>
        <w:tc>
          <w:tcPr>
            <w:tcW w:type="dxa" w:w="6050"/>
            <w:shd w:fill="F2F7F3" w:color="auto" w:val="clear"/>
            <w:tcMar>
              <w:top w:type="dxa" w:w="80"/>
              <w:left w:type="dxa" w:w="100"/>
              <w:bottom w:type="dxa" w:w="80"/>
              <w:right w:type="dxa" w:w="100"/>
            </w:tcMar>
          </w:tcPr>
          <w:p>
            <w:r>
              <w:rPr>
                <w:sz w:val="20"/>
                <w:szCs w:val="20"/>
              </w:rPr>
              <w:t xml:space="preserve">JPモルガン証券</w:t>
            </w:r>
          </w:p>
        </w:tc>
      </w:tr>
      <w:tr>
        <w:tc>
          <w:tcPr>
            <w:tcW w:type="dxa" w:w="3300"/>
            <w:shd w:fill="FFFFFF" w:color="auto" w:val="clear"/>
            <w:tcMar>
              <w:top w:type="dxa" w:w="80"/>
              <w:left w:type="dxa" w:w="100"/>
              <w:bottom w:type="dxa" w:w="80"/>
              <w:right w:type="dxa" w:w="100"/>
            </w:tcMar>
          </w:tcPr>
          <w:p>
            <w:r>
              <w:rPr>
                <w:sz w:val="20"/>
                <w:szCs w:val="20"/>
              </w:rPr>
              <w:t xml:space="preserve">プライベートエクイティ投資部</w:t>
            </w:r>
          </w:p>
        </w:tc>
        <w:tc>
          <w:tcPr>
            <w:tcW w:type="dxa" w:w="6050"/>
            <w:shd w:fill="FFFFFF" w:color="auto" w:val="clear"/>
            <w:tcMar>
              <w:top w:type="dxa" w:w="80"/>
              <w:left w:type="dxa" w:w="100"/>
              <w:bottom w:type="dxa" w:w="80"/>
              <w:right w:type="dxa" w:w="100"/>
            </w:tcMar>
          </w:tcPr>
          <w:p>
            <w:r>
              <w:rPr>
                <w:sz w:val="20"/>
                <w:szCs w:val="20"/>
              </w:rPr>
              <w:t xml:space="preserve">大同生命</w:t>
            </w:r>
          </w:p>
        </w:tc>
      </w:tr>
      <w:tr>
        <w:tc>
          <w:tcPr>
            <w:tcW w:type="dxa" w:w="3300"/>
            <w:shd w:fill="F2F7F3" w:color="auto" w:val="clear"/>
            <w:tcMar>
              <w:top w:type="dxa" w:w="80"/>
              <w:left w:type="dxa" w:w="100"/>
              <w:bottom w:type="dxa" w:w="80"/>
              <w:right w:type="dxa" w:w="100"/>
            </w:tcMar>
          </w:tcPr>
          <w:p>
            <w:r>
              <w:rPr>
                <w:sz w:val="20"/>
                <w:szCs w:val="20"/>
              </w:rPr>
              <w:t xml:space="preserve">不動産投資部</w:t>
            </w:r>
          </w:p>
        </w:tc>
        <w:tc>
          <w:tcPr>
            <w:tcW w:type="dxa" w:w="6050"/>
            <w:shd w:fill="F2F7F3" w:color="auto" w:val="clear"/>
            <w:tcMar>
              <w:top w:type="dxa" w:w="80"/>
              <w:left w:type="dxa" w:w="100"/>
              <w:bottom w:type="dxa" w:w="80"/>
              <w:right w:type="dxa" w:w="100"/>
            </w:tcMar>
          </w:tcPr>
          <w:p>
            <w:r>
              <w:rPr>
                <w:sz w:val="20"/>
                <w:szCs w:val="20"/>
              </w:rPr>
              <w:t xml:space="preserve">日本政策投資銀行／フェニックス・プロパティ・インベスターズ</w:t>
            </w:r>
          </w:p>
        </w:tc>
      </w:tr>
      <w:tr>
        <w:tc>
          <w:tcPr>
            <w:tcW w:type="dxa" w:w="3300"/>
            <w:shd w:fill="FFFFFF" w:color="auto" w:val="clear"/>
            <w:tcMar>
              <w:top w:type="dxa" w:w="80"/>
              <w:left w:type="dxa" w:w="100"/>
              <w:bottom w:type="dxa" w:w="80"/>
              <w:right w:type="dxa" w:w="100"/>
            </w:tcMar>
          </w:tcPr>
          <w:p>
            <w:r>
              <w:rPr>
                <w:sz w:val="20"/>
                <w:szCs w:val="20"/>
              </w:rPr>
              <w:t xml:space="preserve">資金管理部</w:t>
            </w:r>
          </w:p>
        </w:tc>
        <w:tc>
          <w:tcPr>
            <w:tcW w:type="dxa" w:w="6050"/>
            <w:shd w:fill="FFFFFF" w:color="auto" w:val="clear"/>
            <w:tcMar>
              <w:top w:type="dxa" w:w="80"/>
              <w:left w:type="dxa" w:w="100"/>
              <w:bottom w:type="dxa" w:w="80"/>
              <w:right w:type="dxa" w:w="100"/>
            </w:tcMar>
          </w:tcPr>
          <w:p>
            <w:r>
              <w:rPr>
                <w:sz w:val="20"/>
                <w:szCs w:val="20"/>
              </w:rPr>
              <w:t xml:space="preserve">ゆうちょ銀行（生え抜き）</w:t>
            </w:r>
          </w:p>
        </w:tc>
      </w:tr>
      <w:tr>
        <w:tc>
          <w:tcPr>
            <w:tcW w:type="dxa" w:w="3300"/>
            <w:shd w:fill="F2F7F3" w:color="auto" w:val="clear"/>
            <w:tcMar>
              <w:top w:type="dxa" w:w="80"/>
              <w:left w:type="dxa" w:w="100"/>
              <w:bottom w:type="dxa" w:w="80"/>
              <w:right w:type="dxa" w:w="100"/>
            </w:tcMar>
          </w:tcPr>
          <w:p>
            <w:r>
              <w:rPr>
                <w:sz w:val="20"/>
                <w:szCs w:val="20"/>
              </w:rPr>
              <w:t xml:space="preserve">市場管理部</w:t>
            </w:r>
          </w:p>
        </w:tc>
        <w:tc>
          <w:tcPr>
            <w:tcW w:type="dxa" w:w="6050"/>
            <w:shd w:fill="F2F7F3" w:color="auto" w:val="clear"/>
            <w:tcMar>
              <w:top w:type="dxa" w:w="80"/>
              <w:left w:type="dxa" w:w="100"/>
              <w:bottom w:type="dxa" w:w="80"/>
              <w:right w:type="dxa" w:w="100"/>
            </w:tcMar>
          </w:tcPr>
          <w:p>
            <w:r>
              <w:rPr>
                <w:sz w:val="20"/>
                <w:szCs w:val="20"/>
              </w:rPr>
              <w:t xml:space="preserve">シティグループ証券</w:t>
            </w:r>
          </w:p>
        </w:tc>
      </w:tr>
    </w:tbl>
    <w:p>
      <w:pPr>
        <w:spacing w:before="200"/>
      </w:pPr>
    </w:p>
    <w:p>
      <w:pPr>
        <w:spacing w:after="120"/>
      </w:pPr>
      <w:r>
        <w:rPr>
          <w:i/>
          <w:iCs/>
          <w:sz w:val="20"/>
          <w:szCs w:val="20"/>
        </w:rPr>
        <w:t xml:space="preserve">市場部門担当執行役：常務執行役　吉田優子氏（JPモルガン証券出身）</w:t>
      </w:r>
    </w:p>
    <w:p>
      <w:r>
        <w:br w:type="page"/>
      </w:r>
    </w:p>
    <w:p>
      <w:pPr>
        <w:pStyle w:val="Heading1"/>
        <w:spacing w:after="150" w:before="300"/>
      </w:pPr>
      <w:r>
        <w:t xml:space="preserve">5. 組織図（全社）</w:t>
      </w:r>
    </w:p>
    <w:p>
      <w:pPr>
        <w:spacing w:after="120"/>
      </w:pPr>
      <w:r>
        <w:t xml:space="preserve">ゆうちょ銀行の全社組織図。市場部門は、営業部門・コーポレートスタッフ部門などと並ぶ主要部門の一つとして、代表執行役社長直下に位置づけられている。市場部門の内訳は「市場統括部」「クレジット投資部」「投資分析部」「債券投資部」「株式投資部」「プライベートエクイティ投資部」「不動産投資部」「資金管理部」「市場管理部」の9部署。</w:t>
      </w:r>
    </w:p>
    <w:p>
      <w:pPr>
        <w:jc w:val="center"/>
      </w:pPr>
      <w:r>
        <w:drawing>
          <wp:inline distT="0" distB="0" distL="0" distR="0">
            <wp:extent cx="2838450" cy="882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838450" cy="8820150"/>
                    </a:xfrm>
                    <a:prstGeom prst="rect">
                      <a:avLst/>
                    </a:prstGeom>
                  </pic:spPr>
                </pic:pic>
              </a:graphicData>
            </a:graphic>
          </wp:inline>
        </w:drawing>
      </w:r>
    </w:p>
    <w:p>
      <w:r>
        <w:br w:type="page"/>
      </w:r>
    </w:p>
    <w:p>
      <w:pPr>
        <w:pStyle w:val="Heading1"/>
        <w:spacing w:after="150" w:before="300"/>
      </w:pPr>
      <w:r>
        <w:t xml:space="preserve">6. 直近3年間のニュースリリース（運用業務トピック中心）</w:t>
      </w:r>
    </w:p>
    <w:p>
      <w:pPr>
        <w:spacing w:after="120"/>
      </w:pPr>
      <w:r>
        <w:t xml:space="preserve">2023年度〜2026年度にかけての主なニュースリリースを時系列でまとめた。特に市場運用・資産運用に関するトピックを中心に整理している。</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50"/>
        <w:gridCol w:w="5350"/>
        <w:gridCol w:w="2350"/>
      </w:tblGrid>
      <w:tr>
        <w:tc>
          <w:tcPr>
            <w:tcW w:type="dxa" w:w="1650"/>
            <w:shd w:fill="1E7A34" w:color="auto" w:val="clear"/>
            <w:tcMar>
              <w:top w:type="dxa" w:w="80"/>
              <w:left w:type="dxa" w:w="100"/>
              <w:bottom w:type="dxa" w:w="80"/>
              <w:right w:type="dxa" w:w="100"/>
            </w:tcMar>
          </w:tcPr>
          <w:p>
            <w:r>
              <w:rPr>
                <w:b/>
                <w:bCs/>
                <w:color w:val="FFFFFF"/>
                <w:sz w:val="20"/>
                <w:szCs w:val="20"/>
              </w:rPr>
              <w:t xml:space="preserve">時期</w:t>
            </w:r>
          </w:p>
        </w:tc>
        <w:tc>
          <w:tcPr>
            <w:tcW w:type="dxa" w:w="5350"/>
            <w:shd w:fill="1E7A34" w:color="auto" w:val="clear"/>
            <w:tcMar>
              <w:top w:type="dxa" w:w="80"/>
              <w:left w:type="dxa" w:w="100"/>
              <w:bottom w:type="dxa" w:w="80"/>
              <w:right w:type="dxa" w:w="100"/>
            </w:tcMar>
          </w:tcPr>
          <w:p>
            <w:r>
              <w:rPr>
                <w:b/>
                <w:bCs/>
                <w:color w:val="FFFFFF"/>
                <w:sz w:val="20"/>
                <w:szCs w:val="20"/>
              </w:rPr>
              <w:t xml:space="preserve">トピック</w:t>
            </w:r>
          </w:p>
        </w:tc>
        <w:tc>
          <w:tcPr>
            <w:tcW w:type="dxa" w:w="2350"/>
            <w:shd w:fill="1E7A34" w:color="auto" w:val="clear"/>
            <w:tcMar>
              <w:top w:type="dxa" w:w="80"/>
              <w:left w:type="dxa" w:w="100"/>
              <w:bottom w:type="dxa" w:w="80"/>
              <w:right w:type="dxa" w:w="100"/>
            </w:tcMar>
          </w:tcPr>
          <w:p>
            <w:r>
              <w:rPr>
                <w:b/>
                <w:bCs/>
                <w:color w:val="FFFFFF"/>
                <w:sz w:val="20"/>
                <w:szCs w:val="20"/>
              </w:rPr>
              <w:t xml:space="preserve">運用業務との関連</w:t>
            </w:r>
          </w:p>
        </w:tc>
      </w:tr>
      <w:tr>
        <w:tc>
          <w:tcPr>
            <w:tcW w:type="dxa" w:w="1650"/>
            <w:shd w:fill="F2F7F3" w:color="auto" w:val="clear"/>
            <w:tcMar>
              <w:top w:type="dxa" w:w="80"/>
              <w:left w:type="dxa" w:w="100"/>
              <w:bottom w:type="dxa" w:w="80"/>
              <w:right w:type="dxa" w:w="100"/>
            </w:tcMar>
          </w:tcPr>
          <w:p>
            <w:r>
              <w:rPr>
                <w:sz w:val="20"/>
                <w:szCs w:val="20"/>
              </w:rPr>
              <w:t xml:space="preserve">2023年3月</w:t>
            </w:r>
          </w:p>
        </w:tc>
        <w:tc>
          <w:tcPr>
            <w:tcW w:type="dxa" w:w="5350"/>
            <w:shd w:fill="F2F7F3" w:color="auto" w:val="clear"/>
            <w:tcMar>
              <w:top w:type="dxa" w:w="80"/>
              <w:left w:type="dxa" w:w="100"/>
              <w:bottom w:type="dxa" w:w="80"/>
              <w:right w:type="dxa" w:w="100"/>
            </w:tcMar>
          </w:tcPr>
          <w:p>
            <w:r>
              <w:rPr>
                <w:sz w:val="20"/>
                <w:szCs w:val="20"/>
              </w:rPr>
              <w:t xml:space="preserve">日本郵政によるゆうちょ銀行株式売却（民営化プロセスの進展）</w:t>
            </w:r>
          </w:p>
        </w:tc>
        <w:tc>
          <w:tcPr>
            <w:tcW w:type="dxa" w:w="2350"/>
            <w:shd w:fill="F2F7F3" w:color="auto" w:val="clear"/>
            <w:tcMar>
              <w:top w:type="dxa" w:w="80"/>
              <w:left w:type="dxa" w:w="100"/>
              <w:bottom w:type="dxa" w:w="80"/>
              <w:right w:type="dxa" w:w="100"/>
            </w:tcMar>
          </w:tcPr>
          <w:p>
            <w:r>
              <w:rPr>
                <w:sz w:val="20"/>
                <w:szCs w:val="20"/>
              </w:rPr>
              <w:t xml:space="preserve">－</w:t>
            </w:r>
          </w:p>
        </w:tc>
      </w:tr>
      <w:tr>
        <w:tc>
          <w:tcPr>
            <w:tcW w:type="dxa" w:w="1650"/>
            <w:shd w:fill="FFFFFF" w:color="auto" w:val="clear"/>
            <w:tcMar>
              <w:top w:type="dxa" w:w="80"/>
              <w:left w:type="dxa" w:w="100"/>
              <w:bottom w:type="dxa" w:w="80"/>
              <w:right w:type="dxa" w:w="100"/>
            </w:tcMar>
          </w:tcPr>
          <w:p>
            <w:r>
              <w:rPr>
                <w:sz w:val="20"/>
                <w:szCs w:val="20"/>
              </w:rPr>
              <w:t xml:space="preserve">2023年</w:t>
            </w:r>
          </w:p>
        </w:tc>
        <w:tc>
          <w:tcPr>
            <w:tcW w:type="dxa" w:w="5350"/>
            <w:shd w:fill="FFFFFF" w:color="auto" w:val="clear"/>
            <w:tcMar>
              <w:top w:type="dxa" w:w="80"/>
              <w:left w:type="dxa" w:w="100"/>
              <w:bottom w:type="dxa" w:w="80"/>
              <w:right w:type="dxa" w:w="100"/>
            </w:tcMar>
          </w:tcPr>
          <w:p>
            <w:r>
              <w:rPr>
                <w:sz w:val="20"/>
                <w:szCs w:val="20"/>
              </w:rPr>
              <w:t xml:space="preserve">投資信託商品のラインアップ拡充</w:t>
            </w:r>
          </w:p>
        </w:tc>
        <w:tc>
          <w:tcPr>
            <w:tcW w:type="dxa" w:w="2350"/>
            <w:shd w:fill="FFFFFF" w:color="auto" w:val="clear"/>
            <w:tcMar>
              <w:top w:type="dxa" w:w="80"/>
              <w:left w:type="dxa" w:w="100"/>
              <w:bottom w:type="dxa" w:w="80"/>
              <w:right w:type="dxa" w:w="100"/>
            </w:tcMar>
          </w:tcPr>
          <w:p>
            <w:r>
              <w:rPr>
                <w:sz w:val="20"/>
                <w:szCs w:val="20"/>
              </w:rPr>
              <w:t xml:space="preserve">個人向け資産運用商品の充実</w:t>
            </w:r>
          </w:p>
        </w:tc>
      </w:tr>
      <w:tr>
        <w:tc>
          <w:tcPr>
            <w:tcW w:type="dxa" w:w="1650"/>
            <w:shd w:fill="F2F7F3" w:color="auto" w:val="clear"/>
            <w:tcMar>
              <w:top w:type="dxa" w:w="80"/>
              <w:left w:type="dxa" w:w="100"/>
              <w:bottom w:type="dxa" w:w="80"/>
              <w:right w:type="dxa" w:w="100"/>
            </w:tcMar>
          </w:tcPr>
          <w:p>
            <w:r>
              <w:rPr>
                <w:sz w:val="20"/>
                <w:szCs w:val="20"/>
              </w:rPr>
              <w:t xml:space="preserve">2023年〜</w:t>
            </w:r>
          </w:p>
        </w:tc>
        <w:tc>
          <w:tcPr>
            <w:tcW w:type="dxa" w:w="5350"/>
            <w:shd w:fill="F2F7F3" w:color="auto" w:val="clear"/>
            <w:tcMar>
              <w:top w:type="dxa" w:w="80"/>
              <w:left w:type="dxa" w:w="100"/>
              <w:bottom w:type="dxa" w:w="80"/>
              <w:right w:type="dxa" w:w="100"/>
            </w:tcMar>
          </w:tcPr>
          <w:p>
            <w:r>
              <w:rPr>
                <w:sz w:val="20"/>
                <w:szCs w:val="20"/>
              </w:rPr>
              <w:t xml:space="preserve">円金利ポートフォリオの再構築を開始（預け金等から国債への投資シフト開始）</w:t>
            </w:r>
          </w:p>
        </w:tc>
        <w:tc>
          <w:tcPr>
            <w:tcW w:type="dxa" w:w="2350"/>
            <w:shd w:fill="F2F7F3" w:color="auto" w:val="clear"/>
            <w:tcMar>
              <w:top w:type="dxa" w:w="80"/>
              <w:left w:type="dxa" w:w="100"/>
              <w:bottom w:type="dxa" w:w="80"/>
              <w:right w:type="dxa" w:w="100"/>
            </w:tcMar>
          </w:tcPr>
          <w:p>
            <w:r>
              <w:rPr>
                <w:sz w:val="20"/>
                <w:szCs w:val="20"/>
              </w:rPr>
              <w:t xml:space="preserve">★市場運用の大転換点</w:t>
            </w:r>
          </w:p>
        </w:tc>
      </w:tr>
      <w:tr>
        <w:tc>
          <w:tcPr>
            <w:tcW w:type="dxa" w:w="1650"/>
            <w:shd w:fill="FFFFFF" w:color="auto" w:val="clear"/>
            <w:tcMar>
              <w:top w:type="dxa" w:w="80"/>
              <w:left w:type="dxa" w:w="100"/>
              <w:bottom w:type="dxa" w:w="80"/>
              <w:right w:type="dxa" w:w="100"/>
            </w:tcMar>
          </w:tcPr>
          <w:p>
            <w:r>
              <w:rPr>
                <w:sz w:val="20"/>
                <w:szCs w:val="20"/>
              </w:rPr>
              <w:t xml:space="preserve">2024年3月</w:t>
            </w:r>
          </w:p>
        </w:tc>
        <w:tc>
          <w:tcPr>
            <w:tcW w:type="dxa" w:w="5350"/>
            <w:shd w:fill="FFFFFF" w:color="auto" w:val="clear"/>
            <w:tcMar>
              <w:top w:type="dxa" w:w="80"/>
              <w:left w:type="dxa" w:w="100"/>
              <w:bottom w:type="dxa" w:w="80"/>
              <w:right w:type="dxa" w:w="100"/>
            </w:tcMar>
          </w:tcPr>
          <w:p>
            <w:r>
              <w:rPr>
                <w:sz w:val="20"/>
                <w:szCs w:val="20"/>
              </w:rPr>
              <w:t xml:space="preserve">日銀がマイナス金利政策を解除（「金利のある世界」への転換）</w:t>
            </w:r>
          </w:p>
        </w:tc>
        <w:tc>
          <w:tcPr>
            <w:tcW w:type="dxa" w:w="2350"/>
            <w:shd w:fill="FFFFFF" w:color="auto" w:val="clear"/>
            <w:tcMar>
              <w:top w:type="dxa" w:w="80"/>
              <w:left w:type="dxa" w:w="100"/>
              <w:bottom w:type="dxa" w:w="80"/>
              <w:right w:type="dxa" w:w="100"/>
            </w:tcMar>
          </w:tcPr>
          <w:p>
            <w:r>
              <w:rPr>
                <w:sz w:val="20"/>
                <w:szCs w:val="20"/>
              </w:rPr>
              <w:t xml:space="preserve">★運用環境の構造変化</w:t>
            </w:r>
          </w:p>
        </w:tc>
      </w:tr>
      <w:tr>
        <w:tc>
          <w:tcPr>
            <w:tcW w:type="dxa" w:w="1650"/>
            <w:shd w:fill="F2F7F3" w:color="auto" w:val="clear"/>
            <w:tcMar>
              <w:top w:type="dxa" w:w="80"/>
              <w:left w:type="dxa" w:w="100"/>
              <w:bottom w:type="dxa" w:w="80"/>
              <w:right w:type="dxa" w:w="100"/>
            </w:tcMar>
          </w:tcPr>
          <w:p>
            <w:r>
              <w:rPr>
                <w:sz w:val="20"/>
                <w:szCs w:val="20"/>
              </w:rPr>
              <w:t xml:space="preserve">2024年5月</w:t>
            </w:r>
          </w:p>
        </w:tc>
        <w:tc>
          <w:tcPr>
            <w:tcW w:type="dxa" w:w="5350"/>
            <w:shd w:fill="F2F7F3" w:color="auto" w:val="clear"/>
            <w:tcMar>
              <w:top w:type="dxa" w:w="80"/>
              <w:left w:type="dxa" w:w="100"/>
              <w:bottom w:type="dxa" w:w="80"/>
              <w:right w:type="dxa" w:w="100"/>
            </w:tcMar>
          </w:tcPr>
          <w:p>
            <w:r>
              <w:rPr>
                <w:sz w:val="20"/>
                <w:szCs w:val="20"/>
              </w:rPr>
              <w:t xml:space="preserve">ゆうちょキャピタルパートナーズ株式会社（JPCP）設立（100%子会社）</w:t>
            </w:r>
          </w:p>
        </w:tc>
        <w:tc>
          <w:tcPr>
            <w:tcW w:type="dxa" w:w="2350"/>
            <w:shd w:fill="F2F7F3" w:color="auto" w:val="clear"/>
            <w:tcMar>
              <w:top w:type="dxa" w:w="80"/>
              <w:left w:type="dxa" w:w="100"/>
              <w:bottom w:type="dxa" w:w="80"/>
              <w:right w:type="dxa" w:w="100"/>
            </w:tcMar>
          </w:tcPr>
          <w:p>
            <w:r>
              <w:rPr>
                <w:sz w:val="20"/>
                <w:szCs w:val="20"/>
              </w:rPr>
              <w:t xml:space="preserve">★地域PE投資の新会社</w:t>
            </w:r>
          </w:p>
        </w:tc>
      </w:tr>
      <w:tr>
        <w:tc>
          <w:tcPr>
            <w:tcW w:type="dxa" w:w="1650"/>
            <w:shd w:fill="FFFFFF" w:color="auto" w:val="clear"/>
            <w:tcMar>
              <w:top w:type="dxa" w:w="80"/>
              <w:left w:type="dxa" w:w="100"/>
              <w:bottom w:type="dxa" w:w="80"/>
              <w:right w:type="dxa" w:w="100"/>
            </w:tcMar>
          </w:tcPr>
          <w:p>
            <w:r>
              <w:rPr>
                <w:sz w:val="20"/>
                <w:szCs w:val="20"/>
              </w:rPr>
              <w:t xml:space="preserve">2024年8月</w:t>
            </w:r>
          </w:p>
        </w:tc>
        <w:tc>
          <w:tcPr>
            <w:tcW w:type="dxa" w:w="5350"/>
            <w:shd w:fill="FFFFFF" w:color="auto" w:val="clear"/>
            <w:tcMar>
              <w:top w:type="dxa" w:w="80"/>
              <w:left w:type="dxa" w:w="100"/>
              <w:bottom w:type="dxa" w:w="80"/>
              <w:right w:type="dxa" w:w="100"/>
            </w:tcMar>
          </w:tcPr>
          <w:p>
            <w:r>
              <w:rPr>
                <w:sz w:val="20"/>
                <w:szCs w:val="20"/>
              </w:rPr>
              <w:t xml:space="preserve">ジェイ・ウィルGとJPCPによる共同GPファンド設立</w:t>
            </w:r>
          </w:p>
        </w:tc>
        <w:tc>
          <w:tcPr>
            <w:tcW w:type="dxa" w:w="2350"/>
            <w:shd w:fill="FFFFFF" w:color="auto" w:val="clear"/>
            <w:tcMar>
              <w:top w:type="dxa" w:w="80"/>
              <w:left w:type="dxa" w:w="100"/>
              <w:bottom w:type="dxa" w:w="80"/>
              <w:right w:type="dxa" w:w="100"/>
            </w:tcMar>
          </w:tcPr>
          <w:p>
            <w:r>
              <w:rPr>
                <w:sz w:val="20"/>
                <w:szCs w:val="20"/>
              </w:rPr>
              <w:t xml:space="preserve">地域投資の推進</w:t>
            </w:r>
          </w:p>
        </w:tc>
      </w:tr>
      <w:tr>
        <w:tc>
          <w:tcPr>
            <w:tcW w:type="dxa" w:w="1650"/>
            <w:shd w:fill="F2F7F3" w:color="auto" w:val="clear"/>
            <w:tcMar>
              <w:top w:type="dxa" w:w="80"/>
              <w:left w:type="dxa" w:w="100"/>
              <w:bottom w:type="dxa" w:w="80"/>
              <w:right w:type="dxa" w:w="100"/>
            </w:tcMar>
          </w:tcPr>
          <w:p>
            <w:r>
              <w:rPr>
                <w:sz w:val="20"/>
                <w:szCs w:val="20"/>
              </w:rPr>
              <w:t xml:space="preserve">2025年1月</w:t>
            </w:r>
          </w:p>
        </w:tc>
        <w:tc>
          <w:tcPr>
            <w:tcW w:type="dxa" w:w="5350"/>
            <w:shd w:fill="F2F7F3" w:color="auto" w:val="clear"/>
            <w:tcMar>
              <w:top w:type="dxa" w:w="80"/>
              <w:left w:type="dxa" w:w="100"/>
              <w:bottom w:type="dxa" w:w="80"/>
              <w:right w:type="dxa" w:w="100"/>
            </w:tcMar>
          </w:tcPr>
          <w:p>
            <w:r>
              <w:rPr>
                <w:sz w:val="20"/>
                <w:szCs w:val="20"/>
              </w:rPr>
              <w:t xml:space="preserve">三井物産とJPCPによる共同GPファンド設立</w:t>
            </w:r>
          </w:p>
        </w:tc>
        <w:tc>
          <w:tcPr>
            <w:tcW w:type="dxa" w:w="2350"/>
            <w:shd w:fill="F2F7F3" w:color="auto" w:val="clear"/>
            <w:tcMar>
              <w:top w:type="dxa" w:w="80"/>
              <w:left w:type="dxa" w:w="100"/>
              <w:bottom w:type="dxa" w:w="80"/>
              <w:right w:type="dxa" w:w="100"/>
            </w:tcMar>
          </w:tcPr>
          <w:p>
            <w:r>
              <w:rPr>
                <w:sz w:val="20"/>
                <w:szCs w:val="20"/>
              </w:rPr>
              <w:t xml:space="preserve">地域投資の推進</w:t>
            </w:r>
          </w:p>
        </w:tc>
      </w:tr>
      <w:tr>
        <w:tc>
          <w:tcPr>
            <w:tcW w:type="dxa" w:w="1650"/>
            <w:shd w:fill="FFFFFF" w:color="auto" w:val="clear"/>
            <w:tcMar>
              <w:top w:type="dxa" w:w="80"/>
              <w:left w:type="dxa" w:w="100"/>
              <w:bottom w:type="dxa" w:w="80"/>
              <w:right w:type="dxa" w:w="100"/>
            </w:tcMar>
          </w:tcPr>
          <w:p>
            <w:r>
              <w:rPr>
                <w:sz w:val="20"/>
                <w:szCs w:val="20"/>
              </w:rPr>
              <w:t xml:space="preserve">2025年1月28日</w:t>
            </w:r>
          </w:p>
        </w:tc>
        <w:tc>
          <w:tcPr>
            <w:tcW w:type="dxa" w:w="5350"/>
            <w:shd w:fill="FFFFFF" w:color="auto" w:val="clear"/>
            <w:tcMar>
              <w:top w:type="dxa" w:w="80"/>
              <w:left w:type="dxa" w:w="100"/>
              <w:bottom w:type="dxa" w:w="80"/>
              <w:right w:type="dxa" w:w="100"/>
            </w:tcMar>
          </w:tcPr>
          <w:p>
            <w:r>
              <w:rPr>
                <w:sz w:val="20"/>
                <w:szCs w:val="20"/>
              </w:rPr>
              <w:t xml:space="preserve">JP投信・JPインベストメントの合併（ゆうちょアセットマネジメント発足）に関するお知らせ</w:t>
            </w:r>
          </w:p>
        </w:tc>
        <w:tc>
          <w:tcPr>
            <w:tcW w:type="dxa" w:w="2350"/>
            <w:shd w:fill="FFFFFF" w:color="auto" w:val="clear"/>
            <w:tcMar>
              <w:top w:type="dxa" w:w="80"/>
              <w:left w:type="dxa" w:w="100"/>
              <w:bottom w:type="dxa" w:w="80"/>
              <w:right w:type="dxa" w:w="100"/>
            </w:tcMar>
          </w:tcPr>
          <w:p>
            <w:r>
              <w:rPr>
                <w:sz w:val="20"/>
                <w:szCs w:val="20"/>
              </w:rPr>
              <w:t xml:space="preserve">★AM事業への挑戦</w:t>
            </w:r>
          </w:p>
        </w:tc>
      </w:tr>
      <w:tr>
        <w:tc>
          <w:tcPr>
            <w:tcW w:type="dxa" w:w="1650"/>
            <w:shd w:fill="F2F7F3" w:color="auto" w:val="clear"/>
            <w:tcMar>
              <w:top w:type="dxa" w:w="80"/>
              <w:left w:type="dxa" w:w="100"/>
              <w:bottom w:type="dxa" w:w="80"/>
              <w:right w:type="dxa" w:w="100"/>
            </w:tcMar>
          </w:tcPr>
          <w:p>
            <w:r>
              <w:rPr>
                <w:sz w:val="20"/>
                <w:szCs w:val="20"/>
              </w:rPr>
              <w:t xml:space="preserve">2025年2月27日</w:t>
            </w:r>
          </w:p>
        </w:tc>
        <w:tc>
          <w:tcPr>
            <w:tcW w:type="dxa" w:w="5350"/>
            <w:shd w:fill="F2F7F3" w:color="auto" w:val="clear"/>
            <w:tcMar>
              <w:top w:type="dxa" w:w="80"/>
              <w:left w:type="dxa" w:w="100"/>
              <w:bottom w:type="dxa" w:w="80"/>
              <w:right w:type="dxa" w:w="100"/>
            </w:tcMar>
          </w:tcPr>
          <w:p>
            <w:r>
              <w:rPr>
                <w:sz w:val="20"/>
                <w:szCs w:val="20"/>
              </w:rPr>
              <w:t xml:space="preserve">日本郵政によるゆうちょ銀行株式売却発表（出資比率61.5%→50%以下へ）</w:t>
            </w:r>
          </w:p>
        </w:tc>
        <w:tc>
          <w:tcPr>
            <w:tcW w:type="dxa" w:w="2350"/>
            <w:shd w:fill="F2F7F3" w:color="auto" w:val="clear"/>
            <w:tcMar>
              <w:top w:type="dxa" w:w="80"/>
              <w:left w:type="dxa" w:w="100"/>
              <w:bottom w:type="dxa" w:w="80"/>
              <w:right w:type="dxa" w:w="100"/>
            </w:tcMar>
          </w:tcPr>
          <w:p>
            <w:r>
              <w:rPr>
                <w:sz w:val="20"/>
                <w:szCs w:val="20"/>
              </w:rPr>
              <w:t xml:space="preserve">民営化プロセス進展</w:t>
            </w:r>
          </w:p>
        </w:tc>
      </w:tr>
      <w:tr>
        <w:tc>
          <w:tcPr>
            <w:tcW w:type="dxa" w:w="1650"/>
            <w:shd w:fill="FFFFFF" w:color="auto" w:val="clear"/>
            <w:tcMar>
              <w:top w:type="dxa" w:w="80"/>
              <w:left w:type="dxa" w:w="100"/>
              <w:bottom w:type="dxa" w:w="80"/>
              <w:right w:type="dxa" w:w="100"/>
            </w:tcMar>
          </w:tcPr>
          <w:p>
            <w:r>
              <w:rPr>
                <w:sz w:val="20"/>
                <w:szCs w:val="20"/>
              </w:rPr>
              <w:t xml:space="preserve">2025年5月</w:t>
            </w:r>
          </w:p>
        </w:tc>
        <w:tc>
          <w:tcPr>
            <w:tcW w:type="dxa" w:w="5350"/>
            <w:shd w:fill="FFFFFF" w:color="auto" w:val="clear"/>
            <w:tcMar>
              <w:top w:type="dxa" w:w="80"/>
              <w:left w:type="dxa" w:w="100"/>
              <w:bottom w:type="dxa" w:w="80"/>
              <w:right w:type="dxa" w:w="100"/>
            </w:tcMar>
          </w:tcPr>
          <w:p>
            <w:r>
              <w:rPr>
                <w:sz w:val="20"/>
                <w:szCs w:val="20"/>
              </w:rPr>
              <w:t xml:space="preserve">郵政民営化法改正案（日本郵政の株式保有継続方針）</w:t>
            </w:r>
          </w:p>
        </w:tc>
        <w:tc>
          <w:tcPr>
            <w:tcW w:type="dxa" w:w="2350"/>
            <w:shd w:fill="FFFFFF" w:color="auto" w:val="clear"/>
            <w:tcMar>
              <w:top w:type="dxa" w:w="80"/>
              <w:left w:type="dxa" w:w="100"/>
              <w:bottom w:type="dxa" w:w="80"/>
              <w:right w:type="dxa" w:w="100"/>
            </w:tcMar>
          </w:tcPr>
          <w:p>
            <w:r>
              <w:rPr>
                <w:sz w:val="20"/>
                <w:szCs w:val="20"/>
              </w:rPr>
              <w:t xml:space="preserve">－</w:t>
            </w:r>
          </w:p>
        </w:tc>
      </w:tr>
      <w:tr>
        <w:tc>
          <w:tcPr>
            <w:tcW w:type="dxa" w:w="1650"/>
            <w:shd w:fill="F2F7F3" w:color="auto" w:val="clear"/>
            <w:tcMar>
              <w:top w:type="dxa" w:w="80"/>
              <w:left w:type="dxa" w:w="100"/>
              <w:bottom w:type="dxa" w:w="80"/>
              <w:right w:type="dxa" w:w="100"/>
            </w:tcMar>
          </w:tcPr>
          <w:p>
            <w:r>
              <w:rPr>
                <w:sz w:val="20"/>
                <w:szCs w:val="20"/>
              </w:rPr>
              <w:t xml:space="preserve">2025年9月1日</w:t>
            </w:r>
          </w:p>
        </w:tc>
        <w:tc>
          <w:tcPr>
            <w:tcW w:type="dxa" w:w="5350"/>
            <w:shd w:fill="F2F7F3" w:color="auto" w:val="clear"/>
            <w:tcMar>
              <w:top w:type="dxa" w:w="80"/>
              <w:left w:type="dxa" w:w="100"/>
              <w:bottom w:type="dxa" w:w="80"/>
              <w:right w:type="dxa" w:w="100"/>
            </w:tcMar>
          </w:tcPr>
          <w:p>
            <w:r>
              <w:rPr>
                <w:sz w:val="20"/>
                <w:szCs w:val="20"/>
              </w:rPr>
              <w:t xml:space="preserve">トークン化預金「ゆうちょDCJPY」の取扱検討を発表（ディーカレットDCP社と）</w:t>
            </w:r>
          </w:p>
        </w:tc>
        <w:tc>
          <w:tcPr>
            <w:tcW w:type="dxa" w:w="2350"/>
            <w:shd w:fill="F2F7F3" w:color="auto" w:val="clear"/>
            <w:tcMar>
              <w:top w:type="dxa" w:w="80"/>
              <w:left w:type="dxa" w:w="100"/>
              <w:bottom w:type="dxa" w:w="80"/>
              <w:right w:type="dxa" w:w="100"/>
            </w:tcMar>
          </w:tcPr>
          <w:p>
            <w:r>
              <w:rPr>
                <w:sz w:val="20"/>
                <w:szCs w:val="20"/>
              </w:rPr>
              <w:t xml:space="preserve">新たな決済インフラ</w:t>
            </w:r>
          </w:p>
        </w:tc>
      </w:tr>
      <w:tr>
        <w:tc>
          <w:tcPr>
            <w:tcW w:type="dxa" w:w="1650"/>
            <w:shd w:fill="FFFFFF" w:color="auto" w:val="clear"/>
            <w:tcMar>
              <w:top w:type="dxa" w:w="80"/>
              <w:left w:type="dxa" w:w="100"/>
              <w:bottom w:type="dxa" w:w="80"/>
              <w:right w:type="dxa" w:w="100"/>
            </w:tcMar>
          </w:tcPr>
          <w:p>
            <w:r>
              <w:rPr>
                <w:sz w:val="20"/>
                <w:szCs w:val="20"/>
              </w:rPr>
              <w:t xml:space="preserve">2025年11月</w:t>
            </w:r>
          </w:p>
        </w:tc>
        <w:tc>
          <w:tcPr>
            <w:tcW w:type="dxa" w:w="5350"/>
            <w:shd w:fill="FFFFFF" w:color="auto" w:val="clear"/>
            <w:tcMar>
              <w:top w:type="dxa" w:w="80"/>
              <w:left w:type="dxa" w:w="100"/>
              <w:bottom w:type="dxa" w:w="80"/>
              <w:right w:type="dxa" w:w="100"/>
            </w:tcMar>
          </w:tcPr>
          <w:p>
            <w:r>
              <w:rPr>
                <w:sz w:val="20"/>
                <w:szCs w:val="20"/>
              </w:rPr>
              <w:t xml:space="preserve">シノケングループと不動産分野でのトークン化預金実証実験</w:t>
            </w:r>
          </w:p>
        </w:tc>
        <w:tc>
          <w:tcPr>
            <w:tcW w:type="dxa" w:w="2350"/>
            <w:shd w:fill="FFFFFF" w:color="auto" w:val="clear"/>
            <w:tcMar>
              <w:top w:type="dxa" w:w="80"/>
              <w:left w:type="dxa" w:w="100"/>
              <w:bottom w:type="dxa" w:w="80"/>
              <w:right w:type="dxa" w:w="100"/>
            </w:tcMar>
          </w:tcPr>
          <w:p>
            <w:r>
              <w:rPr>
                <w:sz w:val="20"/>
                <w:szCs w:val="20"/>
              </w:rPr>
              <w:t xml:space="preserve">資産運用×新技術</w:t>
            </w:r>
          </w:p>
        </w:tc>
      </w:tr>
      <w:tr>
        <w:tc>
          <w:tcPr>
            <w:tcW w:type="dxa" w:w="1650"/>
            <w:shd w:fill="F2F7F3" w:color="auto" w:val="clear"/>
            <w:tcMar>
              <w:top w:type="dxa" w:w="80"/>
              <w:left w:type="dxa" w:w="100"/>
              <w:bottom w:type="dxa" w:w="80"/>
              <w:right w:type="dxa" w:w="100"/>
            </w:tcMar>
          </w:tcPr>
          <w:p>
            <w:r>
              <w:rPr>
                <w:sz w:val="20"/>
                <w:szCs w:val="20"/>
              </w:rPr>
              <w:t xml:space="preserve">2025年12月</w:t>
            </w:r>
          </w:p>
        </w:tc>
        <w:tc>
          <w:tcPr>
            <w:tcW w:type="dxa" w:w="5350"/>
            <w:shd w:fill="F2F7F3" w:color="auto" w:val="clear"/>
            <w:tcMar>
              <w:top w:type="dxa" w:w="80"/>
              <w:left w:type="dxa" w:w="100"/>
              <w:bottom w:type="dxa" w:w="80"/>
              <w:right w:type="dxa" w:w="100"/>
            </w:tcMar>
          </w:tcPr>
          <w:p>
            <w:r>
              <w:rPr>
                <w:sz w:val="20"/>
                <w:szCs w:val="20"/>
              </w:rPr>
              <w:t xml:space="preserve">国債等振替口座加入通帳の取扱終了（26年1月〜）</w:t>
            </w:r>
          </w:p>
        </w:tc>
        <w:tc>
          <w:tcPr>
            <w:tcW w:type="dxa" w:w="2350"/>
            <w:shd w:fill="F2F7F3" w:color="auto" w:val="clear"/>
            <w:tcMar>
              <w:top w:type="dxa" w:w="80"/>
              <w:left w:type="dxa" w:w="100"/>
              <w:bottom w:type="dxa" w:w="80"/>
              <w:right w:type="dxa" w:w="100"/>
            </w:tcMar>
          </w:tcPr>
          <w:p>
            <w:r>
              <w:rPr>
                <w:sz w:val="20"/>
                <w:szCs w:val="20"/>
              </w:rPr>
              <w:t xml:space="preserve">個人向け国債関連の制度変更</w:t>
            </w:r>
          </w:p>
        </w:tc>
      </w:tr>
      <w:tr>
        <w:tc>
          <w:tcPr>
            <w:tcW w:type="dxa" w:w="1650"/>
            <w:shd w:fill="FFFFFF" w:color="auto" w:val="clear"/>
            <w:tcMar>
              <w:top w:type="dxa" w:w="80"/>
              <w:left w:type="dxa" w:w="100"/>
              <w:bottom w:type="dxa" w:w="80"/>
              <w:right w:type="dxa" w:w="100"/>
            </w:tcMar>
          </w:tcPr>
          <w:p>
            <w:r>
              <w:rPr>
                <w:sz w:val="20"/>
                <w:szCs w:val="20"/>
              </w:rPr>
              <w:t xml:space="preserve">2025年度通期</w:t>
            </w:r>
          </w:p>
        </w:tc>
        <w:tc>
          <w:tcPr>
            <w:tcW w:type="dxa" w:w="5350"/>
            <w:shd w:fill="FFFFFF" w:color="auto" w:val="clear"/>
            <w:tcMar>
              <w:top w:type="dxa" w:w="80"/>
              <w:left w:type="dxa" w:w="100"/>
              <w:bottom w:type="dxa" w:w="80"/>
              <w:right w:type="dxa" w:w="100"/>
            </w:tcMar>
          </w:tcPr>
          <w:p>
            <w:r>
              <w:rPr>
                <w:sz w:val="20"/>
                <w:szCs w:val="20"/>
              </w:rPr>
              <w:t xml:space="preserve">3期連続の上場来最高益（当期純利益5,255億円）、PBR一時1倍超、時価総額一時10兆円突破</w:t>
            </w:r>
          </w:p>
        </w:tc>
        <w:tc>
          <w:tcPr>
            <w:tcW w:type="dxa" w:w="2350"/>
            <w:shd w:fill="FFFFFF" w:color="auto" w:val="clear"/>
            <w:tcMar>
              <w:top w:type="dxa" w:w="80"/>
              <w:left w:type="dxa" w:w="100"/>
              <w:bottom w:type="dxa" w:w="80"/>
              <w:right w:type="dxa" w:w="100"/>
            </w:tcMar>
          </w:tcPr>
          <w:p>
            <w:r>
              <w:rPr>
                <w:sz w:val="20"/>
                <w:szCs w:val="20"/>
              </w:rPr>
              <w:t xml:space="preserve">★経営成果</w:t>
            </w:r>
          </w:p>
        </w:tc>
      </w:tr>
      <w:tr>
        <w:tc>
          <w:tcPr>
            <w:tcW w:type="dxa" w:w="1650"/>
            <w:shd w:fill="F2F7F3" w:color="auto" w:val="clear"/>
            <w:tcMar>
              <w:top w:type="dxa" w:w="80"/>
              <w:left w:type="dxa" w:w="100"/>
              <w:bottom w:type="dxa" w:w="80"/>
              <w:right w:type="dxa" w:w="100"/>
            </w:tcMar>
          </w:tcPr>
          <w:p>
            <w:r>
              <w:rPr>
                <w:sz w:val="20"/>
                <w:szCs w:val="20"/>
              </w:rPr>
              <w:t xml:space="preserve">2026年1月28日</w:t>
            </w:r>
          </w:p>
        </w:tc>
        <w:tc>
          <w:tcPr>
            <w:tcW w:type="dxa" w:w="5350"/>
            <w:shd w:fill="F2F7F3" w:color="auto" w:val="clear"/>
            <w:tcMar>
              <w:top w:type="dxa" w:w="80"/>
              <w:left w:type="dxa" w:w="100"/>
              <w:bottom w:type="dxa" w:w="80"/>
              <w:right w:type="dxa" w:w="100"/>
            </w:tcMar>
          </w:tcPr>
          <w:p>
            <w:r>
              <w:rPr>
                <w:sz w:val="20"/>
                <w:szCs w:val="20"/>
              </w:rPr>
              <w:t xml:space="preserve">ゆうちょアセットマネジメント株式会社の発足に関するお知らせ（正式）</w:t>
            </w:r>
          </w:p>
        </w:tc>
        <w:tc>
          <w:tcPr>
            <w:tcW w:type="dxa" w:w="2350"/>
            <w:shd w:fill="F2F7F3" w:color="auto" w:val="clear"/>
            <w:tcMar>
              <w:top w:type="dxa" w:w="80"/>
              <w:left w:type="dxa" w:w="100"/>
              <w:bottom w:type="dxa" w:w="80"/>
              <w:right w:type="dxa" w:w="100"/>
            </w:tcMar>
          </w:tcPr>
          <w:p>
            <w:r>
              <w:rPr>
                <w:sz w:val="20"/>
                <w:szCs w:val="20"/>
              </w:rPr>
              <w:t xml:space="preserve">★AM事業への挑戦</w:t>
            </w:r>
          </w:p>
        </w:tc>
      </w:tr>
      <w:tr>
        <w:tc>
          <w:tcPr>
            <w:tcW w:type="dxa" w:w="1650"/>
            <w:shd w:fill="FFFFFF" w:color="auto" w:val="clear"/>
            <w:tcMar>
              <w:top w:type="dxa" w:w="80"/>
              <w:left w:type="dxa" w:w="100"/>
              <w:bottom w:type="dxa" w:w="80"/>
              <w:right w:type="dxa" w:w="100"/>
            </w:tcMar>
          </w:tcPr>
          <w:p>
            <w:r>
              <w:rPr>
                <w:sz w:val="20"/>
                <w:szCs w:val="20"/>
              </w:rPr>
              <w:t xml:space="preserve">2026年2月9日</w:t>
            </w:r>
          </w:p>
        </w:tc>
        <w:tc>
          <w:tcPr>
            <w:tcW w:type="dxa" w:w="5350"/>
            <w:shd w:fill="FFFFFF" w:color="auto" w:val="clear"/>
            <w:tcMar>
              <w:top w:type="dxa" w:w="80"/>
              <w:left w:type="dxa" w:w="100"/>
              <w:bottom w:type="dxa" w:w="80"/>
              <w:right w:type="dxa" w:w="100"/>
            </w:tcMar>
          </w:tcPr>
          <w:p>
            <w:r>
              <w:rPr>
                <w:sz w:val="20"/>
                <w:szCs w:val="20"/>
              </w:rPr>
              <w:t xml:space="preserve">貯金金利の引き上げ実施</w:t>
            </w:r>
          </w:p>
        </w:tc>
        <w:tc>
          <w:tcPr>
            <w:tcW w:type="dxa" w:w="2350"/>
            <w:shd w:fill="FFFFFF" w:color="auto" w:val="clear"/>
            <w:tcMar>
              <w:top w:type="dxa" w:w="80"/>
              <w:left w:type="dxa" w:w="100"/>
              <w:bottom w:type="dxa" w:w="80"/>
              <w:right w:type="dxa" w:w="100"/>
            </w:tcMar>
          </w:tcPr>
          <w:p>
            <w:r>
              <w:rPr>
                <w:sz w:val="20"/>
                <w:szCs w:val="20"/>
              </w:rPr>
              <w:t xml:space="preserve">ALM・調達コストに関連</w:t>
            </w:r>
          </w:p>
        </w:tc>
      </w:tr>
      <w:tr>
        <w:tc>
          <w:tcPr>
            <w:tcW w:type="dxa" w:w="1650"/>
            <w:shd w:fill="F2F7F3" w:color="auto" w:val="clear"/>
            <w:tcMar>
              <w:top w:type="dxa" w:w="80"/>
              <w:left w:type="dxa" w:w="100"/>
              <w:bottom w:type="dxa" w:w="80"/>
              <w:right w:type="dxa" w:w="100"/>
            </w:tcMar>
          </w:tcPr>
          <w:p>
            <w:r>
              <w:rPr>
                <w:sz w:val="20"/>
                <w:szCs w:val="20"/>
              </w:rPr>
              <w:t xml:space="preserve">2026年4月1日</w:t>
            </w:r>
          </w:p>
        </w:tc>
        <w:tc>
          <w:tcPr>
            <w:tcW w:type="dxa" w:w="5350"/>
            <w:shd w:fill="F2F7F3" w:color="auto" w:val="clear"/>
            <w:tcMar>
              <w:top w:type="dxa" w:w="80"/>
              <w:left w:type="dxa" w:w="100"/>
              <w:bottom w:type="dxa" w:w="80"/>
              <w:right w:type="dxa" w:w="100"/>
            </w:tcMar>
          </w:tcPr>
          <w:p>
            <w:r>
              <w:rPr>
                <w:sz w:val="20"/>
                <w:szCs w:val="20"/>
              </w:rPr>
              <w:t xml:space="preserve">JP投信・JPインベストメント合併、ゆうちょアセットマネジメント（JPAM）発足</w:t>
            </w:r>
          </w:p>
        </w:tc>
        <w:tc>
          <w:tcPr>
            <w:tcW w:type="dxa" w:w="2350"/>
            <w:shd w:fill="F2F7F3" w:color="auto" w:val="clear"/>
            <w:tcMar>
              <w:top w:type="dxa" w:w="80"/>
              <w:left w:type="dxa" w:w="100"/>
              <w:bottom w:type="dxa" w:w="80"/>
              <w:right w:type="dxa" w:w="100"/>
            </w:tcMar>
          </w:tcPr>
          <w:p>
            <w:r>
              <w:rPr>
                <w:sz w:val="20"/>
                <w:szCs w:val="20"/>
              </w:rPr>
              <w:t xml:space="preserve">★AM事業スタート</w:t>
            </w:r>
          </w:p>
        </w:tc>
      </w:tr>
      <w:tr>
        <w:tc>
          <w:tcPr>
            <w:tcW w:type="dxa" w:w="1650"/>
            <w:shd w:fill="FFFFFF" w:color="auto" w:val="clear"/>
            <w:tcMar>
              <w:top w:type="dxa" w:w="80"/>
              <w:left w:type="dxa" w:w="100"/>
              <w:bottom w:type="dxa" w:w="80"/>
              <w:right w:type="dxa" w:w="100"/>
            </w:tcMar>
          </w:tcPr>
          <w:p>
            <w:r>
              <w:rPr>
                <w:sz w:val="20"/>
                <w:szCs w:val="20"/>
              </w:rPr>
              <w:t xml:space="preserve">2026年4月</w:t>
            </w:r>
          </w:p>
        </w:tc>
        <w:tc>
          <w:tcPr>
            <w:tcW w:type="dxa" w:w="5350"/>
            <w:shd w:fill="FFFFFF" w:color="auto" w:val="clear"/>
            <w:tcMar>
              <w:top w:type="dxa" w:w="80"/>
              <w:left w:type="dxa" w:w="100"/>
              <w:bottom w:type="dxa" w:w="80"/>
              <w:right w:type="dxa" w:w="100"/>
            </w:tcMar>
          </w:tcPr>
          <w:p>
            <w:r>
              <w:rPr>
                <w:sz w:val="20"/>
                <w:szCs w:val="20"/>
              </w:rPr>
              <w:t xml:space="preserve">SBI証券等6社とのセキュリティトークン（ST）決済実証実験を完了</w:t>
            </w:r>
          </w:p>
        </w:tc>
        <w:tc>
          <w:tcPr>
            <w:tcW w:type="dxa" w:w="2350"/>
            <w:shd w:fill="FFFFFF" w:color="auto" w:val="clear"/>
            <w:tcMar>
              <w:top w:type="dxa" w:w="80"/>
              <w:left w:type="dxa" w:w="100"/>
              <w:bottom w:type="dxa" w:w="80"/>
              <w:right w:type="dxa" w:w="100"/>
            </w:tcMar>
          </w:tcPr>
          <w:p>
            <w:r>
              <w:rPr>
                <w:sz w:val="20"/>
                <w:szCs w:val="20"/>
              </w:rPr>
              <w:t xml:space="preserve">新技術×市場取引</w:t>
            </w:r>
          </w:p>
        </w:tc>
      </w:tr>
      <w:tr>
        <w:tc>
          <w:tcPr>
            <w:tcW w:type="dxa" w:w="1650"/>
            <w:shd w:fill="F2F7F3" w:color="auto" w:val="clear"/>
            <w:tcMar>
              <w:top w:type="dxa" w:w="80"/>
              <w:left w:type="dxa" w:w="100"/>
              <w:bottom w:type="dxa" w:w="80"/>
              <w:right w:type="dxa" w:w="100"/>
            </w:tcMar>
          </w:tcPr>
          <w:p>
            <w:r>
              <w:rPr>
                <w:sz w:val="20"/>
                <w:szCs w:val="20"/>
              </w:rPr>
              <w:t xml:space="preserve">2026年4月</w:t>
            </w:r>
          </w:p>
        </w:tc>
        <w:tc>
          <w:tcPr>
            <w:tcW w:type="dxa" w:w="5350"/>
            <w:shd w:fill="F2F7F3" w:color="auto" w:val="clear"/>
            <w:tcMar>
              <w:top w:type="dxa" w:w="80"/>
              <w:left w:type="dxa" w:w="100"/>
              <w:bottom w:type="dxa" w:w="80"/>
              <w:right w:type="dxa" w:w="100"/>
            </w:tcMar>
          </w:tcPr>
          <w:p>
            <w:r>
              <w:rPr>
                <w:sz w:val="20"/>
                <w:szCs w:val="20"/>
              </w:rPr>
              <w:t xml:space="preserve">JPCP旗艦ファンド「ゆうちょキャピタル・シグマ地域事業承継2号ファンド」（300億円）組成</w:t>
            </w:r>
          </w:p>
        </w:tc>
        <w:tc>
          <w:tcPr>
            <w:tcW w:type="dxa" w:w="2350"/>
            <w:shd w:fill="F2F7F3" w:color="auto" w:val="clear"/>
            <w:tcMar>
              <w:top w:type="dxa" w:w="80"/>
              <w:left w:type="dxa" w:w="100"/>
              <w:bottom w:type="dxa" w:w="80"/>
              <w:right w:type="dxa" w:w="100"/>
            </w:tcMar>
          </w:tcPr>
          <w:p>
            <w:r>
              <w:rPr>
                <w:sz w:val="20"/>
                <w:szCs w:val="20"/>
              </w:rPr>
              <w:t xml:space="preserve">★地域PE投資拡大</w:t>
            </w:r>
          </w:p>
        </w:tc>
      </w:tr>
      <w:tr>
        <w:tc>
          <w:tcPr>
            <w:tcW w:type="dxa" w:w="1650"/>
            <w:shd w:fill="FFFFFF" w:color="auto" w:val="clear"/>
            <w:tcMar>
              <w:top w:type="dxa" w:w="80"/>
              <w:left w:type="dxa" w:w="100"/>
              <w:bottom w:type="dxa" w:w="80"/>
              <w:right w:type="dxa" w:w="100"/>
            </w:tcMar>
          </w:tcPr>
          <w:p>
            <w:r>
              <w:rPr>
                <w:sz w:val="20"/>
                <w:szCs w:val="20"/>
              </w:rPr>
              <w:t xml:space="preserve">2026年4月3日</w:t>
            </w:r>
          </w:p>
        </w:tc>
        <w:tc>
          <w:tcPr>
            <w:tcW w:type="dxa" w:w="5350"/>
            <w:shd w:fill="FFFFFF" w:color="auto" w:val="clear"/>
            <w:tcMar>
              <w:top w:type="dxa" w:w="80"/>
              <w:left w:type="dxa" w:w="100"/>
              <w:bottom w:type="dxa" w:w="80"/>
              <w:right w:type="dxa" w:w="100"/>
            </w:tcMar>
          </w:tcPr>
          <w:p>
            <w:r>
              <w:rPr>
                <w:sz w:val="20"/>
                <w:szCs w:val="20"/>
              </w:rPr>
              <w:t xml:space="preserve">大谷翔平選手とブランドアンバサダー契約を締結</w:t>
            </w:r>
          </w:p>
        </w:tc>
        <w:tc>
          <w:tcPr>
            <w:tcW w:type="dxa" w:w="2350"/>
            <w:shd w:fill="FFFFFF" w:color="auto" w:val="clear"/>
            <w:tcMar>
              <w:top w:type="dxa" w:w="80"/>
              <w:left w:type="dxa" w:w="100"/>
              <w:bottom w:type="dxa" w:w="80"/>
              <w:right w:type="dxa" w:w="100"/>
            </w:tcMar>
          </w:tcPr>
          <w:p>
            <w:r>
              <w:rPr>
                <w:sz w:val="20"/>
                <w:szCs w:val="20"/>
              </w:rPr>
              <w:t xml:space="preserve">ブランディング</w:t>
            </w:r>
          </w:p>
        </w:tc>
      </w:tr>
      <w:tr>
        <w:tc>
          <w:tcPr>
            <w:tcW w:type="dxa" w:w="1650"/>
            <w:shd w:fill="F2F7F3" w:color="auto" w:val="clear"/>
            <w:tcMar>
              <w:top w:type="dxa" w:w="80"/>
              <w:left w:type="dxa" w:w="100"/>
              <w:bottom w:type="dxa" w:w="80"/>
              <w:right w:type="dxa" w:w="100"/>
            </w:tcMar>
          </w:tcPr>
          <w:p>
            <w:r>
              <w:rPr>
                <w:sz w:val="20"/>
                <w:szCs w:val="20"/>
              </w:rPr>
              <w:t xml:space="preserve">2026年5月15日</w:t>
            </w:r>
          </w:p>
        </w:tc>
        <w:tc>
          <w:tcPr>
            <w:tcW w:type="dxa" w:w="5350"/>
            <w:shd w:fill="F2F7F3" w:color="auto" w:val="clear"/>
            <w:tcMar>
              <w:top w:type="dxa" w:w="80"/>
              <w:left w:type="dxa" w:w="100"/>
              <w:bottom w:type="dxa" w:w="80"/>
              <w:right w:type="dxa" w:w="100"/>
            </w:tcMar>
          </w:tcPr>
          <w:p>
            <w:r>
              <w:rPr>
                <w:sz w:val="20"/>
                <w:szCs w:val="20"/>
              </w:rPr>
              <w:t xml:space="preserve">「中期経営計画（2026〜2028年度）」策定・公表</w:t>
            </w:r>
          </w:p>
        </w:tc>
        <w:tc>
          <w:tcPr>
            <w:tcW w:type="dxa" w:w="2350"/>
            <w:shd w:fill="F2F7F3" w:color="auto" w:val="clear"/>
            <w:tcMar>
              <w:top w:type="dxa" w:w="80"/>
              <w:left w:type="dxa" w:w="100"/>
              <w:bottom w:type="dxa" w:w="80"/>
              <w:right w:type="dxa" w:w="100"/>
            </w:tcMar>
          </w:tcPr>
          <w:p>
            <w:r>
              <w:rPr>
                <w:sz w:val="20"/>
                <w:szCs w:val="20"/>
              </w:rPr>
              <w:t xml:space="preserve">★経営計画</w:t>
            </w:r>
          </w:p>
        </w:tc>
      </w:tr>
      <w:tr>
        <w:tc>
          <w:tcPr>
            <w:tcW w:type="dxa" w:w="1650"/>
            <w:shd w:fill="FFFFFF" w:color="auto" w:val="clear"/>
            <w:tcMar>
              <w:top w:type="dxa" w:w="80"/>
              <w:left w:type="dxa" w:w="100"/>
              <w:bottom w:type="dxa" w:w="80"/>
              <w:right w:type="dxa" w:w="100"/>
            </w:tcMar>
          </w:tcPr>
          <w:p>
            <w:r>
              <w:rPr>
                <w:sz w:val="20"/>
                <w:szCs w:val="20"/>
              </w:rPr>
              <w:t xml:space="preserve">2026年7月1日</w:t>
            </w:r>
          </w:p>
        </w:tc>
        <w:tc>
          <w:tcPr>
            <w:tcW w:type="dxa" w:w="5350"/>
            <w:shd w:fill="FFFFFF" w:color="auto" w:val="clear"/>
            <w:tcMar>
              <w:top w:type="dxa" w:w="80"/>
              <w:left w:type="dxa" w:w="100"/>
              <w:bottom w:type="dxa" w:w="80"/>
              <w:right w:type="dxa" w:w="100"/>
            </w:tcMar>
          </w:tcPr>
          <w:p>
            <w:r>
              <w:rPr>
                <w:sz w:val="20"/>
                <w:szCs w:val="20"/>
              </w:rPr>
              <w:t xml:space="preserve">市場部門の組織体制を再編（現行の9部署体制）</w:t>
            </w:r>
          </w:p>
        </w:tc>
        <w:tc>
          <w:tcPr>
            <w:tcW w:type="dxa" w:w="2350"/>
            <w:shd w:fill="FFFFFF" w:color="auto" w:val="clear"/>
            <w:tcMar>
              <w:top w:type="dxa" w:w="80"/>
              <w:left w:type="dxa" w:w="100"/>
              <w:bottom w:type="dxa" w:w="80"/>
              <w:right w:type="dxa" w:w="100"/>
            </w:tcMar>
          </w:tcPr>
          <w:p>
            <w:r>
              <w:rPr>
                <w:sz w:val="20"/>
                <w:szCs w:val="20"/>
              </w:rPr>
              <w:t xml:space="preserve">★組織体制</w:t>
            </w:r>
          </w:p>
        </w:tc>
      </w:tr>
      <w:tr>
        <w:tc>
          <w:tcPr>
            <w:tcW w:type="dxa" w:w="1650"/>
            <w:shd w:fill="F2F7F3" w:color="auto" w:val="clear"/>
            <w:tcMar>
              <w:top w:type="dxa" w:w="80"/>
              <w:left w:type="dxa" w:w="100"/>
              <w:bottom w:type="dxa" w:w="80"/>
              <w:right w:type="dxa" w:w="100"/>
            </w:tcMar>
          </w:tcPr>
          <w:p>
            <w:r>
              <w:rPr>
                <w:sz w:val="20"/>
                <w:szCs w:val="20"/>
              </w:rPr>
              <w:t xml:space="preserve">2026年7月14日</w:t>
            </w:r>
          </w:p>
        </w:tc>
        <w:tc>
          <w:tcPr>
            <w:tcW w:type="dxa" w:w="5350"/>
            <w:shd w:fill="F2F7F3" w:color="auto" w:val="clear"/>
            <w:tcMar>
              <w:top w:type="dxa" w:w="80"/>
              <w:left w:type="dxa" w:w="100"/>
              <w:bottom w:type="dxa" w:w="80"/>
              <w:right w:type="dxa" w:w="100"/>
            </w:tcMar>
          </w:tcPr>
          <w:p>
            <w:r>
              <w:rPr>
                <w:sz w:val="20"/>
                <w:szCs w:val="20"/>
              </w:rPr>
              <w:t xml:space="preserve">大谷翔平選手ブランドアンバサダー特設サイト公開</w:t>
            </w:r>
          </w:p>
        </w:tc>
        <w:tc>
          <w:tcPr>
            <w:tcW w:type="dxa" w:w="2350"/>
            <w:shd w:fill="F2F7F3" w:color="auto" w:val="clear"/>
            <w:tcMar>
              <w:top w:type="dxa" w:w="80"/>
              <w:left w:type="dxa" w:w="100"/>
              <w:bottom w:type="dxa" w:w="80"/>
              <w:right w:type="dxa" w:w="100"/>
            </w:tcMar>
          </w:tcPr>
          <w:p>
            <w:r>
              <w:rPr>
                <w:sz w:val="20"/>
                <w:szCs w:val="20"/>
              </w:rPr>
              <w:t xml:space="preserve">ブランディング</w:t>
            </w:r>
          </w:p>
        </w:tc>
      </w:tr>
      <w:tr>
        <w:tc>
          <w:tcPr>
            <w:tcW w:type="dxa" w:w="1650"/>
            <w:shd w:fill="FFFFFF" w:color="auto" w:val="clear"/>
            <w:tcMar>
              <w:top w:type="dxa" w:w="80"/>
              <w:left w:type="dxa" w:w="100"/>
              <w:bottom w:type="dxa" w:w="80"/>
              <w:right w:type="dxa" w:w="100"/>
            </w:tcMar>
          </w:tcPr>
          <w:p>
            <w:r>
              <w:rPr>
                <w:sz w:val="20"/>
                <w:szCs w:val="20"/>
              </w:rPr>
              <w:t xml:space="preserve">2026年8月10日</w:t>
            </w:r>
          </w:p>
        </w:tc>
        <w:tc>
          <w:tcPr>
            <w:tcW w:type="dxa" w:w="5350"/>
            <w:shd w:fill="FFFFFF" w:color="auto" w:val="clear"/>
            <w:tcMar>
              <w:top w:type="dxa" w:w="80"/>
              <w:left w:type="dxa" w:w="100"/>
              <w:bottom w:type="dxa" w:w="80"/>
              <w:right w:type="dxa" w:w="100"/>
            </w:tcMar>
          </w:tcPr>
          <w:p>
            <w:r>
              <w:rPr>
                <w:sz w:val="20"/>
                <w:szCs w:val="20"/>
              </w:rPr>
              <w:t xml:space="preserve">貯金金利の引き上げ実施</w:t>
            </w:r>
          </w:p>
        </w:tc>
        <w:tc>
          <w:tcPr>
            <w:tcW w:type="dxa" w:w="2350"/>
            <w:shd w:fill="FFFFFF" w:color="auto" w:val="clear"/>
            <w:tcMar>
              <w:top w:type="dxa" w:w="80"/>
              <w:left w:type="dxa" w:w="100"/>
              <w:bottom w:type="dxa" w:w="80"/>
              <w:right w:type="dxa" w:w="100"/>
            </w:tcMar>
          </w:tcPr>
          <w:p>
            <w:r>
              <w:rPr>
                <w:sz w:val="20"/>
                <w:szCs w:val="20"/>
              </w:rPr>
              <w:t xml:space="preserve">ALM・調達コストに関連</w:t>
            </w:r>
          </w:p>
        </w:tc>
      </w:tr>
    </w:tbl>
    <w:p>
      <w:pPr>
        <w:spacing w:before="150"/>
      </w:pPr>
    </w:p>
    <w:p>
      <w:pPr>
        <w:spacing w:after="120"/>
      </w:pPr>
      <w:r>
        <w:rPr>
          <w:i/>
          <w:iCs/>
          <w:color w:val="666666"/>
          <w:sz w:val="18"/>
          <w:szCs w:val="18"/>
        </w:rPr>
        <w:t xml:space="preserve">出典：ゆうちょ銀行公式サイト（jp-bank.japanpost.jp）プレスリリース・お知らせ、日本経済新聞、時事通信、その他報道記事の検索結果に基づき作成。詳細な原文は各社公式サイトで確認することを推奨。</w:t>
      </w:r>
    </w:p>
    <w:p>
      <w:r>
        <w:br w:type="page"/>
      </w:r>
    </w:p>
    <w:p>
      <w:pPr>
        <w:pStyle w:val="Heading1"/>
        <w:spacing w:after="150" w:before="300"/>
      </w:pPr>
      <w:r>
        <w:t xml:space="preserve">7. 面接・ES対策メモ（まとめ）</w:t>
      </w:r>
    </w:p>
    <w:p>
      <w:pPr>
        <w:pStyle w:val="Heading2"/>
        <w:spacing w:after="120" w:before="250"/>
      </w:pPr>
      <w:r>
        <w:t xml:space="preserve">なぜ「ゆうちょ」なのか（投資家説明会資料より）</w:t>
      </w:r>
    </w:p>
    <w:p>
      <w:pPr>
        <w:pStyle w:val="ListParagraph"/>
        <w:numPr>
          <w:ilvl w:val="0"/>
          <w:numId w:val="2"/>
        </w:numPr>
        <w:spacing w:after="60"/>
      </w:pPr>
      <w:r>
        <w:t xml:space="preserve">安心・安全・便利＋お得を皆さまへ届ける（邦銀最大級の店舗網×通帳アプリ1,662万口座）</w:t>
      </w:r>
    </w:p>
    <w:p>
      <w:pPr>
        <w:pStyle w:val="ListParagraph"/>
        <w:numPr>
          <w:ilvl w:val="0"/>
          <w:numId w:val="2"/>
        </w:numPr>
        <w:spacing w:after="60"/>
      </w:pPr>
      <w:r>
        <w:t xml:space="preserve">日本と世界で存在感を発揮するマーケットプレイヤーへ（本邦最大級の機関投資家として運用資産223兆円）</w:t>
      </w:r>
    </w:p>
    <w:p>
      <w:pPr>
        <w:pStyle w:val="ListParagraph"/>
        <w:numPr>
          <w:ilvl w:val="0"/>
          <w:numId w:val="2"/>
        </w:numPr>
        <w:spacing w:after="60"/>
      </w:pPr>
      <w:r>
        <w:t xml:space="preserve">地域と共に、持続可能な発展を目指す（JPCPを通じた地域PE投資）</w:t>
      </w:r>
    </w:p>
    <w:p>
      <w:pPr>
        <w:pStyle w:val="ListParagraph"/>
        <w:numPr>
          <w:ilvl w:val="0"/>
          <w:numId w:val="2"/>
        </w:numPr>
        <w:spacing w:after="60"/>
      </w:pPr>
      <w:r>
        <w:t xml:space="preserve">非連続的な成長・利益に応じた還元で長く持ちたい株に（3年間で当期純利益倍増計画）</w:t>
      </w:r>
    </w:p>
    <w:p>
      <w:pPr>
        <w:pStyle w:val="Heading2"/>
        <w:spacing w:after="120" w:before="250"/>
      </w:pPr>
      <w:r>
        <w:t xml:space="preserve">マーケット部門の魅力を語る切り口</w:t>
      </w:r>
    </w:p>
    <w:p>
      <w:pPr>
        <w:pStyle w:val="ListParagraph"/>
        <w:numPr>
          <w:ilvl w:val="0"/>
          <w:numId w:val="2"/>
        </w:numPr>
        <w:spacing w:after="60"/>
      </w:pPr>
      <w:r>
        <w:t xml:space="preserve">規模：運用資産約223兆円を有する、本邦最大級・世界有数の機関投資家</w:t>
      </w:r>
    </w:p>
    <w:p>
      <w:pPr>
        <w:pStyle w:val="ListParagraph"/>
        <w:numPr>
          <w:ilvl w:val="0"/>
          <w:numId w:val="2"/>
        </w:numPr>
        <w:spacing w:after="60"/>
      </w:pPr>
      <w:r>
        <w:t xml:space="preserve">転換点にいる面白さ：「金利のない世界」から「金利のある世界」への歴史的な転換局面で、円金利ポートフォリオを再構築する当事者になれる</w:t>
      </w:r>
    </w:p>
    <w:p>
      <w:pPr>
        <w:pStyle w:val="ListParagraph"/>
        <w:numPr>
          <w:ilvl w:val="0"/>
          <w:numId w:val="2"/>
        </w:numPr>
        <w:spacing w:after="60"/>
      </w:pPr>
      <w:r>
        <w:t xml:space="preserve">多様なアセットクラス：国内外の債券・株式・クレジット・PE・不動産など幅広い運用対象があり、専門性を深められる</w:t>
      </w:r>
    </w:p>
    <w:p>
      <w:pPr>
        <w:pStyle w:val="ListParagraph"/>
        <w:numPr>
          <w:ilvl w:val="0"/>
          <w:numId w:val="2"/>
        </w:numPr>
        <w:spacing w:after="60"/>
      </w:pPr>
      <w:r>
        <w:t xml:space="preserve">新規事業への挑戦：JPAM設立によるアセットマネジメントビジネスという新しい収益の柱の立ち上げに関われる</w:t>
      </w:r>
    </w:p>
    <w:p>
      <w:pPr>
        <w:pStyle w:val="ListParagraph"/>
        <w:numPr>
          <w:ilvl w:val="0"/>
          <w:numId w:val="2"/>
        </w:numPr>
        <w:spacing w:after="60"/>
      </w:pPr>
      <w:r>
        <w:t xml:space="preserve">専門人材が集まる組織：外部金融機関出身の部長クラスが多く、市場のプロフェッショナルから学べる環境</w:t>
      </w:r>
    </w:p>
    <w:p>
      <w:pPr>
        <w:pStyle w:val="Heading2"/>
        <w:spacing w:after="120" w:before="250"/>
      </w:pPr>
      <w:r>
        <w:t xml:space="preserve">想定される深掘り質問</w:t>
      </w:r>
    </w:p>
    <w:p>
      <w:pPr>
        <w:pStyle w:val="ListParagraph"/>
        <w:numPr>
          <w:ilvl w:val="0"/>
          <w:numId w:val="2"/>
        </w:numPr>
        <w:spacing w:after="60"/>
      </w:pPr>
      <w:r>
        <w:t xml:space="preserve">「円金利ポートフォリオの再構築」がなぜ2023年から始まったのか、マクロ環境の変化（マイナス金利解除等）と紐づけて説明できるか</w:t>
      </w:r>
    </w:p>
    <w:p>
      <w:pPr>
        <w:pStyle w:val="ListParagraph"/>
        <w:numPr>
          <w:ilvl w:val="0"/>
          <w:numId w:val="2"/>
        </w:numPr>
        <w:spacing w:after="60"/>
      </w:pPr>
      <w:r>
        <w:t xml:space="preserve">ゆうちょ銀行の資金調達基盤（約186兆円・粘着性の高い個人貯金）が、運用戦略にどう影響するか（ALMの観点）</w:t>
      </w:r>
    </w:p>
    <w:p>
      <w:pPr>
        <w:pStyle w:val="ListParagraph"/>
        <w:numPr>
          <w:ilvl w:val="0"/>
          <w:numId w:val="2"/>
        </w:numPr>
        <w:spacing w:after="60"/>
      </w:pPr>
      <w:r>
        <w:t xml:space="preserve">リスク性資産が「量的に成熟期」を迎えた今、なぜ「投資効率の改善」が次の課題になるのか</w:t>
      </w:r>
    </w:p>
    <w:p>
      <w:pPr>
        <w:pStyle w:val="ListParagraph"/>
        <w:numPr>
          <w:ilvl w:val="0"/>
          <w:numId w:val="2"/>
        </w:numPr>
        <w:spacing w:after="60"/>
      </w:pPr>
      <w:r>
        <w:t xml:space="preserve">JPAM設立で機関投資家向け・個人投資家向けにどのような商品展開が想定されているか</w:t>
      </w:r>
    </w:p>
    <w:p>
      <w:pPr>
        <w:pStyle w:val="Heading2"/>
        <w:spacing w:after="120" w:before="250"/>
      </w:pPr>
      <w:r>
        <w:t xml:space="preserve">参考：関連ノート</w:t>
      </w:r>
    </w:p>
    <w:p>
      <w:pPr>
        <w:spacing w:after="120"/>
      </w:pPr>
      <w:r>
        <w:rPr>
          <w:sz w:val="20"/>
          <w:szCs w:val="20"/>
        </w:rPr>
        <w:t xml:space="preserve">ゆうちょ銀行の「マーケットコース」インターン選考情報（ES設問・選考フロー等）は、別ファイル「マーケットコース.md」を参照。</w:t>
      </w:r>
    </w:p>
    <w:p>
      <w:pPr>
        <w:spacing w:before="400"/>
      </w:pPr>
    </w:p>
    <w:p>
      <w:pPr>
        <w:pStyle w:val="Heading2"/>
        <w:spacing w:after="120" w:before="250"/>
      </w:pPr>
      <w:r>
        <w:t xml:space="preserve">出典資料</w:t>
      </w:r>
    </w:p>
    <w:p>
      <w:pPr>
        <w:pStyle w:val="ListParagraph"/>
        <w:numPr>
          <w:ilvl w:val="0"/>
          <w:numId w:val="2"/>
        </w:numPr>
        <w:spacing w:after="60"/>
      </w:pPr>
      <w:r>
        <w:t xml:space="preserve">ゆうちょ銀行「2026年度 投資家説明会 〜非連続的な成長に向けて〜」（2026年5月20日）</w:t>
      </w:r>
    </w:p>
    <w:p>
      <w:pPr>
        <w:pStyle w:val="ListParagraph"/>
        <w:numPr>
          <w:ilvl w:val="0"/>
          <w:numId w:val="2"/>
        </w:numPr>
        <w:spacing w:after="60"/>
      </w:pPr>
      <w:r>
        <w:t xml:space="preserve">ゆうちょ銀行「個人投資家さま向け会社説明資料」（2026年7月）</w:t>
      </w:r>
    </w:p>
    <w:p>
      <w:pPr>
        <w:pStyle w:val="ListParagraph"/>
        <w:numPr>
          <w:ilvl w:val="0"/>
          <w:numId w:val="2"/>
        </w:numPr>
        <w:spacing w:after="60"/>
      </w:pPr>
      <w:r>
        <w:t xml:space="preserve">ゆうちょ銀行 全社組織図（信吾提供資料）</w:t>
      </w:r>
    </w:p>
    <w:p>
      <w:pPr>
        <w:pStyle w:val="ListParagraph"/>
        <w:numPr>
          <w:ilvl w:val="0"/>
          <w:numId w:val="2"/>
        </w:numPr>
        <w:spacing w:after="60"/>
      </w:pPr>
      <w:r>
        <w:t xml:space="preserve">各種報道（日本経済新聞、時事通信、Yahoo!ニュース等）のWeb検索結果</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ゆうちょ銀行 企業研究レポート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e646cf830677380d436b1af32418731d2449d76.png"/><Relationship Id="rId10" Type="http://schemas.openxmlformats.org/officeDocument/2006/relationships/image" Target="media/94b3cb82e9d1a95d266c2980e263763f8791690a.png"/><Relationship Id="rId11" Type="http://schemas.openxmlformats.org/officeDocument/2006/relationships/image" Target="media/ea1262453b446d13a9fe5072872872487ec9ebe0.png"/><Relationship Id="rId12" Type="http://schemas.openxmlformats.org/officeDocument/2006/relationships/image" Target="media/9e85789b13e904e501875cb04f7d594fb999f04f.png"/><Relationship Id="rId13" Type="http://schemas.openxmlformats.org/officeDocument/2006/relationships/image" Target="media/37004e9193598a827eeb7c79c4d83785cc8a8d87.png"/><Relationship Id="rId14" Type="http://schemas.openxmlformats.org/officeDocument/2006/relationships/image" Target="media/0e50e1328b3aa37cd09a8d90d4e6eded1211fa6e.png"/><Relationship Id="rId15" Type="http://schemas.openxmlformats.org/officeDocument/2006/relationships/image" Target="media/2bb5ad1474b33354d17a8fdaaca3bf2534d6ae37.png"/><Relationship Id="rId16" Type="http://schemas.openxmlformats.org/officeDocument/2006/relationships/image" Target="media/cd3291740110fd25dede757d059d2c235ed68134.png"/><Relationship Id="rId17" Type="http://schemas.openxmlformats.org/officeDocument/2006/relationships/image" Target="media/5643210ba622868a48733699efc17b16d53e077b.png"/><Relationship Id="rId18" Type="http://schemas.openxmlformats.org/officeDocument/2006/relationships/image" Target="media/32030d6c92cd0c35289ae4ebdcccc794f2d20695.png"/><Relationship Id="rId19" Type="http://schemas.openxmlformats.org/officeDocument/2006/relationships/image" Target="media/0deedee6bf0c29373f2d7f408e824f1fff91f204.png"/><Relationship Id="rId20" Type="http://schemas.openxmlformats.org/officeDocument/2006/relationships/image" Target="media/2039e3e4208649abb3f7d17c92a87f873b8b3009.png"/><Relationship Id="rId21" Type="http://schemas.openxmlformats.org/officeDocument/2006/relationships/image" Target="media/cce3bed30498e9f65f9dd3ade5a0eadbec68a882.png"/><Relationship Id="rId22" Type="http://schemas.openxmlformats.org/officeDocument/2006/relationships/image" Target="media/02e4875d42eeb425eb9767c33ecfbac357e3db69.png"/><Relationship Id="rId23" Type="http://schemas.openxmlformats.org/officeDocument/2006/relationships/image" Target="media/f51126a97fb9a7dab10d7e9d475232d5493be97e.png"/><Relationship Id="rId24" Type="http://schemas.openxmlformats.org/officeDocument/2006/relationships/image" Target="media/e613ae93bc0a55da9cae4a0935189b669305506c.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2026-08-12T04:35:04.383Z</dcterms:created>
  <dcterms:modified xsi:type="dcterms:W3CDTF">2026-08-12T04:35:04.384Z</dcterms:modified>
</cp:coreProperties>
</file>

<file path=docProps/custom.xml><?xml version="1.0" encoding="utf-8"?>
<Properties xmlns="http://schemas.openxmlformats.org/officeDocument/2006/custom-properties" xmlns:vt="http://schemas.openxmlformats.org/officeDocument/2006/docPropsVTypes"/>
</file>