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left"/>
      </w:pPr>
      <w:r>
        <w:rPr>
          <w:color w:val="595959"/>
          <w:sz w:val="22"/>
          <w:szCs w:val="22"/>
        </w:rPr>
        <w:t xml:space="preserve">企業研究資料</w:t>
      </w:r>
    </w:p>
    <w:p>
      <w:pPr>
        <w:spacing w:after="100"/>
      </w:pPr>
      <w:r>
        <w:rPr>
          <w:b/>
          <w:bCs/>
          <w:color w:val="1F3864"/>
          <w:sz w:val="44"/>
          <w:szCs w:val="44"/>
        </w:rPr>
        <w:t xml:space="preserve">アビームコンサルティング株式会社</w:t>
      </w:r>
    </w:p>
    <w:p>
      <w:pPr>
        <w:spacing w:after="400"/>
      </w:pPr>
      <w:r>
        <w:rPr>
          <w:i/>
          <w:iCs/>
          <w:color w:val="8C6E4B"/>
          <w:sz w:val="24"/>
          <w:szCs w:val="24"/>
        </w:rPr>
        <w:t xml:space="preserve">ABeam Consulting Ltd.</w:t>
      </w:r>
    </w:p>
    <w:p>
      <w:pPr>
        <w:spacing w:after="60"/>
      </w:pPr>
      <w:r>
        <w:rPr>
          <w:color w:val="595959"/>
          <w:sz w:val="20"/>
          <w:szCs w:val="20"/>
        </w:rPr>
        <w:t xml:space="preserve">作成目的：大貴のインターンシップ選考対策</w:t>
      </w:r>
    </w:p>
    <w:p>
      <w:pPr>
        <w:spacing w:after="60"/>
      </w:pPr>
      <w:r>
        <w:rPr>
          <w:color w:val="595959"/>
          <w:sz w:val="20"/>
          <w:szCs w:val="20"/>
        </w:rPr>
        <w:t xml:space="preserve">作成日：2026年8月20日</w:t>
      </w:r>
    </w:p>
    <w:p>
      <w:pPr>
        <w:spacing w:after="600"/>
      </w:pPr>
      <w:r>
        <w:rPr>
          <w:color w:val="595959"/>
          <w:sz w:val="18"/>
          <w:szCs w:val="18"/>
        </w:rPr>
        <w:t xml:space="preserve">参照資料：ABeam Consulting Company Profile／ABeam Consulting Sustainability Report 2024（会社提供資料）、公開情報（下記出典参照）</w:t>
      </w:r>
    </w:p>
    <w:p>
      <w:pPr>
        <w:pStyle w:val="Heading2"/>
        <w:spacing w:after="120" w:before="300"/>
      </w:pPr>
      <w:r>
        <w:rPr>
          <w:b/>
          <w:bCs/>
          <w:color w:val="1F3864"/>
          <w:sz w:val="24"/>
          <w:szCs w:val="24"/>
        </w:rPr>
        <w:t xml:space="preserve">目次</w:t>
      </w:r>
    </w:p>
    <w:p>
      <w:pPr>
        <w:pStyle w:val="ListParagraph"/>
        <w:numPr>
          <w:ilvl w:val="0"/>
          <w:numId w:val="2"/>
        </w:numPr>
        <w:spacing w:after="80" w:line="280"/>
      </w:pPr>
      <w:r>
        <w:rPr>
          <w:sz w:val="21"/>
          <w:szCs w:val="21"/>
        </w:rPr>
        <w:t xml:space="preserve">1. 会社概要</w:t>
      </w:r>
    </w:p>
    <w:p>
      <w:pPr>
        <w:pStyle w:val="ListParagraph"/>
        <w:numPr>
          <w:ilvl w:val="0"/>
          <w:numId w:val="2"/>
        </w:numPr>
        <w:spacing w:after="80" w:line="280"/>
      </w:pPr>
      <w:r>
        <w:rPr>
          <w:sz w:val="21"/>
          <w:szCs w:val="21"/>
        </w:rPr>
        <w:t xml:space="preserve">2. 沿革</w:t>
      </w:r>
    </w:p>
    <w:p>
      <w:pPr>
        <w:pStyle w:val="ListParagraph"/>
        <w:numPr>
          <w:ilvl w:val="0"/>
          <w:numId w:val="2"/>
        </w:numPr>
        <w:spacing w:after="80" w:line="280"/>
      </w:pPr>
      <w:r>
        <w:rPr>
          <w:sz w:val="21"/>
          <w:szCs w:val="21"/>
        </w:rPr>
        <w:t xml:space="preserve">3. 経営理念・ブランド（Mission / Vision / Real Partner®）</w:t>
      </w:r>
    </w:p>
    <w:p>
      <w:pPr>
        <w:pStyle w:val="ListParagraph"/>
        <w:numPr>
          <w:ilvl w:val="0"/>
          <w:numId w:val="2"/>
        </w:numPr>
        <w:spacing w:after="80" w:line="280"/>
      </w:pPr>
      <w:r>
        <w:rPr>
          <w:sz w:val="21"/>
          <w:szCs w:val="21"/>
        </w:rPr>
        <w:t xml:space="preserve">4. 中期経営戦略・ビジョン（Vision 2030）</w:t>
      </w:r>
    </w:p>
    <w:p>
      <w:pPr>
        <w:pStyle w:val="ListParagraph"/>
        <w:numPr>
          <w:ilvl w:val="0"/>
          <w:numId w:val="2"/>
        </w:numPr>
        <w:spacing w:after="80" w:line="280"/>
      </w:pPr>
      <w:r>
        <w:rPr>
          <w:sz w:val="21"/>
          <w:szCs w:val="21"/>
        </w:rPr>
        <w:t xml:space="preserve">5. 事業内容・サービスライン（3つのExpertise）</w:t>
      </w:r>
    </w:p>
    <w:p>
      <w:pPr>
        <w:pStyle w:val="ListParagraph"/>
        <w:numPr>
          <w:ilvl w:val="0"/>
          <w:numId w:val="2"/>
        </w:numPr>
        <w:spacing w:after="80" w:line="280"/>
      </w:pPr>
      <w:r>
        <w:rPr>
          <w:sz w:val="21"/>
          <w:szCs w:val="21"/>
        </w:rPr>
        <w:t xml:space="preserve">6. 強み・差別化ポイント</w:t>
      </w:r>
    </w:p>
    <w:p>
      <w:pPr>
        <w:pStyle w:val="ListParagraph"/>
        <w:numPr>
          <w:ilvl w:val="0"/>
          <w:numId w:val="2"/>
        </w:numPr>
        <w:spacing w:after="80" w:line="280"/>
      </w:pPr>
      <w:r>
        <w:rPr>
          <w:sz w:val="21"/>
          <w:szCs w:val="21"/>
        </w:rPr>
        <w:t xml:space="preserve">7. 直近の業績・数字で見るアビーム</w:t>
      </w:r>
    </w:p>
    <w:p>
      <w:pPr>
        <w:pStyle w:val="ListParagraph"/>
        <w:numPr>
          <w:ilvl w:val="0"/>
          <w:numId w:val="2"/>
        </w:numPr>
        <w:spacing w:after="80" w:line="280"/>
      </w:pPr>
      <w:r>
        <w:rPr>
          <w:sz w:val="21"/>
          <w:szCs w:val="21"/>
        </w:rPr>
        <w:t xml:space="preserve">8. 人的資本経営・サステナビリティの取り組み</w:t>
      </w:r>
    </w:p>
    <w:p>
      <w:pPr>
        <w:pStyle w:val="ListParagraph"/>
        <w:numPr>
          <w:ilvl w:val="0"/>
          <w:numId w:val="2"/>
        </w:numPr>
        <w:spacing w:after="80" w:line="280"/>
      </w:pPr>
      <w:r>
        <w:rPr>
          <w:sz w:val="21"/>
          <w:szCs w:val="21"/>
        </w:rPr>
        <w:t xml:space="preserve">9. 直近のトピックス・ケーススタディ</w:t>
      </w:r>
    </w:p>
    <w:p>
      <w:pPr>
        <w:pStyle w:val="ListParagraph"/>
        <w:numPr>
          <w:ilvl w:val="0"/>
          <w:numId w:val="2"/>
        </w:numPr>
        <w:spacing w:after="80" w:line="280"/>
      </w:pPr>
      <w:r>
        <w:rPr>
          <w:sz w:val="21"/>
          <w:szCs w:val="21"/>
        </w:rPr>
        <w:t xml:space="preserve">10. インターンシップ選考の傾向</w:t>
      </w:r>
    </w:p>
    <w:p>
      <w:pPr>
        <w:pStyle w:val="ListParagraph"/>
        <w:numPr>
          <w:ilvl w:val="0"/>
          <w:numId w:val="2"/>
        </w:numPr>
        <w:spacing w:after="80" w:line="280"/>
      </w:pPr>
      <w:r>
        <w:rPr>
          <w:sz w:val="21"/>
          <w:szCs w:val="21"/>
        </w:rPr>
        <w:t xml:space="preserve">11. 企業理解のためのQA（想定問答）</w:t>
      </w:r>
    </w:p>
    <w:p>
      <w:pPr>
        <w:pStyle w:val="ListParagraph"/>
        <w:numPr>
          <w:ilvl w:val="0"/>
          <w:numId w:val="2"/>
        </w:numPr>
        <w:spacing w:after="80" w:line="280"/>
      </w:pPr>
      <w:r>
        <w:rPr>
          <w:sz w:val="21"/>
          <w:szCs w:val="21"/>
        </w:rPr>
        <w:t xml:space="preserve">12. 出典</w:t>
      </w:r>
    </w:p>
    <w:p>
      <w:r>
        <w:br w:type="page"/>
      </w:r>
    </w:p>
    <w:p>
      <w:pPr>
        <w:pStyle w:val="Heading1"/>
        <w:pBdr>
          <w:bottom w:val="single" w:color="1F3864" w:sz="8" w:space="4"/>
        </w:pBdr>
        <w:spacing w:after="200" w:before="400"/>
      </w:pPr>
      <w:r>
        <w:rPr>
          <w:b/>
          <w:bCs/>
          <w:color w:val="1F3864"/>
          <w:sz w:val="30"/>
          <w:szCs w:val="30"/>
        </w:rPr>
        <w:t xml:space="preserve">1. 会社概要</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tblHeader/>
        </w:trPr>
        <w:tc>
          <w:tcPr>
            <w:tcW w:type="dxa" w:w="2400"/>
            <w:shd w:fill="1F3864" w:val="clear"/>
            <w:tcMar>
              <w:top w:type="dxa" w:w="60"/>
              <w:left w:type="dxa" w:w="100"/>
              <w:bottom w:type="dxa" w:w="60"/>
              <w:right w:type="dxa" w:w="100"/>
            </w:tcMar>
            <w:vAlign w:val="center"/>
          </w:tcPr>
          <w:p>
            <w:r>
              <w:rPr>
                <w:b/>
                <w:bCs/>
                <w:color w:val="FFFFFF"/>
                <w:sz w:val="20"/>
                <w:szCs w:val="20"/>
              </w:rPr>
              <w:t xml:space="preserve">項目</w:t>
            </w:r>
          </w:p>
        </w:tc>
        <w:tc>
          <w:tcPr>
            <w:tcW w:type="dxa" w:w="7500"/>
            <w:shd w:fill="1F3864" w:val="clear"/>
            <w:tcMar>
              <w:top w:type="dxa" w:w="60"/>
              <w:left w:type="dxa" w:w="100"/>
              <w:bottom w:type="dxa" w:w="60"/>
              <w:right w:type="dxa" w:w="100"/>
            </w:tcMar>
            <w:vAlign w:val="center"/>
          </w:tcPr>
          <w:p>
            <w:r>
              <w:rPr>
                <w:b/>
                <w:bCs/>
                <w:color w:val="FFFFFF"/>
                <w:sz w:val="20"/>
                <w:szCs w:val="20"/>
              </w:rPr>
              <w:t xml:space="preserve">内容</w:t>
            </w:r>
          </w:p>
        </w:tc>
      </w:tr>
      <w:tr>
        <w:tc>
          <w:tcPr>
            <w:tcW w:type="dxa" w:w="2400"/>
            <w:shd w:fill="FFFFFF" w:val="clear"/>
            <w:tcMar>
              <w:top w:type="dxa" w:w="60"/>
              <w:left w:type="dxa" w:w="100"/>
              <w:bottom w:type="dxa" w:w="60"/>
              <w:right w:type="dxa" w:w="100"/>
            </w:tcMar>
            <w:vAlign w:val="center"/>
          </w:tcPr>
          <w:p>
            <w:pPr>
              <w:spacing w:after="40"/>
            </w:pPr>
            <w:r>
              <w:rPr>
                <w:sz w:val="20"/>
                <w:szCs w:val="20"/>
              </w:rPr>
              <w:t xml:space="preserve">商号</w:t>
            </w:r>
          </w:p>
        </w:tc>
        <w:tc>
          <w:tcPr>
            <w:tcW w:type="dxa" w:w="7500"/>
            <w:shd w:fill="FFFFFF" w:val="clear"/>
            <w:tcMar>
              <w:top w:type="dxa" w:w="60"/>
              <w:left w:type="dxa" w:w="100"/>
              <w:bottom w:type="dxa" w:w="60"/>
              <w:right w:type="dxa" w:w="100"/>
            </w:tcMar>
            <w:vAlign w:val="center"/>
          </w:tcPr>
          <w:p>
            <w:pPr>
              <w:spacing w:after="40"/>
            </w:pPr>
            <w:r>
              <w:rPr>
                <w:sz w:val="20"/>
                <w:szCs w:val="20"/>
              </w:rPr>
              <w:t xml:space="preserve">アビームコンサルティング株式会社（ABeam Consulting Ltd.）</w:t>
            </w:r>
          </w:p>
        </w:tc>
      </w:tr>
      <w:tr>
        <w:tc>
          <w:tcPr>
            <w:tcW w:type="dxa" w:w="2400"/>
            <w:shd w:fill="F2ECE4" w:val="clear"/>
            <w:tcMar>
              <w:top w:type="dxa" w:w="60"/>
              <w:left w:type="dxa" w:w="100"/>
              <w:bottom w:type="dxa" w:w="60"/>
              <w:right w:type="dxa" w:w="100"/>
            </w:tcMar>
            <w:vAlign w:val="center"/>
          </w:tcPr>
          <w:p>
            <w:pPr>
              <w:spacing w:after="40"/>
            </w:pPr>
            <w:r>
              <w:rPr>
                <w:sz w:val="20"/>
                <w:szCs w:val="20"/>
              </w:rPr>
              <w:t xml:space="preserve">設立</w:t>
            </w:r>
          </w:p>
        </w:tc>
        <w:tc>
          <w:tcPr>
            <w:tcW w:type="dxa" w:w="7500"/>
            <w:shd w:fill="F2ECE4" w:val="clear"/>
            <w:tcMar>
              <w:top w:type="dxa" w:w="60"/>
              <w:left w:type="dxa" w:w="100"/>
              <w:bottom w:type="dxa" w:w="60"/>
              <w:right w:type="dxa" w:w="100"/>
            </w:tcMar>
            <w:vAlign w:val="center"/>
          </w:tcPr>
          <w:p>
            <w:pPr>
              <w:spacing w:after="40"/>
            </w:pPr>
            <w:r>
              <w:rPr>
                <w:sz w:val="20"/>
                <w:szCs w:val="20"/>
              </w:rPr>
              <w:t xml:space="preserve">1981年4月1日（前身：等松・トウシュロス コンサルティング）</w:t>
            </w:r>
          </w:p>
        </w:tc>
      </w:tr>
      <w:tr>
        <w:tc>
          <w:tcPr>
            <w:tcW w:type="dxa" w:w="2400"/>
            <w:shd w:fill="FFFFFF" w:val="clear"/>
            <w:tcMar>
              <w:top w:type="dxa" w:w="60"/>
              <w:left w:type="dxa" w:w="100"/>
              <w:bottom w:type="dxa" w:w="60"/>
              <w:right w:type="dxa" w:w="100"/>
            </w:tcMar>
            <w:vAlign w:val="center"/>
          </w:tcPr>
          <w:p>
            <w:pPr>
              <w:spacing w:after="40"/>
            </w:pPr>
            <w:r>
              <w:rPr>
                <w:sz w:val="20"/>
                <w:szCs w:val="20"/>
              </w:rPr>
              <w:t xml:space="preserve">資本金</w:t>
            </w:r>
          </w:p>
        </w:tc>
        <w:tc>
          <w:tcPr>
            <w:tcW w:type="dxa" w:w="7500"/>
            <w:shd w:fill="FFFFFF" w:val="clear"/>
            <w:tcMar>
              <w:top w:type="dxa" w:w="60"/>
              <w:left w:type="dxa" w:w="100"/>
              <w:bottom w:type="dxa" w:w="60"/>
              <w:right w:type="dxa" w:w="100"/>
            </w:tcMar>
            <w:vAlign w:val="center"/>
          </w:tcPr>
          <w:p>
            <w:pPr>
              <w:spacing w:after="40"/>
            </w:pPr>
            <w:r>
              <w:rPr>
                <w:sz w:val="20"/>
                <w:szCs w:val="20"/>
              </w:rPr>
              <w:t xml:space="preserve">62億円</w:t>
            </w:r>
          </w:p>
        </w:tc>
      </w:tr>
      <w:tr>
        <w:tc>
          <w:tcPr>
            <w:tcW w:type="dxa" w:w="2400"/>
            <w:shd w:fill="F2ECE4" w:val="clear"/>
            <w:tcMar>
              <w:top w:type="dxa" w:w="60"/>
              <w:left w:type="dxa" w:w="100"/>
              <w:bottom w:type="dxa" w:w="60"/>
              <w:right w:type="dxa" w:w="100"/>
            </w:tcMar>
            <w:vAlign w:val="center"/>
          </w:tcPr>
          <w:p>
            <w:pPr>
              <w:spacing w:after="40"/>
            </w:pPr>
            <w:r>
              <w:rPr>
                <w:sz w:val="20"/>
                <w:szCs w:val="20"/>
              </w:rPr>
              <w:t xml:space="preserve">代表者</w:t>
            </w:r>
          </w:p>
        </w:tc>
        <w:tc>
          <w:tcPr>
            <w:tcW w:type="dxa" w:w="7500"/>
            <w:shd w:fill="F2ECE4" w:val="clear"/>
            <w:tcMar>
              <w:top w:type="dxa" w:w="60"/>
              <w:left w:type="dxa" w:w="100"/>
              <w:bottom w:type="dxa" w:w="60"/>
              <w:right w:type="dxa" w:w="100"/>
            </w:tcMar>
            <w:vAlign w:val="center"/>
          </w:tcPr>
          <w:p>
            <w:pPr>
              <w:spacing w:after="40"/>
            </w:pPr>
            <w:r>
              <w:rPr>
                <w:sz w:val="20"/>
                <w:szCs w:val="20"/>
              </w:rPr>
              <w:t xml:space="preserve">代表取締役社長 CEO　山田 貴博</w:t>
            </w:r>
          </w:p>
        </w:tc>
      </w:tr>
      <w:tr>
        <w:tc>
          <w:tcPr>
            <w:tcW w:type="dxa" w:w="2400"/>
            <w:shd w:fill="FFFFFF" w:val="clear"/>
            <w:tcMar>
              <w:top w:type="dxa" w:w="60"/>
              <w:left w:type="dxa" w:w="100"/>
              <w:bottom w:type="dxa" w:w="60"/>
              <w:right w:type="dxa" w:w="100"/>
            </w:tcMar>
            <w:vAlign w:val="center"/>
          </w:tcPr>
          <w:p>
            <w:pPr>
              <w:spacing w:after="40"/>
            </w:pPr>
            <w:r>
              <w:rPr>
                <w:sz w:val="20"/>
                <w:szCs w:val="20"/>
              </w:rPr>
              <w:t xml:space="preserve">本社所在地</w:t>
            </w:r>
          </w:p>
        </w:tc>
        <w:tc>
          <w:tcPr>
            <w:tcW w:type="dxa" w:w="7500"/>
            <w:shd w:fill="FFFFFF" w:val="clear"/>
            <w:tcMar>
              <w:top w:type="dxa" w:w="60"/>
              <w:left w:type="dxa" w:w="100"/>
              <w:bottom w:type="dxa" w:w="60"/>
              <w:right w:type="dxa" w:w="100"/>
            </w:tcMar>
            <w:vAlign w:val="center"/>
          </w:tcPr>
          <w:p>
            <w:pPr>
              <w:spacing w:after="40"/>
            </w:pPr>
            <w:r>
              <w:rPr>
                <w:sz w:val="20"/>
                <w:szCs w:val="20"/>
              </w:rPr>
              <w:t xml:space="preserve">東京都中央区八重洲二丁目2番1号　東京ミッドタウン八重洲　八重洲セントラルタワー</w:t>
            </w:r>
          </w:p>
        </w:tc>
      </w:tr>
      <w:tr>
        <w:tc>
          <w:tcPr>
            <w:tcW w:type="dxa" w:w="2400"/>
            <w:shd w:fill="F2ECE4" w:val="clear"/>
            <w:tcMar>
              <w:top w:type="dxa" w:w="60"/>
              <w:left w:type="dxa" w:w="100"/>
              <w:bottom w:type="dxa" w:w="60"/>
              <w:right w:type="dxa" w:w="100"/>
            </w:tcMar>
            <w:vAlign w:val="center"/>
          </w:tcPr>
          <w:p>
            <w:pPr>
              <w:spacing w:after="40"/>
            </w:pPr>
            <w:r>
              <w:rPr>
                <w:sz w:val="20"/>
                <w:szCs w:val="20"/>
              </w:rPr>
              <w:t xml:space="preserve">従業員数</w:t>
            </w:r>
          </w:p>
        </w:tc>
        <w:tc>
          <w:tcPr>
            <w:tcW w:type="dxa" w:w="7500"/>
            <w:shd w:fill="F2ECE4" w:val="clear"/>
            <w:tcMar>
              <w:top w:type="dxa" w:w="60"/>
              <w:left w:type="dxa" w:w="100"/>
              <w:bottom w:type="dxa" w:w="60"/>
              <w:right w:type="dxa" w:w="100"/>
            </w:tcMar>
            <w:vAlign w:val="center"/>
          </w:tcPr>
          <w:p>
            <w:pPr>
              <w:spacing w:after="40"/>
            </w:pPr>
            <w:r>
              <w:rPr>
                <w:sz w:val="20"/>
                <w:szCs w:val="20"/>
              </w:rPr>
              <w:t xml:space="preserve">8,816名（2025年4月1日現在、連結）　※前年同時点は8,278名</w:t>
            </w:r>
          </w:p>
        </w:tc>
      </w:tr>
      <w:tr>
        <w:tc>
          <w:tcPr>
            <w:tcW w:type="dxa" w:w="2400"/>
            <w:shd w:fill="FFFFFF" w:val="clear"/>
            <w:tcMar>
              <w:top w:type="dxa" w:w="60"/>
              <w:left w:type="dxa" w:w="100"/>
              <w:bottom w:type="dxa" w:w="60"/>
              <w:right w:type="dxa" w:w="100"/>
            </w:tcMar>
            <w:vAlign w:val="center"/>
          </w:tcPr>
          <w:p>
            <w:pPr>
              <w:spacing w:after="40"/>
            </w:pPr>
            <w:r>
              <w:rPr>
                <w:sz w:val="20"/>
                <w:szCs w:val="20"/>
              </w:rPr>
              <w:t xml:space="preserve">拠点数</w:t>
            </w:r>
          </w:p>
        </w:tc>
        <w:tc>
          <w:tcPr>
            <w:tcW w:type="dxa" w:w="7500"/>
            <w:shd w:fill="FFFFFF" w:val="clear"/>
            <w:tcMar>
              <w:top w:type="dxa" w:w="60"/>
              <w:left w:type="dxa" w:w="100"/>
              <w:bottom w:type="dxa" w:w="60"/>
              <w:right w:type="dxa" w:w="100"/>
            </w:tcMar>
            <w:vAlign w:val="center"/>
          </w:tcPr>
          <w:p>
            <w:pPr>
              <w:spacing w:after="40"/>
            </w:pPr>
            <w:r>
              <w:rPr>
                <w:sz w:val="20"/>
                <w:szCs w:val="20"/>
              </w:rPr>
              <w:t xml:space="preserve">28拠点（うち海外23拠点／2024年4月1日現在）　提携パートナー拠点：132拠点</w:t>
            </w:r>
          </w:p>
        </w:tc>
      </w:tr>
      <w:tr>
        <w:tc>
          <w:tcPr>
            <w:tcW w:type="dxa" w:w="2400"/>
            <w:shd w:fill="F2ECE4" w:val="clear"/>
            <w:tcMar>
              <w:top w:type="dxa" w:w="60"/>
              <w:left w:type="dxa" w:w="100"/>
              <w:bottom w:type="dxa" w:w="60"/>
              <w:right w:type="dxa" w:w="100"/>
            </w:tcMar>
            <w:vAlign w:val="center"/>
          </w:tcPr>
          <w:p>
            <w:pPr>
              <w:spacing w:after="40"/>
            </w:pPr>
            <w:r>
              <w:rPr>
                <w:sz w:val="20"/>
                <w:szCs w:val="20"/>
              </w:rPr>
              <w:t xml:space="preserve">株主・資本関係</w:t>
            </w:r>
          </w:p>
        </w:tc>
        <w:tc>
          <w:tcPr>
            <w:tcW w:type="dxa" w:w="7500"/>
            <w:shd w:fill="F2ECE4" w:val="clear"/>
            <w:tcMar>
              <w:top w:type="dxa" w:w="60"/>
              <w:left w:type="dxa" w:w="100"/>
              <w:bottom w:type="dxa" w:w="60"/>
              <w:right w:type="dxa" w:w="100"/>
            </w:tcMar>
            <w:vAlign w:val="center"/>
          </w:tcPr>
          <w:p>
            <w:pPr>
              <w:spacing w:after="40"/>
            </w:pPr>
            <w:r>
              <w:rPr>
                <w:sz w:val="20"/>
                <w:szCs w:val="20"/>
              </w:rPr>
              <w:t xml:space="preserve">非上場。2004年よりNECと戦略的資本業務提携（NECグループの一員としてサステナブル調達方針等も準拠）</w:t>
            </w:r>
          </w:p>
        </w:tc>
      </w:tr>
      <w:tr>
        <w:tc>
          <w:tcPr>
            <w:tcW w:type="dxa" w:w="2400"/>
            <w:shd w:fill="FFFFFF" w:val="clear"/>
            <w:tcMar>
              <w:top w:type="dxa" w:w="60"/>
              <w:left w:type="dxa" w:w="100"/>
              <w:bottom w:type="dxa" w:w="60"/>
              <w:right w:type="dxa" w:w="100"/>
            </w:tcMar>
            <w:vAlign w:val="center"/>
          </w:tcPr>
          <w:p>
            <w:pPr>
              <w:spacing w:after="40"/>
            </w:pPr>
            <w:r>
              <w:rPr>
                <w:sz w:val="20"/>
                <w:szCs w:val="20"/>
              </w:rPr>
              <w:t xml:space="preserve">事業内容</w:t>
            </w:r>
          </w:p>
        </w:tc>
        <w:tc>
          <w:tcPr>
            <w:tcW w:type="dxa" w:w="7500"/>
            <w:shd w:fill="FFFFFF" w:val="clear"/>
            <w:tcMar>
              <w:top w:type="dxa" w:w="60"/>
              <w:left w:type="dxa" w:w="100"/>
              <w:bottom w:type="dxa" w:w="60"/>
              <w:right w:type="dxa" w:w="100"/>
            </w:tcMar>
            <w:vAlign w:val="center"/>
          </w:tcPr>
          <w:p>
            <w:pPr>
              <w:spacing w:after="40"/>
            </w:pPr>
            <w:r>
              <w:rPr>
                <w:sz w:val="20"/>
                <w:szCs w:val="20"/>
              </w:rPr>
              <w:t xml:space="preserve">経営戦略コンサルティング、業務改革（BPR）コンサルティング、ITコンサルティング、システム開発・導入、アウトソーシング　等</w:t>
            </w:r>
          </w:p>
        </w:tc>
      </w:tr>
      <w:tr>
        <w:tc>
          <w:tcPr>
            <w:tcW w:type="dxa" w:w="2400"/>
            <w:shd w:fill="F2ECE4" w:val="clear"/>
            <w:tcMar>
              <w:top w:type="dxa" w:w="60"/>
              <w:left w:type="dxa" w:w="100"/>
              <w:bottom w:type="dxa" w:w="60"/>
              <w:right w:type="dxa" w:w="100"/>
            </w:tcMar>
            <w:vAlign w:val="center"/>
          </w:tcPr>
          <w:p>
            <w:pPr>
              <w:spacing w:after="40"/>
            </w:pPr>
            <w:r>
              <w:rPr>
                <w:sz w:val="20"/>
                <w:szCs w:val="20"/>
              </w:rPr>
              <w:t xml:space="preserve">ブランドスローガン</w:t>
            </w:r>
          </w:p>
        </w:tc>
        <w:tc>
          <w:tcPr>
            <w:tcW w:type="dxa" w:w="7500"/>
            <w:shd w:fill="F2ECE4" w:val="clear"/>
            <w:tcMar>
              <w:top w:type="dxa" w:w="60"/>
              <w:left w:type="dxa" w:w="100"/>
              <w:bottom w:type="dxa" w:w="60"/>
              <w:right w:type="dxa" w:w="100"/>
            </w:tcMar>
            <w:vAlign w:val="center"/>
          </w:tcPr>
          <w:p>
            <w:pPr>
              <w:spacing w:after="40"/>
            </w:pPr>
            <w:r>
              <w:rPr>
                <w:sz w:val="20"/>
                <w:szCs w:val="20"/>
              </w:rPr>
              <w:t xml:space="preserve">「Build Beyond As One.®」（私たちは、創造的パートナーへ。）</w:t>
            </w:r>
          </w:p>
        </w:tc>
      </w:tr>
      <w:tr>
        <w:tc>
          <w:tcPr>
            <w:tcW w:type="dxa" w:w="2400"/>
            <w:shd w:fill="FFFFFF" w:val="clear"/>
            <w:tcMar>
              <w:top w:type="dxa" w:w="60"/>
              <w:left w:type="dxa" w:w="100"/>
              <w:bottom w:type="dxa" w:w="60"/>
              <w:right w:type="dxa" w:w="100"/>
            </w:tcMar>
            <w:vAlign w:val="center"/>
          </w:tcPr>
          <w:p>
            <w:pPr>
              <w:spacing w:after="40"/>
            </w:pPr>
            <w:r>
              <w:rPr>
                <w:sz w:val="20"/>
                <w:szCs w:val="20"/>
              </w:rPr>
              <w:t xml:space="preserve">経営理念</w:t>
            </w:r>
          </w:p>
        </w:tc>
        <w:tc>
          <w:tcPr>
            <w:tcW w:type="dxa" w:w="7500"/>
            <w:shd w:fill="FFFFFF" w:val="clear"/>
            <w:tcMar>
              <w:top w:type="dxa" w:w="60"/>
              <w:left w:type="dxa" w:w="100"/>
              <w:bottom w:type="dxa" w:w="60"/>
              <w:right w:type="dxa" w:w="100"/>
            </w:tcMar>
            <w:vAlign w:val="center"/>
          </w:tcPr>
          <w:p>
            <w:pPr>
              <w:spacing w:after="40"/>
            </w:pPr>
            <w:r>
              <w:rPr>
                <w:sz w:val="20"/>
                <w:szCs w:val="20"/>
              </w:rPr>
              <w:t xml:space="preserve">「Real Partner®」</w:t>
            </w:r>
          </w:p>
        </w:tc>
      </w:tr>
    </w:tbl>
    <w:p>
      <w:pPr>
        <w:spacing w:after="120"/>
      </w:pPr>
    </w:p>
    <w:p>
      <w:pPr>
        <w:spacing w:after="120" w:line="300"/>
      </w:pPr>
      <w:r>
        <w:rPr>
          <w:sz w:val="21"/>
          <w:szCs w:val="21"/>
        </w:rPr>
        <w:t xml:space="preserve">アビームコンサルティングは、経営戦略の立案から業務改革・システム開発導入・運用保守までを一気通貫で手がける「日本発、アジア発のグローバルコンサルティングファーム」。戦略系・IT系・BPO系の垣根を越えた総合系コンサルティングファームという点が特徴で、外資系戦略ファームやIT系コンサルとは異なり、構想策定から現場の定着支援まで並走することを強みとしている。</w:t>
      </w:r>
    </w:p>
    <w:p>
      <w:pPr>
        <w:pStyle w:val="Heading1"/>
        <w:pBdr>
          <w:bottom w:val="single" w:color="1F3864" w:sz="8" w:space="4"/>
        </w:pBdr>
        <w:spacing w:after="200" w:before="400"/>
      </w:pPr>
      <w:r>
        <w:rPr>
          <w:b/>
          <w:bCs/>
          <w:color w:val="1F3864"/>
          <w:sz w:val="30"/>
          <w:szCs w:val="30"/>
        </w:rPr>
        <w:t xml:space="preserve">2. 沿革</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800"/>
        <w:gridCol w:w="8100"/>
      </w:tblGrid>
      <w:tr>
        <w:trPr>
          <w:tblHeader/>
        </w:trPr>
        <w:tc>
          <w:tcPr>
            <w:tcW w:type="dxa" w:w="1800"/>
            <w:shd w:fill="1F3864" w:val="clear"/>
            <w:tcMar>
              <w:top w:type="dxa" w:w="60"/>
              <w:left w:type="dxa" w:w="100"/>
              <w:bottom w:type="dxa" w:w="60"/>
              <w:right w:type="dxa" w:w="100"/>
            </w:tcMar>
            <w:vAlign w:val="center"/>
          </w:tcPr>
          <w:p>
            <w:r>
              <w:rPr>
                <w:b/>
                <w:bCs/>
                <w:color w:val="FFFFFF"/>
                <w:sz w:val="20"/>
                <w:szCs w:val="20"/>
              </w:rPr>
              <w:t xml:space="preserve">年</w:t>
            </w:r>
          </w:p>
        </w:tc>
        <w:tc>
          <w:tcPr>
            <w:tcW w:type="dxa" w:w="8100"/>
            <w:shd w:fill="1F3864" w:val="clear"/>
            <w:tcMar>
              <w:top w:type="dxa" w:w="60"/>
              <w:left w:type="dxa" w:w="100"/>
              <w:bottom w:type="dxa" w:w="60"/>
              <w:right w:type="dxa" w:w="100"/>
            </w:tcMar>
            <w:vAlign w:val="center"/>
          </w:tcPr>
          <w:p>
            <w:r>
              <w:rPr>
                <w:b/>
                <w:bCs/>
                <w:color w:val="FFFFFF"/>
                <w:sz w:val="20"/>
                <w:szCs w:val="20"/>
              </w:rPr>
              <w:t xml:space="preserve">出来事</w:t>
            </w:r>
          </w:p>
        </w:tc>
      </w:tr>
      <w:tr>
        <w:tc>
          <w:tcPr>
            <w:tcW w:type="dxa" w:w="1800"/>
            <w:shd w:fill="FFFFFF" w:val="clear"/>
            <w:tcMar>
              <w:top w:type="dxa" w:w="60"/>
              <w:left w:type="dxa" w:w="100"/>
              <w:bottom w:type="dxa" w:w="60"/>
              <w:right w:type="dxa" w:w="100"/>
            </w:tcMar>
            <w:vAlign w:val="center"/>
          </w:tcPr>
          <w:p>
            <w:pPr>
              <w:spacing w:after="40"/>
            </w:pPr>
            <w:r>
              <w:rPr>
                <w:sz w:val="20"/>
                <w:szCs w:val="20"/>
              </w:rPr>
              <w:t xml:space="preserve">1981年4月</w:t>
            </w:r>
          </w:p>
        </w:tc>
        <w:tc>
          <w:tcPr>
            <w:tcW w:type="dxa" w:w="8100"/>
            <w:shd w:fill="FFFFFF" w:val="clear"/>
            <w:tcMar>
              <w:top w:type="dxa" w:w="60"/>
              <w:left w:type="dxa" w:w="100"/>
              <w:bottom w:type="dxa" w:w="60"/>
              <w:right w:type="dxa" w:w="100"/>
            </w:tcMar>
            <w:vAlign w:val="center"/>
          </w:tcPr>
          <w:p>
            <w:pPr>
              <w:spacing w:after="40"/>
            </w:pPr>
            <w:r>
              <w:rPr>
                <w:sz w:val="20"/>
                <w:szCs w:val="20"/>
              </w:rPr>
              <w:t xml:space="preserve">等松・青木監査法人（現・有限責任監査法人トーマツの系譜）のマネジメントサービス部門が独立し、「等松・トウシュロス コンサルティング」として設立。世界8大会計事務所の一つTouche Ross International（現デロイト トウシュ トーマツ）に参加</w:t>
            </w:r>
          </w:p>
        </w:tc>
      </w:tr>
      <w:tr>
        <w:tc>
          <w:tcPr>
            <w:tcW w:type="dxa" w:w="1800"/>
            <w:shd w:fill="F2ECE4" w:val="clear"/>
            <w:tcMar>
              <w:top w:type="dxa" w:w="60"/>
              <w:left w:type="dxa" w:w="100"/>
              <w:bottom w:type="dxa" w:w="60"/>
              <w:right w:type="dxa" w:w="100"/>
            </w:tcMar>
            <w:vAlign w:val="center"/>
          </w:tcPr>
          <w:p>
            <w:pPr>
              <w:spacing w:after="40"/>
            </w:pPr>
            <w:r>
              <w:rPr>
                <w:sz w:val="20"/>
                <w:szCs w:val="20"/>
              </w:rPr>
              <w:t xml:space="preserve">1989年</w:t>
            </w:r>
          </w:p>
        </w:tc>
        <w:tc>
          <w:tcPr>
            <w:tcW w:type="dxa" w:w="8100"/>
            <w:shd w:fill="F2ECE4" w:val="clear"/>
            <w:tcMar>
              <w:top w:type="dxa" w:w="60"/>
              <w:left w:type="dxa" w:w="100"/>
              <w:bottom w:type="dxa" w:w="60"/>
              <w:right w:type="dxa" w:w="100"/>
            </w:tcMar>
            <w:vAlign w:val="center"/>
          </w:tcPr>
          <w:p>
            <w:pPr>
              <w:spacing w:after="40"/>
            </w:pPr>
            <w:r>
              <w:rPr>
                <w:sz w:val="20"/>
                <w:szCs w:val="20"/>
              </w:rPr>
              <w:t xml:space="preserve">Touche RossとDeloitte Haskins &amp; Sellsの合併により、デロイト系グローバルネットワークの一員に</w:t>
            </w:r>
          </w:p>
        </w:tc>
      </w:tr>
      <w:tr>
        <w:tc>
          <w:tcPr>
            <w:tcW w:type="dxa" w:w="1800"/>
            <w:shd w:fill="FFFFFF" w:val="clear"/>
            <w:tcMar>
              <w:top w:type="dxa" w:w="60"/>
              <w:left w:type="dxa" w:w="100"/>
              <w:bottom w:type="dxa" w:w="60"/>
              <w:right w:type="dxa" w:w="100"/>
            </w:tcMar>
            <w:vAlign w:val="center"/>
          </w:tcPr>
          <w:p>
            <w:pPr>
              <w:spacing w:after="40"/>
            </w:pPr>
            <w:r>
              <w:rPr>
                <w:sz w:val="20"/>
                <w:szCs w:val="20"/>
              </w:rPr>
              <w:t xml:space="preserve">1997年</w:t>
            </w:r>
          </w:p>
        </w:tc>
        <w:tc>
          <w:tcPr>
            <w:tcW w:type="dxa" w:w="8100"/>
            <w:shd w:fill="FFFFFF" w:val="clear"/>
            <w:tcMar>
              <w:top w:type="dxa" w:w="60"/>
              <w:left w:type="dxa" w:w="100"/>
              <w:bottom w:type="dxa" w:w="60"/>
              <w:right w:type="dxa" w:w="100"/>
            </w:tcMar>
            <w:vAlign w:val="center"/>
          </w:tcPr>
          <w:p>
            <w:pPr>
              <w:spacing w:after="40"/>
            </w:pPr>
            <w:r>
              <w:rPr>
                <w:sz w:val="20"/>
                <w:szCs w:val="20"/>
              </w:rPr>
              <w:t xml:space="preserve">社名を「デロイト トーマツ コンサルティング株式会社」に変更し、グローバル組織デロイト コンサルティングに参加</w:t>
            </w:r>
          </w:p>
        </w:tc>
      </w:tr>
      <w:tr>
        <w:tc>
          <w:tcPr>
            <w:tcW w:type="dxa" w:w="1800"/>
            <w:shd w:fill="F2ECE4" w:val="clear"/>
            <w:tcMar>
              <w:top w:type="dxa" w:w="60"/>
              <w:left w:type="dxa" w:w="100"/>
              <w:bottom w:type="dxa" w:w="60"/>
              <w:right w:type="dxa" w:w="100"/>
            </w:tcMar>
            <w:vAlign w:val="center"/>
          </w:tcPr>
          <w:p>
            <w:pPr>
              <w:spacing w:after="40"/>
            </w:pPr>
            <w:r>
              <w:rPr>
                <w:sz w:val="20"/>
                <w:szCs w:val="20"/>
              </w:rPr>
              <w:t xml:space="preserve">2003年</w:t>
            </w:r>
          </w:p>
        </w:tc>
        <w:tc>
          <w:tcPr>
            <w:tcW w:type="dxa" w:w="8100"/>
            <w:shd w:fill="F2ECE4" w:val="clear"/>
            <w:tcMar>
              <w:top w:type="dxa" w:w="60"/>
              <w:left w:type="dxa" w:w="100"/>
              <w:bottom w:type="dxa" w:w="60"/>
              <w:right w:type="dxa" w:w="100"/>
            </w:tcMar>
            <w:vAlign w:val="center"/>
          </w:tcPr>
          <w:p>
            <w:pPr>
              <w:spacing w:after="40"/>
            </w:pPr>
            <w:r>
              <w:rPr>
                <w:sz w:val="20"/>
                <w:szCs w:val="20"/>
              </w:rPr>
              <w:t xml:space="preserve">デロイト トウシュ トーマツから独立（脱退）し、「アビームコンサルティング株式会社」に社名変更。社名は、セーリング用語"abeam"（横風を力に変えて進む）と"Asian Beam"（アジアの光線・アジアの力）の2つの意味を込めたもの</w:t>
            </w:r>
          </w:p>
        </w:tc>
      </w:tr>
      <w:tr>
        <w:tc>
          <w:tcPr>
            <w:tcW w:type="dxa" w:w="1800"/>
            <w:shd w:fill="FFFFFF" w:val="clear"/>
            <w:tcMar>
              <w:top w:type="dxa" w:w="60"/>
              <w:left w:type="dxa" w:w="100"/>
              <w:bottom w:type="dxa" w:w="60"/>
              <w:right w:type="dxa" w:w="100"/>
            </w:tcMar>
            <w:vAlign w:val="center"/>
          </w:tcPr>
          <w:p>
            <w:pPr>
              <w:spacing w:after="40"/>
            </w:pPr>
            <w:r>
              <w:rPr>
                <w:sz w:val="20"/>
                <w:szCs w:val="20"/>
              </w:rPr>
              <w:t xml:space="preserve">2004年</w:t>
            </w:r>
          </w:p>
        </w:tc>
        <w:tc>
          <w:tcPr>
            <w:tcW w:type="dxa" w:w="8100"/>
            <w:shd w:fill="FFFFFF" w:val="clear"/>
            <w:tcMar>
              <w:top w:type="dxa" w:w="60"/>
              <w:left w:type="dxa" w:w="100"/>
              <w:bottom w:type="dxa" w:w="60"/>
              <w:right w:type="dxa" w:w="100"/>
            </w:tcMar>
            <w:vAlign w:val="center"/>
          </w:tcPr>
          <w:p>
            <w:pPr>
              <w:spacing w:after="40"/>
            </w:pPr>
            <w:r>
              <w:rPr>
                <w:sz w:val="20"/>
                <w:szCs w:val="20"/>
              </w:rPr>
              <w:t xml:space="preserve">NECと戦略的資本業務提携を締結。以降、NECのテクノロジー基盤との連携を強化</w:t>
            </w:r>
          </w:p>
        </w:tc>
      </w:tr>
      <w:tr>
        <w:tc>
          <w:tcPr>
            <w:tcW w:type="dxa" w:w="1800"/>
            <w:shd w:fill="F2ECE4" w:val="clear"/>
            <w:tcMar>
              <w:top w:type="dxa" w:w="60"/>
              <w:left w:type="dxa" w:w="100"/>
              <w:bottom w:type="dxa" w:w="60"/>
              <w:right w:type="dxa" w:w="100"/>
            </w:tcMar>
            <w:vAlign w:val="center"/>
          </w:tcPr>
          <w:p>
            <w:pPr>
              <w:spacing w:after="40"/>
            </w:pPr>
            <w:r>
              <w:rPr>
                <w:sz w:val="20"/>
                <w:szCs w:val="20"/>
              </w:rPr>
              <w:t xml:space="preserve">2005年</w:t>
            </w:r>
          </w:p>
        </w:tc>
        <w:tc>
          <w:tcPr>
            <w:tcW w:type="dxa" w:w="8100"/>
            <w:shd w:fill="F2ECE4" w:val="clear"/>
            <w:tcMar>
              <w:top w:type="dxa" w:w="60"/>
              <w:left w:type="dxa" w:w="100"/>
              <w:bottom w:type="dxa" w:w="60"/>
              <w:right w:type="dxa" w:w="100"/>
            </w:tcMar>
            <w:vAlign w:val="center"/>
          </w:tcPr>
          <w:p>
            <w:pPr>
              <w:spacing w:after="40"/>
            </w:pPr>
            <w:r>
              <w:rPr>
                <w:sz w:val="20"/>
                <w:szCs w:val="20"/>
              </w:rPr>
              <w:t xml:space="preserve">上海にグローバル・デベロップメント・センター（GDC）を設立し、グローバル・アウトソーシング体制の構築を開始</w:t>
            </w:r>
          </w:p>
        </w:tc>
      </w:tr>
      <w:tr>
        <w:tc>
          <w:tcPr>
            <w:tcW w:type="dxa" w:w="1800"/>
            <w:shd w:fill="FFFFFF" w:val="clear"/>
            <w:tcMar>
              <w:top w:type="dxa" w:w="60"/>
              <w:left w:type="dxa" w:w="100"/>
              <w:bottom w:type="dxa" w:w="60"/>
              <w:right w:type="dxa" w:w="100"/>
            </w:tcMar>
            <w:vAlign w:val="center"/>
          </w:tcPr>
          <w:p>
            <w:pPr>
              <w:spacing w:after="40"/>
            </w:pPr>
            <w:r>
              <w:rPr>
                <w:sz w:val="20"/>
                <w:szCs w:val="20"/>
              </w:rPr>
              <w:t xml:space="preserve">2017年</w:t>
            </w:r>
          </w:p>
        </w:tc>
        <w:tc>
          <w:tcPr>
            <w:tcW w:type="dxa" w:w="8100"/>
            <w:shd w:fill="FFFFFF" w:val="clear"/>
            <w:tcMar>
              <w:top w:type="dxa" w:w="60"/>
              <w:left w:type="dxa" w:w="100"/>
              <w:bottom w:type="dxa" w:w="60"/>
              <w:right w:type="dxa" w:w="100"/>
            </w:tcMar>
            <w:vAlign w:val="center"/>
          </w:tcPr>
          <w:p>
            <w:pPr>
              <w:spacing w:after="40"/>
            </w:pPr>
            <w:r>
              <w:rPr>
                <w:sz w:val="20"/>
                <w:szCs w:val="20"/>
              </w:rPr>
              <w:t xml:space="preserve">ワークスタイル変革の取り組み「ABeam Business Athlete®」の推進を開始（Smart Work／Diversity&amp;Inclusion／Well-Beingの3本柱）</w:t>
            </w:r>
          </w:p>
        </w:tc>
      </w:tr>
      <w:tr>
        <w:tc>
          <w:tcPr>
            <w:tcW w:type="dxa" w:w="1800"/>
            <w:shd w:fill="F2ECE4" w:val="clear"/>
            <w:tcMar>
              <w:top w:type="dxa" w:w="60"/>
              <w:left w:type="dxa" w:w="100"/>
              <w:bottom w:type="dxa" w:w="60"/>
              <w:right w:type="dxa" w:w="100"/>
            </w:tcMar>
            <w:vAlign w:val="center"/>
          </w:tcPr>
          <w:p>
            <w:pPr>
              <w:spacing w:after="40"/>
            </w:pPr>
            <w:r>
              <w:rPr>
                <w:sz w:val="20"/>
                <w:szCs w:val="20"/>
              </w:rPr>
              <w:t xml:space="preserve">2022年</w:t>
            </w:r>
          </w:p>
        </w:tc>
        <w:tc>
          <w:tcPr>
            <w:tcW w:type="dxa" w:w="8100"/>
            <w:shd w:fill="F2ECE4" w:val="clear"/>
            <w:tcMar>
              <w:top w:type="dxa" w:w="60"/>
              <w:left w:type="dxa" w:w="100"/>
              <w:bottom w:type="dxa" w:w="60"/>
              <w:right w:type="dxa" w:w="100"/>
            </w:tcMar>
            <w:vAlign w:val="center"/>
          </w:tcPr>
          <w:p>
            <w:pPr>
              <w:spacing w:after="40"/>
            </w:pPr>
            <w:r>
              <w:rPr>
                <w:sz w:val="20"/>
                <w:szCs w:val="20"/>
              </w:rPr>
              <w:t xml:space="preserve">早稲田大学大学院・柳良平客員教授をエグゼクティブアドバイザーに招聘。非財務資本と企業価値の相関を表す「柳モデル」を活用したDigital ESGソリューションの提供を開始</w:t>
            </w:r>
          </w:p>
        </w:tc>
      </w:tr>
      <w:tr>
        <w:tc>
          <w:tcPr>
            <w:tcW w:type="dxa" w:w="1800"/>
            <w:shd w:fill="FFFFFF" w:val="clear"/>
            <w:tcMar>
              <w:top w:type="dxa" w:w="60"/>
              <w:left w:type="dxa" w:w="100"/>
              <w:bottom w:type="dxa" w:w="60"/>
              <w:right w:type="dxa" w:w="100"/>
            </w:tcMar>
            <w:vAlign w:val="center"/>
          </w:tcPr>
          <w:p>
            <w:pPr>
              <w:spacing w:after="40"/>
            </w:pPr>
            <w:r>
              <w:rPr>
                <w:sz w:val="20"/>
                <w:szCs w:val="20"/>
              </w:rPr>
              <w:t xml:space="preserve">2023年8月</w:t>
            </w:r>
          </w:p>
        </w:tc>
        <w:tc>
          <w:tcPr>
            <w:tcW w:type="dxa" w:w="8100"/>
            <w:shd w:fill="FFFFFF" w:val="clear"/>
            <w:tcMar>
              <w:top w:type="dxa" w:w="60"/>
              <w:left w:type="dxa" w:w="100"/>
              <w:bottom w:type="dxa" w:w="60"/>
              <w:right w:type="dxa" w:w="100"/>
            </w:tcMar>
            <w:vAlign w:val="center"/>
          </w:tcPr>
          <w:p>
            <w:pPr>
              <w:spacing w:after="40"/>
            </w:pPr>
            <w:r>
              <w:rPr>
                <w:sz w:val="20"/>
                <w:szCs w:val="20"/>
              </w:rPr>
              <w:t xml:space="preserve">山田 貴博氏が代表取締役社長CEOに就任</w:t>
            </w:r>
          </w:p>
        </w:tc>
      </w:tr>
      <w:tr>
        <w:tc>
          <w:tcPr>
            <w:tcW w:type="dxa" w:w="1800"/>
            <w:shd w:fill="F2ECE4" w:val="clear"/>
            <w:tcMar>
              <w:top w:type="dxa" w:w="60"/>
              <w:left w:type="dxa" w:w="100"/>
              <w:bottom w:type="dxa" w:w="60"/>
              <w:right w:type="dxa" w:w="100"/>
            </w:tcMar>
            <w:vAlign w:val="center"/>
          </w:tcPr>
          <w:p>
            <w:pPr>
              <w:spacing w:after="40"/>
            </w:pPr>
            <w:r>
              <w:rPr>
                <w:sz w:val="20"/>
                <w:szCs w:val="20"/>
              </w:rPr>
              <w:t xml:space="preserve">2024年度</w:t>
            </w:r>
          </w:p>
        </w:tc>
        <w:tc>
          <w:tcPr>
            <w:tcW w:type="dxa" w:w="8100"/>
            <w:shd w:fill="F2ECE4" w:val="clear"/>
            <w:tcMar>
              <w:top w:type="dxa" w:w="60"/>
              <w:left w:type="dxa" w:w="100"/>
              <w:bottom w:type="dxa" w:w="60"/>
              <w:right w:type="dxa" w:w="100"/>
            </w:tcMar>
            <w:vAlign w:val="center"/>
          </w:tcPr>
          <w:p>
            <w:pPr>
              <w:spacing w:after="40"/>
            </w:pPr>
            <w:r>
              <w:rPr>
                <w:sz w:val="20"/>
                <w:szCs w:val="20"/>
              </w:rPr>
              <w:t xml:space="preserve">新中期経営戦略「Strategy 2027」始動。組織改編を実施し、顧客価値創造戦略ユニット（Strategy Unit）・企業価値向上戦略ユニットなど「変革テーマ創出」に特化した機能を集約・再編</w:t>
            </w:r>
          </w:p>
        </w:tc>
      </w:tr>
      <w:tr>
        <w:tc>
          <w:tcPr>
            <w:tcW w:type="dxa" w:w="1800"/>
            <w:shd w:fill="FFFFFF" w:val="clear"/>
            <w:tcMar>
              <w:top w:type="dxa" w:w="60"/>
              <w:left w:type="dxa" w:w="100"/>
              <w:bottom w:type="dxa" w:w="60"/>
              <w:right w:type="dxa" w:w="100"/>
            </w:tcMar>
            <w:vAlign w:val="center"/>
          </w:tcPr>
          <w:p>
            <w:pPr>
              <w:spacing w:after="40"/>
            </w:pPr>
            <w:r>
              <w:rPr>
                <w:sz w:val="20"/>
                <w:szCs w:val="20"/>
              </w:rPr>
              <w:t xml:space="preserve">2024年6月</w:t>
            </w:r>
          </w:p>
        </w:tc>
        <w:tc>
          <w:tcPr>
            <w:tcW w:type="dxa" w:w="8100"/>
            <w:shd w:fill="FFFFFF" w:val="clear"/>
            <w:tcMar>
              <w:top w:type="dxa" w:w="60"/>
              <w:left w:type="dxa" w:w="100"/>
              <w:bottom w:type="dxa" w:w="60"/>
              <w:right w:type="dxa" w:w="100"/>
            </w:tcMar>
            <w:vAlign w:val="center"/>
          </w:tcPr>
          <w:p>
            <w:pPr>
              <w:spacing w:after="40"/>
            </w:pPr>
            <w:r>
              <w:rPr>
                <w:sz w:val="20"/>
                <w:szCs w:val="20"/>
              </w:rPr>
              <w:t xml:space="preserve">ROIC経営の専門家である日戸興史氏をエグゼクティブアドバイザーに迎え、選択と集中による事業ポートフォリオ変革の支援体制を強化</w:t>
            </w:r>
          </w:p>
        </w:tc>
      </w:tr>
    </w:tbl>
    <w:p>
      <w:pPr>
        <w:spacing w:after="120"/>
      </w:pPr>
    </w:p>
    <w:p>
      <w:pPr>
        <w:pStyle w:val="Heading1"/>
        <w:pBdr>
          <w:bottom w:val="single" w:color="1F3864" w:sz="8" w:space="4"/>
        </w:pBdr>
        <w:spacing w:after="200" w:before="400"/>
      </w:pPr>
      <w:r>
        <w:rPr>
          <w:b/>
          <w:bCs/>
          <w:color w:val="1F3864"/>
          <w:sz w:val="30"/>
          <w:szCs w:val="30"/>
        </w:rPr>
        <w:t xml:space="preserve">3. 経営理念・ブランド（Mission / Vision / Real Partner®）</w:t>
      </w:r>
    </w:p>
    <w:p>
      <w:pPr>
        <w:pStyle w:val="Heading2"/>
        <w:spacing w:after="120" w:before="300"/>
      </w:pPr>
      <w:r>
        <w:rPr>
          <w:b/>
          <w:bCs/>
          <w:color w:val="1F3864"/>
          <w:sz w:val="24"/>
          <w:szCs w:val="24"/>
        </w:rPr>
        <w:t xml:space="preserve">Mission・Vision・Core Values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200"/>
        <w:gridCol w:w="7700"/>
      </w:tblGrid>
      <w:tr>
        <w:trPr>
          <w:tblHeader/>
        </w:trPr>
        <w:tc>
          <w:tcPr>
            <w:tcW w:type="dxa" w:w="2200"/>
            <w:shd w:fill="1F3864" w:val="clear"/>
            <w:tcMar>
              <w:top w:type="dxa" w:w="60"/>
              <w:left w:type="dxa" w:w="100"/>
              <w:bottom w:type="dxa" w:w="60"/>
              <w:right w:type="dxa" w:w="100"/>
            </w:tcMar>
            <w:vAlign w:val="center"/>
          </w:tcPr>
          <w:p>
            <w:r>
              <w:rPr>
                <w:b/>
                <w:bCs/>
                <w:color w:val="FFFFFF"/>
                <w:sz w:val="20"/>
                <w:szCs w:val="20"/>
              </w:rPr>
              <w:t xml:space="preserve">項目</w:t>
            </w:r>
          </w:p>
        </w:tc>
        <w:tc>
          <w:tcPr>
            <w:tcW w:type="dxa" w:w="7700"/>
            <w:shd w:fill="1F3864" w:val="clear"/>
            <w:tcMar>
              <w:top w:type="dxa" w:w="60"/>
              <w:left w:type="dxa" w:w="100"/>
              <w:bottom w:type="dxa" w:w="60"/>
              <w:right w:type="dxa" w:w="100"/>
            </w:tcMar>
            <w:vAlign w:val="center"/>
          </w:tcPr>
          <w:p>
            <w:r>
              <w:rPr>
                <w:b/>
                <w:bCs/>
                <w:color w:val="FFFFFF"/>
                <w:sz w:val="20"/>
                <w:szCs w:val="20"/>
              </w:rPr>
              <w:t xml:space="preserve">内容</w:t>
            </w:r>
          </w:p>
        </w:tc>
      </w:tr>
      <w:tr>
        <w:tc>
          <w:tcPr>
            <w:tcW w:type="dxa" w:w="2200"/>
            <w:shd w:fill="FFFFFF" w:val="clear"/>
            <w:tcMar>
              <w:top w:type="dxa" w:w="60"/>
              <w:left w:type="dxa" w:w="100"/>
              <w:bottom w:type="dxa" w:w="60"/>
              <w:right w:type="dxa" w:w="100"/>
            </w:tcMar>
            <w:vAlign w:val="center"/>
          </w:tcPr>
          <w:p>
            <w:pPr>
              <w:spacing w:after="40"/>
            </w:pPr>
            <w:r>
              <w:rPr>
                <w:sz w:val="20"/>
                <w:szCs w:val="20"/>
              </w:rPr>
              <w:t xml:space="preserve">Our Mission</w:t>
            </w:r>
          </w:p>
        </w:tc>
        <w:tc>
          <w:tcPr>
            <w:tcW w:type="dxa" w:w="7700"/>
            <w:shd w:fill="FFFFFF" w:val="clear"/>
            <w:tcMar>
              <w:top w:type="dxa" w:w="60"/>
              <w:left w:type="dxa" w:w="100"/>
              <w:bottom w:type="dxa" w:w="60"/>
              <w:right w:type="dxa" w:w="100"/>
            </w:tcMar>
            <w:vAlign w:val="center"/>
          </w:tcPr>
          <w:p>
            <w:pPr>
              <w:spacing w:after="40"/>
            </w:pPr>
            <w:r>
              <w:rPr>
                <w:sz w:val="20"/>
                <w:szCs w:val="20"/>
              </w:rPr>
              <w:t xml:space="preserve">私たちは変革を通じて、クライアントに新たな成功をもたらし、継続的な企業価値向上に貢献します。</w:t>
            </w:r>
          </w:p>
        </w:tc>
      </w:tr>
      <w:tr>
        <w:tc>
          <w:tcPr>
            <w:tcW w:type="dxa" w:w="2200"/>
            <w:shd w:fill="F2ECE4" w:val="clear"/>
            <w:tcMar>
              <w:top w:type="dxa" w:w="60"/>
              <w:left w:type="dxa" w:w="100"/>
              <w:bottom w:type="dxa" w:w="60"/>
              <w:right w:type="dxa" w:w="100"/>
            </w:tcMar>
            <w:vAlign w:val="center"/>
          </w:tcPr>
          <w:p>
            <w:pPr>
              <w:spacing w:after="40"/>
            </w:pPr>
            <w:r>
              <w:rPr>
                <w:sz w:val="20"/>
                <w:szCs w:val="20"/>
              </w:rPr>
              <w:t xml:space="preserve">Our Vision</w:t>
            </w:r>
          </w:p>
        </w:tc>
        <w:tc>
          <w:tcPr>
            <w:tcW w:type="dxa" w:w="7700"/>
            <w:shd w:fill="F2ECE4" w:val="clear"/>
            <w:tcMar>
              <w:top w:type="dxa" w:w="60"/>
              <w:left w:type="dxa" w:w="100"/>
              <w:bottom w:type="dxa" w:w="60"/>
              <w:right w:type="dxa" w:w="100"/>
            </w:tcMar>
            <w:vAlign w:val="center"/>
          </w:tcPr>
          <w:p>
            <w:pPr>
              <w:spacing w:after="40"/>
            </w:pPr>
            <w:r>
              <w:rPr>
                <w:sz w:val="20"/>
                <w:szCs w:val="20"/>
              </w:rPr>
              <w:t xml:space="preserve">私たちは画一的世界観にしばられることなく、地域や企業の特性を活かすアジア発のグローバルコンサルティングファームとして、クライアントの真のパートナーであり続けます。</w:t>
            </w:r>
          </w:p>
        </w:tc>
      </w:tr>
      <w:tr>
        <w:tc>
          <w:tcPr>
            <w:tcW w:type="dxa" w:w="2200"/>
            <w:shd w:fill="FFFFFF" w:val="clear"/>
            <w:tcMar>
              <w:top w:type="dxa" w:w="60"/>
              <w:left w:type="dxa" w:w="100"/>
              <w:bottom w:type="dxa" w:w="60"/>
              <w:right w:type="dxa" w:w="100"/>
            </w:tcMar>
            <w:vAlign w:val="center"/>
          </w:tcPr>
          <w:p>
            <w:pPr>
              <w:spacing w:after="40"/>
            </w:pPr>
            <w:r>
              <w:rPr>
                <w:sz w:val="20"/>
                <w:szCs w:val="20"/>
              </w:rPr>
              <w:t xml:space="preserve">Our Core Values</w:t>
            </w:r>
          </w:p>
        </w:tc>
        <w:tc>
          <w:tcPr>
            <w:tcW w:type="dxa" w:w="7700"/>
            <w:shd w:fill="FFFFFF" w:val="clear"/>
            <w:tcMar>
              <w:top w:type="dxa" w:w="60"/>
              <w:left w:type="dxa" w:w="100"/>
              <w:bottom w:type="dxa" w:w="60"/>
              <w:right w:type="dxa" w:w="100"/>
            </w:tcMar>
            <w:vAlign w:val="center"/>
          </w:tcPr>
          <w:p>
            <w:pPr>
              <w:spacing w:after="40"/>
            </w:pPr>
            <w:r>
              <w:rPr>
                <w:sz w:val="20"/>
                <w:szCs w:val="20"/>
              </w:rPr>
              <w:t xml:space="preserve">同じ未来を見つめ、同じ成功を喜び合える「リアルパートナー」として、私たちは誠実かつ情熱を持ったコンサルティングを通じて、お客様の求める変革を"現実"のものとしてきました。</w:t>
            </w:r>
          </w:p>
        </w:tc>
      </w:tr>
    </w:tbl>
    <w:p>
      <w:pPr>
        <w:spacing w:after="120"/>
      </w:pPr>
    </w:p>
    <w:p>
      <w:pPr>
        <w:pStyle w:val="Heading2"/>
        <w:spacing w:after="120" w:before="300"/>
      </w:pPr>
      <w:r>
        <w:rPr>
          <w:b/>
          <w:bCs/>
          <w:color w:val="1F3864"/>
          <w:sz w:val="24"/>
          <w:szCs w:val="24"/>
        </w:rPr>
        <w:t xml:space="preserve">企業姿勢：Real Partner®</w:t>
      </w:r>
    </w:p>
    <w:p>
      <w:pPr>
        <w:spacing w:after="120" w:line="300"/>
      </w:pPr>
      <w:r>
        <w:rPr>
          <w:sz w:val="21"/>
          <w:szCs w:val="21"/>
        </w:rPr>
        <w:t xml:space="preserve">アビームコンサルティングの経営理念の礎であり、企業姿勢を示す言葉。クライアントの真のパートナーとして、プロジェクトの成功や変革の実現に強くコミットする価値観を表している。3つの要素が循環する構造になっている。</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6100"/>
      </w:tblGrid>
      <w:tr>
        <w:trPr>
          <w:tblHeader/>
        </w:trPr>
        <w:tc>
          <w:tcPr>
            <w:tcW w:type="dxa" w:w="1600"/>
            <w:shd w:fill="1F3864" w:val="clear"/>
            <w:tcMar>
              <w:top w:type="dxa" w:w="60"/>
              <w:left w:type="dxa" w:w="100"/>
              <w:bottom w:type="dxa" w:w="60"/>
              <w:right w:type="dxa" w:w="100"/>
            </w:tcMar>
            <w:vAlign w:val="center"/>
          </w:tcPr>
          <w:p>
            <w:r>
              <w:rPr>
                <w:b/>
                <w:bCs/>
                <w:color w:val="FFFFFF"/>
                <w:sz w:val="20"/>
                <w:szCs w:val="20"/>
              </w:rPr>
              <w:t xml:space="preserve">要素</w:t>
            </w:r>
          </w:p>
        </w:tc>
        <w:tc>
          <w:tcPr>
            <w:tcW w:type="dxa" w:w="2200"/>
            <w:shd w:fill="1F3864" w:val="clear"/>
            <w:tcMar>
              <w:top w:type="dxa" w:w="60"/>
              <w:left w:type="dxa" w:w="100"/>
              <w:bottom w:type="dxa" w:w="60"/>
              <w:right w:type="dxa" w:w="100"/>
            </w:tcMar>
            <w:vAlign w:val="center"/>
          </w:tcPr>
          <w:p>
            <w:r>
              <w:rPr>
                <w:b/>
                <w:bCs/>
                <w:color w:val="FFFFFF"/>
                <w:sz w:val="20"/>
                <w:szCs w:val="20"/>
              </w:rPr>
              <w:t xml:space="preserve">キーワード</w:t>
            </w:r>
          </w:p>
        </w:tc>
        <w:tc>
          <w:tcPr>
            <w:tcW w:type="dxa" w:w="6100"/>
            <w:shd w:fill="1F3864" w:val="clear"/>
            <w:tcMar>
              <w:top w:type="dxa" w:w="60"/>
              <w:left w:type="dxa" w:w="100"/>
              <w:bottom w:type="dxa" w:w="60"/>
              <w:right w:type="dxa" w:w="100"/>
            </w:tcMar>
            <w:vAlign w:val="center"/>
          </w:tcPr>
          <w:p>
            <w:r>
              <w:rPr>
                <w:b/>
                <w:bCs/>
                <w:color w:val="FFFFFF"/>
                <w:sz w:val="20"/>
                <w:szCs w:val="20"/>
              </w:rPr>
              <w:t xml:space="preserve">内容</w:t>
            </w:r>
          </w:p>
        </w:tc>
      </w:tr>
      <w:tr>
        <w:tc>
          <w:tcPr>
            <w:tcW w:type="dxa" w:w="1600"/>
            <w:shd w:fill="FFFFFF" w:val="clear"/>
            <w:tcMar>
              <w:top w:type="dxa" w:w="60"/>
              <w:left w:type="dxa" w:w="100"/>
              <w:bottom w:type="dxa" w:w="60"/>
              <w:right w:type="dxa" w:w="100"/>
            </w:tcMar>
            <w:vAlign w:val="center"/>
          </w:tcPr>
          <w:p>
            <w:pPr>
              <w:spacing w:after="40"/>
            </w:pPr>
            <w:r>
              <w:rPr>
                <w:sz w:val="20"/>
                <w:szCs w:val="20"/>
              </w:rPr>
              <w:t xml:space="preserve">Real People</w:t>
            </w:r>
          </w:p>
        </w:tc>
        <w:tc>
          <w:tcPr>
            <w:tcW w:type="dxa" w:w="2200"/>
            <w:shd w:fill="FFFFFF" w:val="clear"/>
            <w:tcMar>
              <w:top w:type="dxa" w:w="60"/>
              <w:left w:type="dxa" w:w="100"/>
              <w:bottom w:type="dxa" w:w="60"/>
              <w:right w:type="dxa" w:w="100"/>
            </w:tcMar>
            <w:vAlign w:val="center"/>
          </w:tcPr>
          <w:p>
            <w:pPr>
              <w:spacing w:after="40"/>
            </w:pPr>
            <w:r>
              <w:rPr>
                <w:sz w:val="20"/>
                <w:szCs w:val="20"/>
              </w:rPr>
              <w:t xml:space="preserve">すべては、人から始まる</w:t>
            </w:r>
          </w:p>
        </w:tc>
        <w:tc>
          <w:tcPr>
            <w:tcW w:type="dxa" w:w="6100"/>
            <w:shd w:fill="FFFFFF" w:val="clear"/>
            <w:tcMar>
              <w:top w:type="dxa" w:w="60"/>
              <w:left w:type="dxa" w:w="100"/>
              <w:bottom w:type="dxa" w:w="60"/>
              <w:right w:type="dxa" w:w="100"/>
            </w:tcMar>
            <w:vAlign w:val="center"/>
          </w:tcPr>
          <w:p>
            <w:pPr>
              <w:spacing w:after="40"/>
            </w:pPr>
            <w:r>
              <w:rPr>
                <w:sz w:val="20"/>
                <w:szCs w:val="20"/>
              </w:rPr>
              <w:t xml:space="preserve">コンサルティングという仕事は、人で成り立っている。クライアントに対して付加価値の高い提案ができるスキルや素養、真摯な対応。そして、お互いを尊重し高め合う人間基点の姿勢を大切にする。</w:t>
            </w:r>
          </w:p>
        </w:tc>
      </w:tr>
      <w:tr>
        <w:tc>
          <w:tcPr>
            <w:tcW w:type="dxa" w:w="1600"/>
            <w:shd w:fill="F2ECE4" w:val="clear"/>
            <w:tcMar>
              <w:top w:type="dxa" w:w="60"/>
              <w:left w:type="dxa" w:w="100"/>
              <w:bottom w:type="dxa" w:w="60"/>
              <w:right w:type="dxa" w:w="100"/>
            </w:tcMar>
            <w:vAlign w:val="center"/>
          </w:tcPr>
          <w:p>
            <w:pPr>
              <w:spacing w:after="40"/>
            </w:pPr>
            <w:r>
              <w:rPr>
                <w:sz w:val="20"/>
                <w:szCs w:val="20"/>
              </w:rPr>
              <w:t xml:space="preserve">Real Solutions</w:t>
            </w:r>
          </w:p>
        </w:tc>
        <w:tc>
          <w:tcPr>
            <w:tcW w:type="dxa" w:w="2200"/>
            <w:shd w:fill="F2ECE4" w:val="clear"/>
            <w:tcMar>
              <w:top w:type="dxa" w:w="60"/>
              <w:left w:type="dxa" w:w="100"/>
              <w:bottom w:type="dxa" w:w="60"/>
              <w:right w:type="dxa" w:w="100"/>
            </w:tcMar>
            <w:vAlign w:val="center"/>
          </w:tcPr>
          <w:p>
            <w:pPr>
              <w:spacing w:after="40"/>
            </w:pPr>
            <w:r>
              <w:rPr>
                <w:sz w:val="20"/>
                <w:szCs w:val="20"/>
              </w:rPr>
              <w:t xml:space="preserve">実践的なソリューション</w:t>
            </w:r>
          </w:p>
        </w:tc>
        <w:tc>
          <w:tcPr>
            <w:tcW w:type="dxa" w:w="6100"/>
            <w:shd w:fill="F2ECE4" w:val="clear"/>
            <w:tcMar>
              <w:top w:type="dxa" w:w="60"/>
              <w:left w:type="dxa" w:w="100"/>
              <w:bottom w:type="dxa" w:w="60"/>
              <w:right w:type="dxa" w:w="100"/>
            </w:tcMar>
            <w:vAlign w:val="center"/>
          </w:tcPr>
          <w:p>
            <w:pPr>
              <w:spacing w:after="40"/>
            </w:pPr>
            <w:r>
              <w:rPr>
                <w:sz w:val="20"/>
                <w:szCs w:val="20"/>
              </w:rPr>
              <w:t xml:space="preserve">実現可能なソリューションを提供すること。そして必ず、最後まで成し遂げること。目標を明確にし、先々を予測する知性、スピーディな対応力、創造性、チャレンジ精神を持って課題解決に取り組む。</w:t>
            </w:r>
          </w:p>
        </w:tc>
      </w:tr>
      <w:tr>
        <w:tc>
          <w:tcPr>
            <w:tcW w:type="dxa" w:w="1600"/>
            <w:shd w:fill="FFFFFF" w:val="clear"/>
            <w:tcMar>
              <w:top w:type="dxa" w:w="60"/>
              <w:left w:type="dxa" w:w="100"/>
              <w:bottom w:type="dxa" w:w="60"/>
              <w:right w:type="dxa" w:w="100"/>
            </w:tcMar>
            <w:vAlign w:val="center"/>
          </w:tcPr>
          <w:p>
            <w:pPr>
              <w:spacing w:after="40"/>
            </w:pPr>
            <w:r>
              <w:rPr>
                <w:sz w:val="20"/>
                <w:szCs w:val="20"/>
              </w:rPr>
              <w:t xml:space="preserve">Real Results</w:t>
            </w:r>
          </w:p>
        </w:tc>
        <w:tc>
          <w:tcPr>
            <w:tcW w:type="dxa" w:w="2200"/>
            <w:shd w:fill="FFFFFF" w:val="clear"/>
            <w:tcMar>
              <w:top w:type="dxa" w:w="60"/>
              <w:left w:type="dxa" w:w="100"/>
              <w:bottom w:type="dxa" w:w="60"/>
              <w:right w:type="dxa" w:w="100"/>
            </w:tcMar>
            <w:vAlign w:val="center"/>
          </w:tcPr>
          <w:p>
            <w:pPr>
              <w:spacing w:after="40"/>
            </w:pPr>
            <w:r>
              <w:rPr>
                <w:sz w:val="20"/>
                <w:szCs w:val="20"/>
              </w:rPr>
              <w:t xml:space="preserve">次へつなげる、確かな成果</w:t>
            </w:r>
          </w:p>
        </w:tc>
        <w:tc>
          <w:tcPr>
            <w:tcW w:type="dxa" w:w="6100"/>
            <w:shd w:fill="FFFFFF" w:val="clear"/>
            <w:tcMar>
              <w:top w:type="dxa" w:w="60"/>
              <w:left w:type="dxa" w:w="100"/>
              <w:bottom w:type="dxa" w:w="60"/>
              <w:right w:type="dxa" w:w="100"/>
            </w:tcMar>
            <w:vAlign w:val="center"/>
          </w:tcPr>
          <w:p>
            <w:pPr>
              <w:spacing w:after="40"/>
            </w:pPr>
            <w:r>
              <w:rPr>
                <w:sz w:val="20"/>
                <w:szCs w:val="20"/>
              </w:rPr>
              <w:t xml:space="preserve">お客様と一体となってプロジェクトに取り組み、共に成長する。お客様を次のステージへと押し上げる推進力となり、成功を実感していただく。それこそが使命。</w:t>
            </w:r>
          </w:p>
        </w:tc>
      </w:tr>
    </w:tbl>
    <w:p>
      <w:pPr>
        <w:spacing w:after="120"/>
      </w:pPr>
    </w:p>
    <w:p>
      <w:pPr>
        <w:pStyle w:val="Heading2"/>
        <w:spacing w:after="120" w:before="300"/>
      </w:pPr>
      <w:r>
        <w:rPr>
          <w:b/>
          <w:bCs/>
          <w:color w:val="1F3864"/>
          <w:sz w:val="24"/>
          <w:szCs w:val="24"/>
        </w:rPr>
        <w:t xml:space="preserve">ブランドスローガン：Build Beyond As One.®</w:t>
      </w:r>
    </w:p>
    <w:p>
      <w:pPr>
        <w:spacing w:after="120" w:line="300"/>
      </w:pPr>
      <w:r>
        <w:rPr>
          <w:sz w:val="21"/>
          <w:szCs w:val="21"/>
        </w:rPr>
        <w:t xml:space="preserve">「私たちは、創造的パートナーへ。」というメッセージ。企業・組織を変革し、変革を繋いでいく。それが新たな価値を創造し、社会を変えていく、という考え方に基づく。ブランドエッセンスとして次の3点を最重要ポイントに掲げている。</w:t>
      </w:r>
    </w:p>
    <w:p>
      <w:pPr>
        <w:pStyle w:val="ListParagraph"/>
        <w:numPr>
          <w:ilvl w:val="0"/>
          <w:numId w:val="2"/>
        </w:numPr>
        <w:spacing w:after="80" w:line="280"/>
      </w:pPr>
      <w:r>
        <w:rPr>
          <w:sz w:val="21"/>
          <w:szCs w:val="21"/>
        </w:rPr>
        <w:t xml:space="preserve">ビジネスと社会の未来を変える</w:t>
      </w:r>
    </w:p>
    <w:p>
      <w:pPr>
        <w:pStyle w:val="ListParagraph"/>
        <w:numPr>
          <w:ilvl w:val="0"/>
          <w:numId w:val="2"/>
        </w:numPr>
        <w:spacing w:after="80" w:line="280"/>
      </w:pPr>
      <w:r>
        <w:rPr>
          <w:sz w:val="21"/>
          <w:szCs w:val="21"/>
        </w:rPr>
        <w:t xml:space="preserve">確かな変革の実現</w:t>
      </w:r>
    </w:p>
    <w:p>
      <w:pPr>
        <w:pStyle w:val="ListParagraph"/>
        <w:numPr>
          <w:ilvl w:val="0"/>
          <w:numId w:val="2"/>
        </w:numPr>
        <w:spacing w:after="80" w:line="280"/>
      </w:pPr>
      <w:r>
        <w:rPr>
          <w:sz w:val="21"/>
          <w:szCs w:val="21"/>
        </w:rPr>
        <w:t xml:space="preserve">顧客・パートナーとの共創</w:t>
      </w:r>
    </w:p>
    <w:p>
      <w:pPr>
        <w:pStyle w:val="Heading1"/>
        <w:pBdr>
          <w:bottom w:val="single" w:color="1F3864" w:sz="8" w:space="4"/>
        </w:pBdr>
        <w:spacing w:after="200" w:before="400"/>
      </w:pPr>
      <w:r>
        <w:rPr>
          <w:b/>
          <w:bCs/>
          <w:color w:val="1F3864"/>
          <w:sz w:val="30"/>
          <w:szCs w:val="30"/>
        </w:rPr>
        <w:t xml:space="preserve">4. 中期経営戦略・ビジョン（Vision 2030）</w:t>
      </w:r>
    </w:p>
    <w:p>
      <w:pPr>
        <w:spacing w:after="120" w:line="300"/>
      </w:pPr>
      <w:r>
        <w:rPr>
          <w:sz w:val="21"/>
          <w:szCs w:val="21"/>
        </w:rPr>
        <w:t xml:space="preserve">アビームコンサルティングは、2030年度を最終年度とする「Vision 2030」の達成に向けて、3段階の中期経営戦略を策定している。</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900"/>
      </w:tblGrid>
      <w:tr>
        <w:trPr>
          <w:tblHeader/>
        </w:trPr>
        <w:tc>
          <w:tcPr>
            <w:tcW w:type="dxa" w:w="2200"/>
            <w:shd w:fill="1F3864" w:val="clear"/>
            <w:tcMar>
              <w:top w:type="dxa" w:w="60"/>
              <w:left w:type="dxa" w:w="100"/>
              <w:bottom w:type="dxa" w:w="60"/>
              <w:right w:type="dxa" w:w="100"/>
            </w:tcMar>
            <w:vAlign w:val="center"/>
          </w:tcPr>
          <w:p>
            <w:r>
              <w:rPr>
                <w:b/>
                <w:bCs/>
                <w:color w:val="FFFFFF"/>
                <w:sz w:val="20"/>
                <w:szCs w:val="20"/>
              </w:rPr>
              <w:t xml:space="preserve">フェーズ</w:t>
            </w:r>
          </w:p>
        </w:tc>
        <w:tc>
          <w:tcPr>
            <w:tcW w:type="dxa" w:w="2800"/>
            <w:shd w:fill="1F3864" w:val="clear"/>
            <w:tcMar>
              <w:top w:type="dxa" w:w="60"/>
              <w:left w:type="dxa" w:w="100"/>
              <w:bottom w:type="dxa" w:w="60"/>
              <w:right w:type="dxa" w:w="100"/>
            </w:tcMar>
            <w:vAlign w:val="center"/>
          </w:tcPr>
          <w:p>
            <w:r>
              <w:rPr>
                <w:b/>
                <w:bCs/>
                <w:color w:val="FFFFFF"/>
                <w:sz w:val="20"/>
                <w:szCs w:val="20"/>
              </w:rPr>
              <w:t xml:space="preserve">対象期間（目安）</w:t>
            </w:r>
          </w:p>
        </w:tc>
        <w:tc>
          <w:tcPr>
            <w:tcW w:type="dxa" w:w="4900"/>
            <w:shd w:fill="1F3864" w:val="clear"/>
            <w:tcMar>
              <w:top w:type="dxa" w:w="60"/>
              <w:left w:type="dxa" w:w="100"/>
              <w:bottom w:type="dxa" w:w="60"/>
              <w:right w:type="dxa" w:w="100"/>
            </w:tcMar>
            <w:vAlign w:val="center"/>
          </w:tcPr>
          <w:p>
            <w:r>
              <w:rPr>
                <w:b/>
                <w:bCs/>
                <w:color w:val="FFFFFF"/>
                <w:sz w:val="20"/>
                <w:szCs w:val="20"/>
              </w:rPr>
              <w:t xml:space="preserve">位置づけ</w:t>
            </w:r>
          </w:p>
        </w:tc>
      </w:tr>
      <w:tr>
        <w:tc>
          <w:tcPr>
            <w:tcW w:type="dxa" w:w="2200"/>
            <w:shd w:fill="FFFFFF" w:val="clear"/>
            <w:tcMar>
              <w:top w:type="dxa" w:w="60"/>
              <w:left w:type="dxa" w:w="100"/>
              <w:bottom w:type="dxa" w:w="60"/>
              <w:right w:type="dxa" w:w="100"/>
            </w:tcMar>
            <w:vAlign w:val="center"/>
          </w:tcPr>
          <w:p>
            <w:pPr>
              <w:spacing w:after="40"/>
            </w:pPr>
            <w:r>
              <w:rPr>
                <w:sz w:val="20"/>
                <w:szCs w:val="20"/>
              </w:rPr>
              <w:t xml:space="preserve">Strategy 2025</w:t>
            </w:r>
          </w:p>
        </w:tc>
        <w:tc>
          <w:tcPr>
            <w:tcW w:type="dxa" w:w="2800"/>
            <w:shd w:fill="FFFFFF" w:val="clear"/>
            <w:tcMar>
              <w:top w:type="dxa" w:w="60"/>
              <w:left w:type="dxa" w:w="100"/>
              <w:bottom w:type="dxa" w:w="60"/>
              <w:right w:type="dxa" w:w="100"/>
            </w:tcMar>
            <w:vAlign w:val="center"/>
          </w:tcPr>
          <w:p>
            <w:pPr>
              <w:spacing w:after="40"/>
            </w:pPr>
            <w:r>
              <w:rPr>
                <w:sz w:val="20"/>
                <w:szCs w:val="20"/>
              </w:rPr>
              <w:t xml:space="preserve">〜2025年度</w:t>
            </w:r>
          </w:p>
        </w:tc>
        <w:tc>
          <w:tcPr>
            <w:tcW w:type="dxa" w:w="4900"/>
            <w:shd w:fill="FFFFFF" w:val="clear"/>
            <w:tcMar>
              <w:top w:type="dxa" w:w="60"/>
              <w:left w:type="dxa" w:w="100"/>
              <w:bottom w:type="dxa" w:w="60"/>
              <w:right w:type="dxa" w:w="100"/>
            </w:tcMar>
            <w:vAlign w:val="center"/>
          </w:tcPr>
          <w:p>
            <w:pPr>
              <w:spacing w:after="40"/>
            </w:pPr>
            <w:r>
              <w:rPr>
                <w:sz w:val="20"/>
                <w:szCs w:val="20"/>
              </w:rPr>
              <w:t xml:space="preserve">第1段階の成長戦略</w:t>
            </w:r>
          </w:p>
        </w:tc>
      </w:tr>
      <w:tr>
        <w:tc>
          <w:tcPr>
            <w:tcW w:type="dxa" w:w="2200"/>
            <w:shd w:fill="F2ECE4" w:val="clear"/>
            <w:tcMar>
              <w:top w:type="dxa" w:w="60"/>
              <w:left w:type="dxa" w:w="100"/>
              <w:bottom w:type="dxa" w:w="60"/>
              <w:right w:type="dxa" w:w="100"/>
            </w:tcMar>
            <w:vAlign w:val="center"/>
          </w:tcPr>
          <w:p>
            <w:pPr>
              <w:spacing w:after="40"/>
            </w:pPr>
            <w:r>
              <w:rPr>
                <w:sz w:val="20"/>
                <w:szCs w:val="20"/>
              </w:rPr>
              <w:t xml:space="preserve">Strategy 2027</w:t>
            </w:r>
          </w:p>
        </w:tc>
        <w:tc>
          <w:tcPr>
            <w:tcW w:type="dxa" w:w="2800"/>
            <w:shd w:fill="F2ECE4" w:val="clear"/>
            <w:tcMar>
              <w:top w:type="dxa" w:w="60"/>
              <w:left w:type="dxa" w:w="100"/>
              <w:bottom w:type="dxa" w:w="60"/>
              <w:right w:type="dxa" w:w="100"/>
            </w:tcMar>
            <w:vAlign w:val="center"/>
          </w:tcPr>
          <w:p>
            <w:pPr>
              <w:spacing w:after="40"/>
            </w:pPr>
            <w:r>
              <w:rPr>
                <w:sz w:val="20"/>
                <w:szCs w:val="20"/>
              </w:rPr>
              <w:t xml:space="preserve">2025年度〜2027年度（現行）</w:t>
            </w:r>
          </w:p>
        </w:tc>
        <w:tc>
          <w:tcPr>
            <w:tcW w:type="dxa" w:w="4900"/>
            <w:shd w:fill="F2ECE4" w:val="clear"/>
            <w:tcMar>
              <w:top w:type="dxa" w:w="60"/>
              <w:left w:type="dxa" w:w="100"/>
              <w:bottom w:type="dxa" w:w="60"/>
              <w:right w:type="dxa" w:w="100"/>
            </w:tcMar>
            <w:vAlign w:val="center"/>
          </w:tcPr>
          <w:p>
            <w:pPr>
              <w:spacing w:after="40"/>
            </w:pPr>
            <w:r>
              <w:rPr>
                <w:sz w:val="20"/>
                <w:szCs w:val="20"/>
              </w:rPr>
              <w:t xml:space="preserve">「変革テーマ創出」の強化を掲げ、組織改編を実施。顧客価値創造戦略ユニット・企業価値向上戦略ユニットなどを新設し、部門横断でクライアントの変革テーマ創出機能を集約</w:t>
            </w:r>
          </w:p>
        </w:tc>
      </w:tr>
      <w:tr>
        <w:tc>
          <w:tcPr>
            <w:tcW w:type="dxa" w:w="2200"/>
            <w:shd w:fill="FFFFFF" w:val="clear"/>
            <w:tcMar>
              <w:top w:type="dxa" w:w="60"/>
              <w:left w:type="dxa" w:w="100"/>
              <w:bottom w:type="dxa" w:w="60"/>
              <w:right w:type="dxa" w:w="100"/>
            </w:tcMar>
            <w:vAlign w:val="center"/>
          </w:tcPr>
          <w:p>
            <w:pPr>
              <w:spacing w:after="40"/>
            </w:pPr>
            <w:r>
              <w:rPr>
                <w:sz w:val="20"/>
                <w:szCs w:val="20"/>
              </w:rPr>
              <w:t xml:space="preserve">Strategy 2030</w:t>
            </w:r>
          </w:p>
        </w:tc>
        <w:tc>
          <w:tcPr>
            <w:tcW w:type="dxa" w:w="2800"/>
            <w:shd w:fill="FFFFFF" w:val="clear"/>
            <w:tcMar>
              <w:top w:type="dxa" w:w="60"/>
              <w:left w:type="dxa" w:w="100"/>
              <w:bottom w:type="dxa" w:w="60"/>
              <w:right w:type="dxa" w:w="100"/>
            </w:tcMar>
            <w:vAlign w:val="center"/>
          </w:tcPr>
          <w:p>
            <w:pPr>
              <w:spacing w:after="40"/>
            </w:pPr>
            <w:r>
              <w:rPr>
                <w:sz w:val="20"/>
                <w:szCs w:val="20"/>
              </w:rPr>
              <w:t xml:space="preserve">〜2030年度</w:t>
            </w:r>
          </w:p>
        </w:tc>
        <w:tc>
          <w:tcPr>
            <w:tcW w:type="dxa" w:w="4900"/>
            <w:shd w:fill="FFFFFF" w:val="clear"/>
            <w:tcMar>
              <w:top w:type="dxa" w:w="60"/>
              <w:left w:type="dxa" w:w="100"/>
              <w:bottom w:type="dxa" w:w="60"/>
              <w:right w:type="dxa" w:w="100"/>
            </w:tcMar>
            <w:vAlign w:val="center"/>
          </w:tcPr>
          <w:p>
            <w:pPr>
              <w:spacing w:after="40"/>
            </w:pPr>
            <w:r>
              <w:rPr>
                <w:sz w:val="20"/>
                <w:szCs w:val="20"/>
              </w:rPr>
              <w:t xml:space="preserve">Vision 2030達成に向けた最終段階の戦略</w:t>
            </w:r>
          </w:p>
        </w:tc>
      </w:tr>
    </w:tbl>
    <w:p>
      <w:pPr>
        <w:spacing w:after="120"/>
      </w:pPr>
    </w:p>
    <w:p>
      <w:pPr>
        <w:pStyle w:val="Heading2"/>
        <w:spacing w:after="120" w:before="300"/>
      </w:pPr>
      <w:r>
        <w:rPr>
          <w:b/>
          <w:bCs/>
          <w:color w:val="1F3864"/>
          <w:sz w:val="24"/>
          <w:szCs w:val="24"/>
        </w:rPr>
        <w:t xml:space="preserve">Strategy 2027のねらい：「変革テーマ創出」の強化</w:t>
      </w:r>
    </w:p>
    <w:p>
      <w:pPr>
        <w:spacing w:after="120" w:line="300"/>
      </w:pPr>
      <w:r>
        <w:rPr>
          <w:sz w:val="21"/>
          <w:szCs w:val="21"/>
        </w:rPr>
        <w:t xml:space="preserve">これまでの「個々のプロジェクトの成功に全力を尽くす」というスタンスから進化させ、より長期的な視点でクライアントに伴走し、変革の支援を強化する、という新たな方針。具体的には、顧客価値創造戦略ユニット（クライアントのトップライン伸長がミッション）と企業価値向上戦略ユニット（財務・非財務の両面から企業価値向上を支援）を中心に、成熟市場における新たな価値創出のため「モノづくり」から「コトづくり」へのビジネスモデル進化にフォーカスしている（スポーツ＆エンターテインメント分野の「コトづくり」ノウハウを製造業向けに応用する等の新しいコラボレーションも進行中）。</w:t>
      </w:r>
    </w:p>
    <w:p>
      <w:pPr>
        <w:pStyle w:val="Heading2"/>
        <w:spacing w:after="120" w:before="300"/>
      </w:pPr>
      <w:r>
        <w:rPr>
          <w:b/>
          <w:bCs/>
          <w:color w:val="1F3864"/>
          <w:sz w:val="24"/>
          <w:szCs w:val="24"/>
        </w:rPr>
        <w:t xml:space="preserve">企業価値を高める拡大再生産サイクル：PBR向上へのアプローチ</w:t>
      </w:r>
    </w:p>
    <w:p>
      <w:pPr>
        <w:spacing w:after="120" w:line="300"/>
      </w:pPr>
      <w:r>
        <w:rPr>
          <w:sz w:val="21"/>
          <w:szCs w:val="21"/>
        </w:rPr>
        <w:t xml:space="preserve">低いと指摘される日本企業のPBR（株価純資産倍率）向上を、クライアント支援の重要テーマの一つに設定。「投資→自社の競争力獲得→新たな成長の芽／収益力向上→新事業拡大→投資家獲得（新たな投資へ）」という拡大再生産サイクルを、非財務資本の可視化（Digital ESG）や財務・非財務の統合分析（早稲田大学大学院・柳良平客員教授の"柳モデル"を活用）によって支援している。2024年6月からはROIC経営の専門家である日戸興史氏をエグゼクティブアドバイザーに招聘し、選択と集中による事業ポートフォリオ変革支援体制を強化した。</w:t>
      </w:r>
    </w:p>
    <w:p>
      <w:pPr>
        <w:pStyle w:val="Heading1"/>
        <w:pBdr>
          <w:bottom w:val="single" w:color="1F3864" w:sz="8" w:space="4"/>
        </w:pBdr>
        <w:spacing w:after="200" w:before="400"/>
      </w:pPr>
      <w:r>
        <w:rPr>
          <w:b/>
          <w:bCs/>
          <w:color w:val="1F3864"/>
          <w:sz w:val="30"/>
          <w:szCs w:val="30"/>
        </w:rPr>
        <w:t xml:space="preserve">5. 事業内容・サービスライン（3つのExpertise）</w:t>
      </w:r>
    </w:p>
    <w:p>
      <w:pPr>
        <w:spacing w:after="120" w:line="300"/>
      </w:pPr>
      <w:r>
        <w:rPr>
          <w:sz w:val="21"/>
          <w:szCs w:val="21"/>
        </w:rPr>
        <w:t xml:space="preserve">アビームコンサルティングは、「Industry Expertise」「Service Line Expertise」「Global &amp; Regional Expertise」の3つの専門性を軸にサービスを展開している。</w:t>
      </w:r>
    </w:p>
    <w:p>
      <w:pPr>
        <w:pStyle w:val="Heading2"/>
        <w:spacing w:after="120" w:before="300"/>
      </w:pPr>
      <w:r>
        <w:rPr>
          <w:b/>
          <w:bCs/>
          <w:color w:val="1F3864"/>
          <w:sz w:val="24"/>
          <w:szCs w:val="24"/>
        </w:rPr>
        <w:t xml:space="preserve">(1) Industry Expertise（業種別の知見）</w:t>
      </w:r>
    </w:p>
    <w:p>
      <w:pPr>
        <w:spacing w:after="120" w:line="300"/>
      </w:pPr>
      <w:r>
        <w:rPr>
          <w:sz w:val="21"/>
          <w:szCs w:val="21"/>
        </w:rPr>
        <w:t xml:space="preserve">長年培った業界・業種への知見と、豊富な支援実績に裏打ちされたサービス・ソリューションを提供。対応業種は以下の通り幅広い。</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7300"/>
      </w:tblGrid>
      <w:tr>
        <w:trPr>
          <w:tblHeader/>
        </w:trPr>
        <w:tc>
          <w:tcPr>
            <w:tcW w:type="dxa" w:w="2400"/>
            <w:shd w:fill="1F3864" w:val="clear"/>
            <w:tcMar>
              <w:top w:type="dxa" w:w="60"/>
              <w:left w:type="dxa" w:w="100"/>
              <w:bottom w:type="dxa" w:w="60"/>
              <w:right w:type="dxa" w:w="100"/>
            </w:tcMar>
            <w:vAlign w:val="center"/>
          </w:tcPr>
          <w:p>
            <w:r>
              <w:rPr>
                <w:b/>
                <w:bCs/>
                <w:color w:val="FFFFFF"/>
                <w:sz w:val="20"/>
                <w:szCs w:val="20"/>
              </w:rPr>
              <w:t xml:space="preserve">分野</w:t>
            </w:r>
          </w:p>
        </w:tc>
        <w:tc>
          <w:tcPr>
            <w:tcW w:type="dxa" w:w="7300"/>
            <w:shd w:fill="1F3864" w:val="clear"/>
            <w:tcMar>
              <w:top w:type="dxa" w:w="60"/>
              <w:left w:type="dxa" w:w="100"/>
              <w:bottom w:type="dxa" w:w="60"/>
              <w:right w:type="dxa" w:w="100"/>
            </w:tcMar>
            <w:vAlign w:val="center"/>
          </w:tcPr>
          <w:p>
            <w:r>
              <w:rPr>
                <w:b/>
                <w:bCs/>
                <w:color w:val="FFFFFF"/>
                <w:sz w:val="20"/>
                <w:szCs w:val="20"/>
              </w:rPr>
              <w:t xml:space="preserve">業種</w:t>
            </w:r>
          </w:p>
        </w:tc>
      </w:tr>
      <w:tr>
        <w:tc>
          <w:tcPr>
            <w:tcW w:type="dxa" w:w="2400"/>
            <w:shd w:fill="FFFFFF" w:val="clear"/>
            <w:tcMar>
              <w:top w:type="dxa" w:w="60"/>
              <w:left w:type="dxa" w:w="100"/>
              <w:bottom w:type="dxa" w:w="60"/>
              <w:right w:type="dxa" w:w="100"/>
            </w:tcMar>
            <w:vAlign w:val="center"/>
          </w:tcPr>
          <w:p>
            <w:pPr>
              <w:spacing w:after="40"/>
            </w:pPr>
            <w:r>
              <w:rPr>
                <w:sz w:val="20"/>
                <w:szCs w:val="20"/>
              </w:rPr>
              <w:t xml:space="preserve">製造・エネルギー</w:t>
            </w:r>
          </w:p>
        </w:tc>
        <w:tc>
          <w:tcPr>
            <w:tcW w:type="dxa" w:w="7300"/>
            <w:shd w:fill="FFFFFF" w:val="clear"/>
            <w:tcMar>
              <w:top w:type="dxa" w:w="60"/>
              <w:left w:type="dxa" w:w="100"/>
              <w:bottom w:type="dxa" w:w="60"/>
              <w:right w:type="dxa" w:w="100"/>
            </w:tcMar>
            <w:vAlign w:val="center"/>
          </w:tcPr>
          <w:p>
            <w:pPr>
              <w:spacing w:after="40"/>
            </w:pPr>
            <w:r>
              <w:rPr>
                <w:sz w:val="20"/>
                <w:szCs w:val="20"/>
              </w:rPr>
              <w:t xml:space="preserve">自動車・モビリティ／電機・機械／電子部品・半導体／石油／電力・ガス</w:t>
            </w:r>
          </w:p>
        </w:tc>
      </w:tr>
      <w:tr>
        <w:tc>
          <w:tcPr>
            <w:tcW w:type="dxa" w:w="2400"/>
            <w:shd w:fill="F2ECE4" w:val="clear"/>
            <w:tcMar>
              <w:top w:type="dxa" w:w="60"/>
              <w:left w:type="dxa" w:w="100"/>
              <w:bottom w:type="dxa" w:w="60"/>
              <w:right w:type="dxa" w:w="100"/>
            </w:tcMar>
            <w:vAlign w:val="center"/>
          </w:tcPr>
          <w:p>
            <w:pPr>
              <w:spacing w:after="40"/>
            </w:pPr>
            <w:r>
              <w:rPr>
                <w:sz w:val="20"/>
                <w:szCs w:val="20"/>
              </w:rPr>
              <w:t xml:space="preserve">流通・消費財</w:t>
            </w:r>
          </w:p>
        </w:tc>
        <w:tc>
          <w:tcPr>
            <w:tcW w:type="dxa" w:w="7300"/>
            <w:shd w:fill="F2ECE4" w:val="clear"/>
            <w:tcMar>
              <w:top w:type="dxa" w:w="60"/>
              <w:left w:type="dxa" w:w="100"/>
              <w:bottom w:type="dxa" w:w="60"/>
              <w:right w:type="dxa" w:w="100"/>
            </w:tcMar>
            <w:vAlign w:val="center"/>
          </w:tcPr>
          <w:p>
            <w:pPr>
              <w:spacing w:after="40"/>
            </w:pPr>
            <w:r>
              <w:rPr>
                <w:sz w:val="20"/>
                <w:szCs w:val="20"/>
              </w:rPr>
              <w:t xml:space="preserve">総合商社・専門商社・卸売／消費財／流通・小売／食品・飲料</w:t>
            </w:r>
          </w:p>
        </w:tc>
      </w:tr>
      <w:tr>
        <w:tc>
          <w:tcPr>
            <w:tcW w:type="dxa" w:w="2400"/>
            <w:shd w:fill="FFFFFF" w:val="clear"/>
            <w:tcMar>
              <w:top w:type="dxa" w:w="60"/>
              <w:left w:type="dxa" w:w="100"/>
              <w:bottom w:type="dxa" w:w="60"/>
              <w:right w:type="dxa" w:w="100"/>
            </w:tcMar>
            <w:vAlign w:val="center"/>
          </w:tcPr>
          <w:p>
            <w:pPr>
              <w:spacing w:after="40"/>
            </w:pPr>
            <w:r>
              <w:rPr>
                <w:sz w:val="20"/>
                <w:szCs w:val="20"/>
              </w:rPr>
              <w:t xml:space="preserve">金融</w:t>
            </w:r>
          </w:p>
        </w:tc>
        <w:tc>
          <w:tcPr>
            <w:tcW w:type="dxa" w:w="7300"/>
            <w:shd w:fill="FFFFFF" w:val="clear"/>
            <w:tcMar>
              <w:top w:type="dxa" w:w="60"/>
              <w:left w:type="dxa" w:w="100"/>
              <w:bottom w:type="dxa" w:w="60"/>
              <w:right w:type="dxa" w:w="100"/>
            </w:tcMar>
            <w:vAlign w:val="center"/>
          </w:tcPr>
          <w:p>
            <w:pPr>
              <w:spacing w:after="40"/>
            </w:pPr>
            <w:r>
              <w:rPr>
                <w:sz w:val="20"/>
                <w:szCs w:val="20"/>
              </w:rPr>
              <w:t xml:space="preserve">銀行・証券／保険／産業金融</w:t>
            </w:r>
          </w:p>
        </w:tc>
      </w:tr>
      <w:tr>
        <w:tc>
          <w:tcPr>
            <w:tcW w:type="dxa" w:w="2400"/>
            <w:shd w:fill="F2ECE4" w:val="clear"/>
            <w:tcMar>
              <w:top w:type="dxa" w:w="60"/>
              <w:left w:type="dxa" w:w="100"/>
              <w:bottom w:type="dxa" w:w="60"/>
              <w:right w:type="dxa" w:w="100"/>
            </w:tcMar>
            <w:vAlign w:val="center"/>
          </w:tcPr>
          <w:p>
            <w:pPr>
              <w:spacing w:after="40"/>
            </w:pPr>
            <w:r>
              <w:rPr>
                <w:sz w:val="20"/>
                <w:szCs w:val="20"/>
              </w:rPr>
              <w:t xml:space="preserve">インフラ・公共</w:t>
            </w:r>
          </w:p>
        </w:tc>
        <w:tc>
          <w:tcPr>
            <w:tcW w:type="dxa" w:w="7300"/>
            <w:shd w:fill="F2ECE4" w:val="clear"/>
            <w:tcMar>
              <w:top w:type="dxa" w:w="60"/>
              <w:left w:type="dxa" w:w="100"/>
              <w:bottom w:type="dxa" w:w="60"/>
              <w:right w:type="dxa" w:w="100"/>
            </w:tcMar>
            <w:vAlign w:val="center"/>
          </w:tcPr>
          <w:p>
            <w:pPr>
              <w:spacing w:after="40"/>
            </w:pPr>
            <w:r>
              <w:rPr>
                <w:sz w:val="20"/>
                <w:szCs w:val="20"/>
              </w:rPr>
              <w:t xml:space="preserve">自治体・文教・医療／中央省庁・公共／通信・メディア／運輸・不動産</w:t>
            </w:r>
          </w:p>
        </w:tc>
      </w:tr>
      <w:tr>
        <w:tc>
          <w:tcPr>
            <w:tcW w:type="dxa" w:w="2400"/>
            <w:shd w:fill="FFFFFF" w:val="clear"/>
            <w:tcMar>
              <w:top w:type="dxa" w:w="60"/>
              <w:left w:type="dxa" w:w="100"/>
              <w:bottom w:type="dxa" w:w="60"/>
              <w:right w:type="dxa" w:w="100"/>
            </w:tcMar>
            <w:vAlign w:val="center"/>
          </w:tcPr>
          <w:p>
            <w:pPr>
              <w:spacing w:after="40"/>
            </w:pPr>
            <w:r>
              <w:rPr>
                <w:sz w:val="20"/>
                <w:szCs w:val="20"/>
              </w:rPr>
              <w:t xml:space="preserve">その他</w:t>
            </w:r>
          </w:p>
        </w:tc>
        <w:tc>
          <w:tcPr>
            <w:tcW w:type="dxa" w:w="7300"/>
            <w:shd w:fill="FFFFFF" w:val="clear"/>
            <w:tcMar>
              <w:top w:type="dxa" w:w="60"/>
              <w:left w:type="dxa" w:w="100"/>
              <w:bottom w:type="dxa" w:w="60"/>
              <w:right w:type="dxa" w:w="100"/>
            </w:tcMar>
            <w:vAlign w:val="center"/>
          </w:tcPr>
          <w:p>
            <w:pPr>
              <w:spacing w:after="40"/>
            </w:pPr>
            <w:r>
              <w:rPr>
                <w:sz w:val="20"/>
                <w:szCs w:val="20"/>
              </w:rPr>
              <w:t xml:space="preserve">医薬／住設／プロセス産業</w:t>
            </w:r>
          </w:p>
        </w:tc>
      </w:tr>
    </w:tbl>
    <w:p>
      <w:pPr>
        <w:spacing w:after="120"/>
      </w:pPr>
    </w:p>
    <w:p>
      <w:pPr>
        <w:pStyle w:val="Heading2"/>
        <w:spacing w:after="120" w:before="300"/>
      </w:pPr>
      <w:r>
        <w:rPr>
          <w:b/>
          <w:bCs/>
          <w:color w:val="1F3864"/>
          <w:sz w:val="24"/>
          <w:szCs w:val="24"/>
        </w:rPr>
        <w:t xml:space="preserve">(2) Service Line Expertise（提供サービス）</w:t>
      </w:r>
    </w:p>
    <w:p>
      <w:pPr>
        <w:spacing w:after="120" w:line="300"/>
      </w:pPr>
      <w:r>
        <w:rPr>
          <w:sz w:val="21"/>
          <w:szCs w:val="21"/>
        </w:rPr>
        <w:t xml:space="preserve">「戦略」から「デジタルプロセス＆テクノロジー」まで、経営アジェンダ・改革テーマを一気通貫で網羅。</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shd w:fill="1F3864" w:val="clear"/>
            <w:tcMar>
              <w:top w:type="dxa" w:w="60"/>
              <w:left w:type="dxa" w:w="100"/>
              <w:bottom w:type="dxa" w:w="60"/>
              <w:right w:type="dxa" w:w="100"/>
            </w:tcMar>
            <w:vAlign w:val="center"/>
          </w:tcPr>
          <w:p>
            <w:r>
              <w:rPr>
                <w:b/>
                <w:bCs/>
                <w:color w:val="FFFFFF"/>
                <w:sz w:val="20"/>
                <w:szCs w:val="20"/>
              </w:rPr>
              <w:t xml:space="preserve">領域</w:t>
            </w:r>
          </w:p>
        </w:tc>
        <w:tc>
          <w:tcPr>
            <w:tcW w:type="dxa" w:w="7100"/>
            <w:shd w:fill="1F3864" w:val="clear"/>
            <w:tcMar>
              <w:top w:type="dxa" w:w="60"/>
              <w:left w:type="dxa" w:w="100"/>
              <w:bottom w:type="dxa" w:w="60"/>
              <w:right w:type="dxa" w:w="100"/>
            </w:tcMar>
            <w:vAlign w:val="center"/>
          </w:tcPr>
          <w:p>
            <w:r>
              <w:rPr>
                <w:b/>
                <w:bCs/>
                <w:color w:val="FFFFFF"/>
                <w:sz w:val="20"/>
                <w:szCs w:val="20"/>
              </w:rPr>
              <w:t xml:space="preserve">主なサービス</w:t>
            </w:r>
          </w:p>
        </w:tc>
      </w:tr>
      <w:tr>
        <w:tc>
          <w:tcPr>
            <w:tcW w:type="dxa" w:w="2600"/>
            <w:shd w:fill="FFFFFF" w:val="clear"/>
            <w:tcMar>
              <w:top w:type="dxa" w:w="60"/>
              <w:left w:type="dxa" w:w="100"/>
              <w:bottom w:type="dxa" w:w="60"/>
              <w:right w:type="dxa" w:w="100"/>
            </w:tcMar>
            <w:vAlign w:val="center"/>
          </w:tcPr>
          <w:p>
            <w:pPr>
              <w:spacing w:after="40"/>
            </w:pPr>
            <w:r>
              <w:rPr>
                <w:sz w:val="20"/>
                <w:szCs w:val="20"/>
              </w:rPr>
              <w:t xml:space="preserve">戦略</w:t>
            </w:r>
          </w:p>
        </w:tc>
        <w:tc>
          <w:tcPr>
            <w:tcW w:type="dxa" w:w="7100"/>
            <w:shd w:fill="FFFFFF" w:val="clear"/>
            <w:tcMar>
              <w:top w:type="dxa" w:w="60"/>
              <w:left w:type="dxa" w:w="100"/>
              <w:bottom w:type="dxa" w:w="60"/>
              <w:right w:type="dxa" w:w="100"/>
            </w:tcMar>
            <w:vAlign w:val="center"/>
          </w:tcPr>
          <w:p>
            <w:pPr>
              <w:spacing w:after="40"/>
            </w:pPr>
            <w:r>
              <w:rPr>
                <w:sz w:val="20"/>
                <w:szCs w:val="20"/>
              </w:rPr>
              <w:t xml:space="preserve">企業戦略／事業戦略（経営ビジョン策定、中期経営計画策定、デジタル戦略策定、サステナビリティ戦略策定、顧客戦略策定、バリューチェーン戦略策定）、事業開発（新規事業開発、M&amp;A、PMI）、企業変革（組織変革、経営管理変革、コスト構造変革、業務変革／BPR、カルチャー変革、戦略人事、セキュリティ）</w:t>
            </w:r>
          </w:p>
        </w:tc>
      </w:tr>
      <w:tr>
        <w:tc>
          <w:tcPr>
            <w:tcW w:type="dxa" w:w="2600"/>
            <w:shd w:fill="F2ECE4" w:val="clear"/>
            <w:tcMar>
              <w:top w:type="dxa" w:w="60"/>
              <w:left w:type="dxa" w:w="100"/>
              <w:bottom w:type="dxa" w:w="60"/>
              <w:right w:type="dxa" w:w="100"/>
            </w:tcMar>
            <w:vAlign w:val="center"/>
          </w:tcPr>
          <w:p>
            <w:pPr>
              <w:spacing w:after="40"/>
            </w:pPr>
            <w:r>
              <w:rPr>
                <w:sz w:val="20"/>
                <w:szCs w:val="20"/>
              </w:rPr>
              <w:t xml:space="preserve">デジタルイノベーション</w:t>
            </w:r>
          </w:p>
        </w:tc>
        <w:tc>
          <w:tcPr>
            <w:tcW w:type="dxa" w:w="7100"/>
            <w:shd w:fill="F2ECE4" w:val="clear"/>
            <w:tcMar>
              <w:top w:type="dxa" w:w="60"/>
              <w:left w:type="dxa" w:w="100"/>
              <w:bottom w:type="dxa" w:w="60"/>
              <w:right w:type="dxa" w:w="100"/>
            </w:tcMar>
            <w:vAlign w:val="center"/>
          </w:tcPr>
          <w:p>
            <w:pPr>
              <w:spacing w:after="40"/>
            </w:pPr>
            <w:r>
              <w:rPr>
                <w:sz w:val="20"/>
                <w:szCs w:val="20"/>
              </w:rPr>
              <w:t xml:space="preserve">デジタル時代の新規事業構想・実現支援、経営技術デザインと未来マネジメント改革支援、知的創造基盤創成支援、スタートアップ共創とエコシステム形成支援、次世代デジタルソリューション開発</w:t>
            </w:r>
          </w:p>
        </w:tc>
      </w:tr>
      <w:tr>
        <w:tc>
          <w:tcPr>
            <w:tcW w:type="dxa" w:w="2600"/>
            <w:shd w:fill="FFFFFF" w:val="clear"/>
            <w:tcMar>
              <w:top w:type="dxa" w:w="60"/>
              <w:left w:type="dxa" w:w="100"/>
              <w:bottom w:type="dxa" w:w="60"/>
              <w:right w:type="dxa" w:w="100"/>
            </w:tcMar>
            <w:vAlign w:val="center"/>
          </w:tcPr>
          <w:p>
            <w:pPr>
              <w:spacing w:after="40"/>
            </w:pPr>
            <w:r>
              <w:rPr>
                <w:sz w:val="20"/>
                <w:szCs w:val="20"/>
              </w:rPr>
              <w:t xml:space="preserve">マネジメント／テクノロジー</w:t>
            </w:r>
          </w:p>
        </w:tc>
        <w:tc>
          <w:tcPr>
            <w:tcW w:type="dxa" w:w="7100"/>
            <w:shd w:fill="FFFFFF" w:val="clear"/>
            <w:tcMar>
              <w:top w:type="dxa" w:w="60"/>
              <w:left w:type="dxa" w:w="100"/>
              <w:bottom w:type="dxa" w:w="60"/>
              <w:right w:type="dxa" w:w="100"/>
            </w:tcMar>
            <w:vAlign w:val="center"/>
          </w:tcPr>
          <w:p>
            <w:pPr>
              <w:spacing w:after="40"/>
            </w:pPr>
            <w:r>
              <w:rPr>
                <w:sz w:val="20"/>
                <w:szCs w:val="20"/>
              </w:rPr>
              <w:t xml:space="preserve">DX／IT戦略策定支援、DX／ITプログラム・プロジェクトマネジメント支援、DX／ITガバナンス構築支援、アジャイル導入支援、エンタープライズアーキテクチャ策定・構築支援</w:t>
            </w:r>
          </w:p>
        </w:tc>
      </w:tr>
      <w:tr>
        <w:tc>
          <w:tcPr>
            <w:tcW w:type="dxa" w:w="2600"/>
            <w:shd w:fill="F2ECE4" w:val="clear"/>
            <w:tcMar>
              <w:top w:type="dxa" w:w="60"/>
              <w:left w:type="dxa" w:w="100"/>
              <w:bottom w:type="dxa" w:w="60"/>
              <w:right w:type="dxa" w:w="100"/>
            </w:tcMar>
            <w:vAlign w:val="center"/>
          </w:tcPr>
          <w:p>
            <w:pPr>
              <w:spacing w:after="40"/>
            </w:pPr>
            <w:r>
              <w:rPr>
                <w:sz w:val="20"/>
                <w:szCs w:val="20"/>
              </w:rPr>
              <w:t xml:space="preserve">組織・人材／人事・人材管理</w:t>
            </w:r>
          </w:p>
        </w:tc>
        <w:tc>
          <w:tcPr>
            <w:tcW w:type="dxa" w:w="7100"/>
            <w:shd w:fill="F2ECE4" w:val="clear"/>
            <w:tcMar>
              <w:top w:type="dxa" w:w="60"/>
              <w:left w:type="dxa" w:w="100"/>
              <w:bottom w:type="dxa" w:w="60"/>
              <w:right w:type="dxa" w:w="100"/>
            </w:tcMar>
            <w:vAlign w:val="center"/>
          </w:tcPr>
          <w:p>
            <w:pPr>
              <w:spacing w:after="40"/>
            </w:pPr>
            <w:r>
              <w:rPr>
                <w:sz w:val="20"/>
                <w:szCs w:val="20"/>
              </w:rPr>
              <w:t xml:space="preserve">未来組織と未来人材のデザイン・育成支援、データドリブン人事実現、タレントマネジメント／グローバル人事管理、エンゲージメント向上支援、ウェルビーイング推進支援</w:t>
            </w:r>
          </w:p>
        </w:tc>
      </w:tr>
      <w:tr>
        <w:tc>
          <w:tcPr>
            <w:tcW w:type="dxa" w:w="2600"/>
            <w:shd w:fill="FFFFFF" w:val="clear"/>
            <w:tcMar>
              <w:top w:type="dxa" w:w="60"/>
              <w:left w:type="dxa" w:w="100"/>
              <w:bottom w:type="dxa" w:w="60"/>
              <w:right w:type="dxa" w:w="100"/>
            </w:tcMar>
            <w:vAlign w:val="center"/>
          </w:tcPr>
          <w:p>
            <w:pPr>
              <w:spacing w:after="40"/>
            </w:pPr>
            <w:r>
              <w:rPr>
                <w:sz w:val="20"/>
                <w:szCs w:val="20"/>
              </w:rPr>
              <w:t xml:space="preserve">会計・財務管理</w:t>
            </w:r>
          </w:p>
        </w:tc>
        <w:tc>
          <w:tcPr>
            <w:tcW w:type="dxa" w:w="7100"/>
            <w:shd w:fill="FFFFFF" w:val="clear"/>
            <w:tcMar>
              <w:top w:type="dxa" w:w="60"/>
              <w:left w:type="dxa" w:w="100"/>
              <w:bottom w:type="dxa" w:w="60"/>
              <w:right w:type="dxa" w:w="100"/>
            </w:tcMar>
            <w:vAlign w:val="center"/>
          </w:tcPr>
          <w:p>
            <w:pPr>
              <w:spacing w:after="40"/>
            </w:pPr>
            <w:r>
              <w:rPr>
                <w:sz w:val="20"/>
                <w:szCs w:val="20"/>
              </w:rPr>
              <w:t xml:space="preserve">経理・財務業務改革・DX改革、グローバル業績管理プロセス強化、グローバル・トレジャリー・マネジメント、不正検知／内部統制／GRC、ESG経営管理、事業再編に伴うPMI対応支援</w:t>
            </w:r>
          </w:p>
        </w:tc>
      </w:tr>
      <w:tr>
        <w:tc>
          <w:tcPr>
            <w:tcW w:type="dxa" w:w="2600"/>
            <w:shd w:fill="F2ECE4" w:val="clear"/>
            <w:tcMar>
              <w:top w:type="dxa" w:w="60"/>
              <w:left w:type="dxa" w:w="100"/>
              <w:bottom w:type="dxa" w:w="60"/>
              <w:right w:type="dxa" w:w="100"/>
            </w:tcMar>
            <w:vAlign w:val="center"/>
          </w:tcPr>
          <w:p>
            <w:pPr>
              <w:spacing w:after="40"/>
            </w:pPr>
            <w:r>
              <w:rPr>
                <w:sz w:val="20"/>
                <w:szCs w:val="20"/>
              </w:rPr>
              <w:t xml:space="preserve">サプライチェーン</w:t>
            </w:r>
          </w:p>
        </w:tc>
        <w:tc>
          <w:tcPr>
            <w:tcW w:type="dxa" w:w="7100"/>
            <w:shd w:fill="F2ECE4" w:val="clear"/>
            <w:tcMar>
              <w:top w:type="dxa" w:w="60"/>
              <w:left w:type="dxa" w:w="100"/>
              <w:bottom w:type="dxa" w:w="60"/>
              <w:right w:type="dxa" w:w="100"/>
            </w:tcMar>
            <w:vAlign w:val="center"/>
          </w:tcPr>
          <w:p>
            <w:pPr>
              <w:spacing w:after="40"/>
            </w:pPr>
            <w:r>
              <w:rPr>
                <w:sz w:val="20"/>
                <w:szCs w:val="20"/>
              </w:rPr>
              <w:t xml:space="preserve">サプライチェーンネットワーク最適化・再編支援、マネジメント・オペレーションレベル診断、低炭素サプライチェーン構築支援、グローバルS&amp;OP体制構築、グローバルMES統合、グローバルFTA推進</w:t>
            </w:r>
          </w:p>
        </w:tc>
      </w:tr>
      <w:tr>
        <w:tc>
          <w:tcPr>
            <w:tcW w:type="dxa" w:w="2600"/>
            <w:shd w:fill="FFFFFF" w:val="clear"/>
            <w:tcMar>
              <w:top w:type="dxa" w:w="60"/>
              <w:left w:type="dxa" w:w="100"/>
              <w:bottom w:type="dxa" w:w="60"/>
              <w:right w:type="dxa" w:w="100"/>
            </w:tcMar>
            <w:vAlign w:val="center"/>
          </w:tcPr>
          <w:p>
            <w:pPr>
              <w:spacing w:after="40"/>
            </w:pPr>
            <w:r>
              <w:rPr>
                <w:sz w:val="20"/>
                <w:szCs w:val="20"/>
              </w:rPr>
              <w:t xml:space="preserve">AI／データ利活用</w:t>
            </w:r>
          </w:p>
        </w:tc>
        <w:tc>
          <w:tcPr>
            <w:tcW w:type="dxa" w:w="7100"/>
            <w:shd w:fill="FFFFFF" w:val="clear"/>
            <w:tcMar>
              <w:top w:type="dxa" w:w="60"/>
              <w:left w:type="dxa" w:w="100"/>
              <w:bottom w:type="dxa" w:w="60"/>
              <w:right w:type="dxa" w:w="100"/>
            </w:tcMar>
            <w:vAlign w:val="center"/>
          </w:tcPr>
          <w:p>
            <w:pPr>
              <w:spacing w:after="40"/>
            </w:pPr>
            <w:r>
              <w:rPr>
                <w:sz w:val="20"/>
                <w:szCs w:val="20"/>
              </w:rPr>
              <w:t xml:space="preserve">データ利活用戦略策定支援、データアナリティクス支援、データガバナンス／データマネジメント策定・構築支援、データ分析プラットフォーム構築支援</w:t>
            </w:r>
          </w:p>
        </w:tc>
      </w:tr>
      <w:tr>
        <w:tc>
          <w:tcPr>
            <w:tcW w:type="dxa" w:w="2600"/>
            <w:shd w:fill="F2ECE4" w:val="clear"/>
            <w:tcMar>
              <w:top w:type="dxa" w:w="60"/>
              <w:left w:type="dxa" w:w="100"/>
              <w:bottom w:type="dxa" w:w="60"/>
              <w:right w:type="dxa" w:w="100"/>
            </w:tcMar>
            <w:vAlign w:val="center"/>
          </w:tcPr>
          <w:p>
            <w:pPr>
              <w:spacing w:after="40"/>
            </w:pPr>
            <w:r>
              <w:rPr>
                <w:sz w:val="20"/>
                <w:szCs w:val="20"/>
              </w:rPr>
              <w:t xml:space="preserve">経営基盤プラットフォーム（ABeam Cloud®）／アウトソーシング</w:t>
            </w:r>
          </w:p>
        </w:tc>
        <w:tc>
          <w:tcPr>
            <w:tcW w:type="dxa" w:w="7100"/>
            <w:shd w:fill="F2ECE4" w:val="clear"/>
            <w:tcMar>
              <w:top w:type="dxa" w:w="60"/>
              <w:left w:type="dxa" w:w="100"/>
              <w:bottom w:type="dxa" w:w="60"/>
              <w:right w:type="dxa" w:w="100"/>
            </w:tcMar>
            <w:vAlign w:val="center"/>
          </w:tcPr>
          <w:p>
            <w:pPr>
              <w:spacing w:after="40"/>
            </w:pPr>
            <w:r>
              <w:rPr>
                <w:sz w:val="20"/>
                <w:szCs w:val="20"/>
              </w:rPr>
              <w:t xml:space="preserve">ABeam Cloud活用戦略立案・開発・導入・運用、ERP業界別テンプレート、業務特化アプリケーション（SaaS）、経営基盤インフラサービス（IaaS）、ITアウトソーシング戦略策定・導入支援、データ分析アウトソーシング</w:t>
            </w:r>
          </w:p>
        </w:tc>
      </w:tr>
      <w:tr>
        <w:tc>
          <w:tcPr>
            <w:tcW w:type="dxa" w:w="2600"/>
            <w:shd w:fill="FFFFFF" w:val="clear"/>
            <w:tcMar>
              <w:top w:type="dxa" w:w="60"/>
              <w:left w:type="dxa" w:w="100"/>
              <w:bottom w:type="dxa" w:w="60"/>
              <w:right w:type="dxa" w:w="100"/>
            </w:tcMar>
            <w:vAlign w:val="center"/>
          </w:tcPr>
          <w:p>
            <w:pPr>
              <w:spacing w:after="40"/>
            </w:pPr>
            <w:r>
              <w:rPr>
                <w:sz w:val="20"/>
                <w:szCs w:val="20"/>
              </w:rPr>
              <w:t xml:space="preserve">カスタマーリレーションシップマネジメント</w:t>
            </w:r>
          </w:p>
        </w:tc>
        <w:tc>
          <w:tcPr>
            <w:tcW w:type="dxa" w:w="7100"/>
            <w:shd w:fill="FFFFFF" w:val="clear"/>
            <w:tcMar>
              <w:top w:type="dxa" w:w="60"/>
              <w:left w:type="dxa" w:w="100"/>
              <w:bottom w:type="dxa" w:w="60"/>
              <w:right w:type="dxa" w:w="100"/>
            </w:tcMar>
            <w:vAlign w:val="center"/>
          </w:tcPr>
          <w:p>
            <w:pPr>
              <w:spacing w:after="40"/>
            </w:pPr>
            <w:r>
              <w:rPr>
                <w:sz w:val="20"/>
                <w:szCs w:val="20"/>
              </w:rPr>
              <w:t xml:space="preserve">カスタマーエクスペリエンス変革、マーケティングトランスフォーメーション、セールストランスフォーメーション、カスタマーエンゲージメントトランスフォーメーション</w:t>
            </w:r>
          </w:p>
        </w:tc>
      </w:tr>
    </w:tbl>
    <w:p>
      <w:pPr>
        <w:spacing w:after="120"/>
      </w:pPr>
    </w:p>
    <w:p>
      <w:pPr>
        <w:pStyle w:val="Heading2"/>
        <w:spacing w:after="120" w:before="300"/>
      </w:pPr>
      <w:r>
        <w:rPr>
          <w:b/>
          <w:bCs/>
          <w:color w:val="1F3864"/>
          <w:sz w:val="24"/>
          <w:szCs w:val="24"/>
        </w:rPr>
        <w:t xml:space="preserve">(3) Global &amp; Regional Expertise（グローバル展開）</w:t>
      </w:r>
    </w:p>
    <w:p>
      <w:pPr>
        <w:spacing w:after="120" w:line="300"/>
      </w:pPr>
      <w:r>
        <w:rPr>
          <w:sz w:val="21"/>
          <w:szCs w:val="21"/>
        </w:rPr>
        <w:t xml:space="preserve">日本発・アジア発のグローバルコンサルティングファームとしての強みを活かし、世界各国にネットワークを展開。4つのポイントで構成される。</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shd w:fill="1F3864" w:val="clear"/>
            <w:tcMar>
              <w:top w:type="dxa" w:w="60"/>
              <w:left w:type="dxa" w:w="100"/>
              <w:bottom w:type="dxa" w:w="60"/>
              <w:right w:type="dxa" w:w="100"/>
            </w:tcMar>
            <w:vAlign w:val="center"/>
          </w:tcPr>
          <w:p>
            <w:r>
              <w:rPr>
                <w:b/>
                <w:bCs/>
                <w:color w:val="FFFFFF"/>
                <w:sz w:val="20"/>
                <w:szCs w:val="20"/>
              </w:rPr>
              <w:t xml:space="preserve">ポイント</w:t>
            </w:r>
          </w:p>
        </w:tc>
        <w:tc>
          <w:tcPr>
            <w:tcW w:type="dxa" w:w="7100"/>
            <w:shd w:fill="1F3864" w:val="clear"/>
            <w:tcMar>
              <w:top w:type="dxa" w:w="60"/>
              <w:left w:type="dxa" w:w="100"/>
              <w:bottom w:type="dxa" w:w="60"/>
              <w:right w:type="dxa" w:w="100"/>
            </w:tcMar>
            <w:vAlign w:val="center"/>
          </w:tcPr>
          <w:p>
            <w:r>
              <w:rPr>
                <w:b/>
                <w:bCs/>
                <w:color w:val="FFFFFF"/>
                <w:sz w:val="20"/>
                <w:szCs w:val="20"/>
              </w:rPr>
              <w:t xml:space="preserve">内容</w:t>
            </w:r>
          </w:p>
        </w:tc>
      </w:tr>
      <w:tr>
        <w:tc>
          <w:tcPr>
            <w:tcW w:type="dxa" w:w="2600"/>
            <w:shd w:fill="FFFFFF" w:val="clear"/>
            <w:tcMar>
              <w:top w:type="dxa" w:w="60"/>
              <w:left w:type="dxa" w:w="100"/>
              <w:bottom w:type="dxa" w:w="60"/>
              <w:right w:type="dxa" w:w="100"/>
            </w:tcMar>
            <w:vAlign w:val="center"/>
          </w:tcPr>
          <w:p>
            <w:pPr>
              <w:spacing w:after="40"/>
            </w:pPr>
            <w:r>
              <w:rPr>
                <w:sz w:val="20"/>
                <w:szCs w:val="20"/>
              </w:rPr>
              <w:t xml:space="preserve">独自のグローバル拠点</w:t>
            </w:r>
          </w:p>
        </w:tc>
        <w:tc>
          <w:tcPr>
            <w:tcW w:type="dxa" w:w="7100"/>
            <w:shd w:fill="FFFFFF" w:val="clear"/>
            <w:tcMar>
              <w:top w:type="dxa" w:w="60"/>
              <w:left w:type="dxa" w:w="100"/>
              <w:bottom w:type="dxa" w:w="60"/>
              <w:right w:type="dxa" w:w="100"/>
            </w:tcMar>
            <w:vAlign w:val="center"/>
          </w:tcPr>
          <w:p>
            <w:pPr>
              <w:spacing w:after="40"/>
            </w:pPr>
            <w:r>
              <w:rPr>
                <w:sz w:val="20"/>
                <w:szCs w:val="20"/>
              </w:rPr>
              <w:t xml:space="preserve">日本、アジア、欧州、北米・南米の各国に事業拠点を構え、各国・地域の法制度、商慣習、文化や風土を理解した経験豊富なコンサルタントが多数在籍</w:t>
            </w:r>
          </w:p>
        </w:tc>
      </w:tr>
      <w:tr>
        <w:tc>
          <w:tcPr>
            <w:tcW w:type="dxa" w:w="2600"/>
            <w:shd w:fill="F2ECE4" w:val="clear"/>
            <w:tcMar>
              <w:top w:type="dxa" w:w="60"/>
              <w:left w:type="dxa" w:w="100"/>
              <w:bottom w:type="dxa" w:w="60"/>
              <w:right w:type="dxa" w:w="100"/>
            </w:tcMar>
            <w:vAlign w:val="center"/>
          </w:tcPr>
          <w:p>
            <w:pPr>
              <w:spacing w:after="40"/>
            </w:pPr>
            <w:r>
              <w:rPr>
                <w:sz w:val="20"/>
                <w:szCs w:val="20"/>
              </w:rPr>
              <w:t xml:space="preserve">アライアンス・パートナー</w:t>
            </w:r>
          </w:p>
        </w:tc>
        <w:tc>
          <w:tcPr>
            <w:tcW w:type="dxa" w:w="7100"/>
            <w:shd w:fill="F2ECE4" w:val="clear"/>
            <w:tcMar>
              <w:top w:type="dxa" w:w="60"/>
              <w:left w:type="dxa" w:w="100"/>
              <w:bottom w:type="dxa" w:w="60"/>
              <w:right w:type="dxa" w:w="100"/>
            </w:tcMar>
            <w:vAlign w:val="center"/>
          </w:tcPr>
          <w:p>
            <w:pPr>
              <w:spacing w:after="40"/>
            </w:pPr>
            <w:r>
              <w:rPr>
                <w:sz w:val="20"/>
                <w:szCs w:val="20"/>
              </w:rPr>
              <w:t xml:space="preserve">欧州中心のBearingPoint Holdingをはじめ、Optimum Solutions、Globant、Lupus Consulting、JK Techなど、世界各国のパートナーとの戦略的かつ密接な協業</w:t>
            </w:r>
          </w:p>
        </w:tc>
      </w:tr>
      <w:tr>
        <w:tc>
          <w:tcPr>
            <w:tcW w:type="dxa" w:w="2600"/>
            <w:shd w:fill="FFFFFF" w:val="clear"/>
            <w:tcMar>
              <w:top w:type="dxa" w:w="60"/>
              <w:left w:type="dxa" w:w="100"/>
              <w:bottom w:type="dxa" w:w="60"/>
              <w:right w:type="dxa" w:w="100"/>
            </w:tcMar>
            <w:vAlign w:val="center"/>
          </w:tcPr>
          <w:p>
            <w:pPr>
              <w:spacing w:after="40"/>
            </w:pPr>
            <w:r>
              <w:rPr>
                <w:sz w:val="20"/>
                <w:szCs w:val="20"/>
              </w:rPr>
              <w:t xml:space="preserve">グローバル・アウトソーシング</w:t>
            </w:r>
          </w:p>
        </w:tc>
        <w:tc>
          <w:tcPr>
            <w:tcW w:type="dxa" w:w="7100"/>
            <w:shd w:fill="FFFFFF" w:val="clear"/>
            <w:tcMar>
              <w:top w:type="dxa" w:w="60"/>
              <w:left w:type="dxa" w:w="100"/>
              <w:bottom w:type="dxa" w:w="60"/>
              <w:right w:type="dxa" w:w="100"/>
            </w:tcMar>
            <w:vAlign w:val="center"/>
          </w:tcPr>
          <w:p>
            <w:pPr>
              <w:spacing w:after="40"/>
            </w:pPr>
            <w:r>
              <w:rPr>
                <w:sz w:val="20"/>
                <w:szCs w:val="20"/>
              </w:rPr>
              <w:t xml:space="preserve">日本、中国、マレーシア、米国の4カ国に、日本語・中国語・英語による24時間365日サポート可能なアウトソーシング拠点を保有</w:t>
            </w:r>
          </w:p>
        </w:tc>
      </w:tr>
      <w:tr>
        <w:tc>
          <w:tcPr>
            <w:tcW w:type="dxa" w:w="2600"/>
            <w:shd w:fill="F2ECE4" w:val="clear"/>
            <w:tcMar>
              <w:top w:type="dxa" w:w="60"/>
              <w:left w:type="dxa" w:w="100"/>
              <w:bottom w:type="dxa" w:w="60"/>
              <w:right w:type="dxa" w:w="100"/>
            </w:tcMar>
            <w:vAlign w:val="center"/>
          </w:tcPr>
          <w:p>
            <w:pPr>
              <w:spacing w:after="40"/>
            </w:pPr>
            <w:r>
              <w:rPr>
                <w:sz w:val="20"/>
                <w:szCs w:val="20"/>
              </w:rPr>
              <w:t xml:space="preserve">グローバル・デベロップメント・センター（GDC）</w:t>
            </w:r>
          </w:p>
        </w:tc>
        <w:tc>
          <w:tcPr>
            <w:tcW w:type="dxa" w:w="7100"/>
            <w:shd w:fill="F2ECE4" w:val="clear"/>
            <w:tcMar>
              <w:top w:type="dxa" w:w="60"/>
              <w:left w:type="dxa" w:w="100"/>
              <w:bottom w:type="dxa" w:w="60"/>
              <w:right w:type="dxa" w:w="100"/>
            </w:tcMar>
            <w:vAlign w:val="center"/>
          </w:tcPr>
          <w:p>
            <w:pPr>
              <w:spacing w:after="40"/>
            </w:pPr>
            <w:r>
              <w:rPr>
                <w:sz w:val="20"/>
                <w:szCs w:val="20"/>
              </w:rPr>
              <w:t xml:space="preserve">2005年に上海に設立。ISO27001、CMMIレベル5等の認証を取得した高品質な開発体制</w:t>
            </w:r>
          </w:p>
        </w:tc>
      </w:tr>
    </w:tbl>
    <w:p>
      <w:pPr>
        <w:spacing w:after="120"/>
      </w:pPr>
    </w:p>
    <w:p>
      <w:pPr>
        <w:spacing w:after="120" w:line="300"/>
      </w:pPr>
      <w:r>
        <w:rPr>
          <w:sz w:val="21"/>
          <w:szCs w:val="21"/>
        </w:rPr>
        <w:t xml:space="preserve">拠点は東京・大阪・名古屋・仙台・沖縄など国内主要都市に加え、ソウル・上海・北京・香港・台北・バンコク・シンガポール・クアラルンプール・ジャカルタ・ホーチミン・ハノイ等アジア各都市、デュッセルドルフ・ロンドン等欧州、ダラス・ニューヨーク・シカゴ・サンパウロ等米州を含む28拠点（うち海外23拠点）に展開。</w:t>
      </w:r>
    </w:p>
    <w:p>
      <w:pPr>
        <w:pStyle w:val="Heading1"/>
        <w:pBdr>
          <w:bottom w:val="single" w:color="1F3864" w:sz="8" w:space="4"/>
        </w:pBdr>
        <w:spacing w:after="200" w:before="400"/>
      </w:pPr>
      <w:r>
        <w:rPr>
          <w:b/>
          <w:bCs/>
          <w:color w:val="1F3864"/>
          <w:sz w:val="30"/>
          <w:szCs w:val="30"/>
        </w:rPr>
        <w:t xml:space="preserve">6. 強み・差別化ポイント</w:t>
      </w:r>
    </w:p>
    <w:p>
      <w:pPr>
        <w:spacing w:after="120" w:line="300"/>
      </w:pPr>
      <w:r>
        <w:rPr>
          <w:sz w:val="21"/>
          <w:szCs w:val="21"/>
        </w:rPr>
        <w:t xml:space="preserve">面接・ES等で「アビームならではの強み」を語る際に使えるポイントを整理する。</w:t>
      </w:r>
    </w:p>
    <w:p>
      <w:pPr>
        <w:pStyle w:val="ListParagraph"/>
        <w:numPr>
          <w:ilvl w:val="0"/>
          <w:numId w:val="2"/>
        </w:numPr>
        <w:spacing w:after="80" w:line="280"/>
      </w:pPr>
      <w:r>
        <w:rPr>
          <w:sz w:val="21"/>
          <w:szCs w:val="21"/>
        </w:rPr>
        <w:t xml:space="preserve">日本発・アジア発のグローバルファームという独自ポジション：欧米発のグローバル戦略ファーム（マッキンゼー、BCG等）やBig4系コンサル（デロイト、PwC、EY、KPMG）とは異なり、日本・アジアの文化や商習慣に根ざしながらグローバル対応するという独自路線。社名の由来（"横風を力に変えて進む"＋"Asian Beam"）にもその姿勢が表れている。</w:t>
      </w:r>
    </w:p>
    <w:p>
      <w:pPr>
        <w:pStyle w:val="ListParagraph"/>
        <w:numPr>
          <w:ilvl w:val="0"/>
          <w:numId w:val="2"/>
        </w:numPr>
        <w:spacing w:after="80" w:line="280"/>
      </w:pPr>
      <w:r>
        <w:rPr>
          <w:sz w:val="21"/>
          <w:szCs w:val="21"/>
        </w:rPr>
        <w:t xml:space="preserve">構想策定から運用・定着までワンストップで支援：戦略コンサル特有の「絵に描いた餅」で終わらせず、システム導入・業務改革・運用保守まで一気通貫で伴走する「実践的なソリューション（Real Solutions）」を重視。単なる提案でなく、コンサルタントのスキル・ノウハウをクライアントに移植（トランスファー）し、クライアント自身が「自走」できる状態を目指す点が独自の哲学。</w:t>
      </w:r>
    </w:p>
    <w:p>
      <w:pPr>
        <w:pStyle w:val="ListParagraph"/>
        <w:numPr>
          <w:ilvl w:val="0"/>
          <w:numId w:val="2"/>
        </w:numPr>
        <w:spacing w:after="80" w:line="280"/>
      </w:pPr>
      <w:r>
        <w:rPr>
          <w:sz w:val="21"/>
          <w:szCs w:val="21"/>
        </w:rPr>
        <w:t xml:space="preserve">NECとの戦略的資本提携によるテクノロジー実装力：2004年以来のNECとの資本業務提携により、AI・データ利活用やクラウド基盤（ABeam Cloud®）などデジタル実装面での基盤を強化。</w:t>
      </w:r>
    </w:p>
    <w:p>
      <w:pPr>
        <w:pStyle w:val="ListParagraph"/>
        <w:numPr>
          <w:ilvl w:val="0"/>
          <w:numId w:val="2"/>
        </w:numPr>
        <w:spacing w:after="80" w:line="280"/>
      </w:pPr>
      <w:r>
        <w:rPr>
          <w:sz w:val="21"/>
          <w:szCs w:val="21"/>
        </w:rPr>
        <w:t xml:space="preserve">財務・非財務を統合した企業価値向上メソドロジー：「柳モデル」（早稲田大学・柳良平客員教授）による非財務資本と企業価値の相関分析や、ROIC経営の専門家（日戸興史氏）の知見を活用したDigital ESGソリューションなど、日本企業のPBR向上・企業価値向上を支援する独自の分析手法を保有。</w:t>
      </w:r>
    </w:p>
    <w:p>
      <w:pPr>
        <w:pStyle w:val="ListParagraph"/>
        <w:numPr>
          <w:ilvl w:val="0"/>
          <w:numId w:val="2"/>
        </w:numPr>
        <w:spacing w:after="80" w:line="280"/>
      </w:pPr>
      <w:r>
        <w:rPr>
          <w:sz w:val="21"/>
          <w:szCs w:val="21"/>
        </w:rPr>
        <w:t xml:space="preserve">幅広い業界カバレッジと総合力：自動車・金融・通信・公共・エネルギーなど業界を問わない幅広いIndustry Expertiseを持ち、業界・業種の垣根を超えた連携や価値創出を実現できる。</w:t>
      </w:r>
    </w:p>
    <w:p>
      <w:pPr>
        <w:pStyle w:val="ListParagraph"/>
        <w:numPr>
          <w:ilvl w:val="0"/>
          <w:numId w:val="2"/>
        </w:numPr>
        <w:spacing w:after="80" w:line="280"/>
      </w:pPr>
      <w:r>
        <w:rPr>
          <w:sz w:val="21"/>
          <w:szCs w:val="21"/>
        </w:rPr>
        <w:t xml:space="preserve">高い顧客満足度と継続的な信頼関係：顧客満足度調査で総合満足度82.9点、継続意向89.1%という高水準（2023年4月〜2024年3月期）。</w:t>
      </w:r>
    </w:p>
    <w:p>
      <w:pPr>
        <w:pStyle w:val="ListParagraph"/>
        <w:numPr>
          <w:ilvl w:val="0"/>
          <w:numId w:val="2"/>
        </w:numPr>
        <w:spacing w:after="80" w:line="280"/>
      </w:pPr>
      <w:r>
        <w:rPr>
          <w:sz w:val="21"/>
          <w:szCs w:val="21"/>
        </w:rPr>
        <w:t xml:space="preserve">多様な働き方を支える人的資本経営：「ABeam Business Athlete®」を軸としたSmart Work／Diversity&amp;Inclusion／Well-Beingの推進により、社員のパフォーマンス最大化と定着を図る。</w:t>
      </w:r>
    </w:p>
    <w:p>
      <w:pPr>
        <w:pStyle w:val="Heading1"/>
        <w:pBdr>
          <w:bottom w:val="single" w:color="1F3864" w:sz="8" w:space="4"/>
        </w:pBdr>
        <w:spacing w:after="200" w:before="400"/>
      </w:pPr>
      <w:r>
        <w:rPr>
          <w:b/>
          <w:bCs/>
          <w:color w:val="1F3864"/>
          <w:sz w:val="30"/>
          <w:szCs w:val="30"/>
        </w:rPr>
        <w:t xml:space="preserve">7. 直近の業績・数字で見るアビーム</w:t>
      </w:r>
    </w:p>
    <w:p>
      <w:pPr>
        <w:pStyle w:val="Heading2"/>
        <w:spacing w:after="120" w:before="300"/>
      </w:pPr>
      <w:r>
        <w:rPr>
          <w:b/>
          <w:bCs/>
          <w:color w:val="1F3864"/>
          <w:sz w:val="24"/>
          <w:szCs w:val="24"/>
        </w:rPr>
        <w:t xml:space="preserve">売上高・従業員数の推移</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300"/>
      </w:tblGrid>
      <w:tr>
        <w:trPr>
          <w:tblHeader/>
        </w:trPr>
        <w:tc>
          <w:tcPr>
            <w:tcW w:type="dxa" w:w="3200"/>
            <w:shd w:fill="1F3864" w:val="clear"/>
            <w:tcMar>
              <w:top w:type="dxa" w:w="60"/>
              <w:left w:type="dxa" w:w="100"/>
              <w:bottom w:type="dxa" w:w="60"/>
              <w:right w:type="dxa" w:w="100"/>
            </w:tcMar>
            <w:vAlign w:val="center"/>
          </w:tcPr>
          <w:p>
            <w:r>
              <w:rPr>
                <w:b/>
                <w:bCs/>
                <w:color w:val="FFFFFF"/>
                <w:sz w:val="20"/>
                <w:szCs w:val="20"/>
              </w:rPr>
              <w:t xml:space="preserve">決算期</w:t>
            </w:r>
          </w:p>
        </w:tc>
        <w:tc>
          <w:tcPr>
            <w:tcW w:type="dxa" w:w="3200"/>
            <w:shd w:fill="1F3864" w:val="clear"/>
            <w:tcMar>
              <w:top w:type="dxa" w:w="60"/>
              <w:left w:type="dxa" w:w="100"/>
              <w:bottom w:type="dxa" w:w="60"/>
              <w:right w:type="dxa" w:w="100"/>
            </w:tcMar>
            <w:vAlign w:val="center"/>
          </w:tcPr>
          <w:p>
            <w:r>
              <w:rPr>
                <w:b/>
                <w:bCs/>
                <w:color w:val="FFFFFF"/>
                <w:sz w:val="20"/>
                <w:szCs w:val="20"/>
              </w:rPr>
              <w:t xml:space="preserve">連結売上高</w:t>
            </w:r>
          </w:p>
        </w:tc>
        <w:tc>
          <w:tcPr>
            <w:tcW w:type="dxa" w:w="3300"/>
            <w:shd w:fill="1F3864" w:val="clear"/>
            <w:tcMar>
              <w:top w:type="dxa" w:w="60"/>
              <w:left w:type="dxa" w:w="100"/>
              <w:bottom w:type="dxa" w:w="60"/>
              <w:right w:type="dxa" w:w="100"/>
            </w:tcMar>
            <w:vAlign w:val="center"/>
          </w:tcPr>
          <w:p>
            <w:r>
              <w:rPr>
                <w:b/>
                <w:bCs/>
                <w:color w:val="FFFFFF"/>
                <w:sz w:val="20"/>
                <w:szCs w:val="20"/>
              </w:rPr>
              <w:t xml:space="preserve">従業員数（連結・期初時点）</w:t>
            </w:r>
          </w:p>
        </w:tc>
      </w:tr>
      <w:tr>
        <w:tc>
          <w:tcPr>
            <w:tcW w:type="dxa" w:w="3200"/>
            <w:shd w:fill="FFFFFF" w:val="clear"/>
            <w:tcMar>
              <w:top w:type="dxa" w:w="60"/>
              <w:left w:type="dxa" w:w="100"/>
              <w:bottom w:type="dxa" w:w="60"/>
              <w:right w:type="dxa" w:w="100"/>
            </w:tcMar>
            <w:vAlign w:val="center"/>
          </w:tcPr>
          <w:p>
            <w:pPr>
              <w:spacing w:after="40"/>
            </w:pPr>
            <w:r>
              <w:rPr>
                <w:sz w:val="20"/>
                <w:szCs w:val="20"/>
              </w:rPr>
              <w:t xml:space="preserve">2024年3月期（2023年度）</w:t>
            </w:r>
          </w:p>
        </w:tc>
        <w:tc>
          <w:tcPr>
            <w:tcW w:type="dxa" w:w="3200"/>
            <w:shd w:fill="FFFFFF" w:val="clear"/>
            <w:tcMar>
              <w:top w:type="dxa" w:w="60"/>
              <w:left w:type="dxa" w:w="100"/>
              <w:bottom w:type="dxa" w:w="60"/>
              <w:right w:type="dxa" w:w="100"/>
            </w:tcMar>
            <w:vAlign w:val="center"/>
          </w:tcPr>
          <w:p>
            <w:pPr>
              <w:spacing w:after="40"/>
            </w:pPr>
            <w:r>
              <w:rPr>
                <w:sz w:val="20"/>
                <w:szCs w:val="20"/>
              </w:rPr>
              <w:t xml:space="preserve">1,408億円</w:t>
            </w:r>
          </w:p>
        </w:tc>
        <w:tc>
          <w:tcPr>
            <w:tcW w:type="dxa" w:w="3300"/>
            <w:shd w:fill="FFFFFF" w:val="clear"/>
            <w:tcMar>
              <w:top w:type="dxa" w:w="60"/>
              <w:left w:type="dxa" w:w="100"/>
              <w:bottom w:type="dxa" w:w="60"/>
              <w:right w:type="dxa" w:w="100"/>
            </w:tcMar>
            <w:vAlign w:val="center"/>
          </w:tcPr>
          <w:p>
            <w:pPr>
              <w:spacing w:after="40"/>
            </w:pPr>
            <w:r>
              <w:rPr>
                <w:sz w:val="20"/>
                <w:szCs w:val="20"/>
              </w:rPr>
              <w:t xml:space="preserve">8,278名（2024年4月1日現在）</w:t>
            </w:r>
          </w:p>
        </w:tc>
      </w:tr>
      <w:tr>
        <w:tc>
          <w:tcPr>
            <w:tcW w:type="dxa" w:w="3200"/>
            <w:shd w:fill="F2ECE4" w:val="clear"/>
            <w:tcMar>
              <w:top w:type="dxa" w:w="60"/>
              <w:left w:type="dxa" w:w="100"/>
              <w:bottom w:type="dxa" w:w="60"/>
              <w:right w:type="dxa" w:w="100"/>
            </w:tcMar>
            <w:vAlign w:val="center"/>
          </w:tcPr>
          <w:p>
            <w:pPr>
              <w:spacing w:after="40"/>
            </w:pPr>
            <w:r>
              <w:rPr>
                <w:sz w:val="20"/>
                <w:szCs w:val="20"/>
              </w:rPr>
              <w:t xml:space="preserve">2025年3月期（2024年度）</w:t>
            </w:r>
          </w:p>
        </w:tc>
        <w:tc>
          <w:tcPr>
            <w:tcW w:type="dxa" w:w="3200"/>
            <w:shd w:fill="F2ECE4" w:val="clear"/>
            <w:tcMar>
              <w:top w:type="dxa" w:w="60"/>
              <w:left w:type="dxa" w:w="100"/>
              <w:bottom w:type="dxa" w:w="60"/>
              <w:right w:type="dxa" w:w="100"/>
            </w:tcMar>
            <w:vAlign w:val="center"/>
          </w:tcPr>
          <w:p>
            <w:pPr>
              <w:spacing w:after="40"/>
            </w:pPr>
            <w:r>
              <w:rPr>
                <w:sz w:val="20"/>
                <w:szCs w:val="20"/>
              </w:rPr>
              <w:t xml:space="preserve">1,598億円（前期比 約+13.5%）</w:t>
            </w:r>
          </w:p>
        </w:tc>
        <w:tc>
          <w:tcPr>
            <w:tcW w:type="dxa" w:w="3300"/>
            <w:shd w:fill="F2ECE4" w:val="clear"/>
            <w:tcMar>
              <w:top w:type="dxa" w:w="60"/>
              <w:left w:type="dxa" w:w="100"/>
              <w:bottom w:type="dxa" w:w="60"/>
              <w:right w:type="dxa" w:w="100"/>
            </w:tcMar>
            <w:vAlign w:val="center"/>
          </w:tcPr>
          <w:p>
            <w:pPr>
              <w:spacing w:after="40"/>
            </w:pPr>
            <w:r>
              <w:rPr>
                <w:sz w:val="20"/>
                <w:szCs w:val="20"/>
              </w:rPr>
              <w:t xml:space="preserve">8,816名（2025年4月1日現在）</w:t>
            </w:r>
          </w:p>
        </w:tc>
      </w:tr>
    </w:tbl>
    <w:p>
      <w:pPr>
        <w:spacing w:after="120"/>
      </w:pPr>
    </w:p>
    <w:p>
      <w:pPr>
        <w:spacing w:after="160"/>
      </w:pPr>
      <w:r>
        <w:rPr>
          <w:i/>
          <w:iCs/>
          <w:color w:val="595959"/>
          <w:sz w:val="18"/>
          <w:szCs w:val="18"/>
        </w:rPr>
        <w:t xml:space="preserve">※ 売上高・従業員数は公開情報（各種転職・就活メディア、決算公告データベース等）に基づく参考値。一次情報（決算公告・NEC統合報告書等）での確認を推奨。</w:t>
      </w:r>
    </w:p>
    <w:p>
      <w:pPr>
        <w:pStyle w:val="Heading2"/>
        <w:spacing w:after="120" w:before="300"/>
      </w:pPr>
      <w:r>
        <w:rPr>
          <w:b/>
          <w:bCs/>
          <w:color w:val="1F3864"/>
          <w:sz w:val="24"/>
          <w:szCs w:val="24"/>
        </w:rPr>
        <w:t xml:space="preserve">数字で見るアビーム（Sustainability Report 2024 より）</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3100"/>
      </w:tblGrid>
      <w:tr>
        <w:trPr>
          <w:tblHeader/>
        </w:trPr>
        <w:tc>
          <w:tcPr>
            <w:tcW w:type="dxa" w:w="3000"/>
            <w:shd w:fill="1F3864" w:val="clear"/>
            <w:tcMar>
              <w:top w:type="dxa" w:w="60"/>
              <w:left w:type="dxa" w:w="100"/>
              <w:bottom w:type="dxa" w:w="60"/>
              <w:right w:type="dxa" w:w="100"/>
            </w:tcMar>
            <w:vAlign w:val="center"/>
          </w:tcPr>
          <w:p>
            <w:r>
              <w:rPr>
                <w:b/>
                <w:bCs/>
                <w:color w:val="FFFFFF"/>
                <w:sz w:val="20"/>
                <w:szCs w:val="20"/>
              </w:rPr>
              <w:t xml:space="preserve">指標</w:t>
            </w:r>
          </w:p>
        </w:tc>
        <w:tc>
          <w:tcPr>
            <w:tcW w:type="dxa" w:w="3600"/>
            <w:shd w:fill="1F3864" w:val="clear"/>
            <w:tcMar>
              <w:top w:type="dxa" w:w="60"/>
              <w:left w:type="dxa" w:w="100"/>
              <w:bottom w:type="dxa" w:w="60"/>
              <w:right w:type="dxa" w:w="100"/>
            </w:tcMar>
            <w:vAlign w:val="center"/>
          </w:tcPr>
          <w:p>
            <w:r>
              <w:rPr>
                <w:b/>
                <w:bCs/>
                <w:color w:val="FFFFFF"/>
                <w:sz w:val="20"/>
                <w:szCs w:val="20"/>
              </w:rPr>
              <w:t xml:space="preserve">数値</w:t>
            </w:r>
          </w:p>
        </w:tc>
        <w:tc>
          <w:tcPr>
            <w:tcW w:type="dxa" w:w="3100"/>
            <w:shd w:fill="1F3864" w:val="clear"/>
            <w:tcMar>
              <w:top w:type="dxa" w:w="60"/>
              <w:left w:type="dxa" w:w="100"/>
              <w:bottom w:type="dxa" w:w="60"/>
              <w:right w:type="dxa" w:w="100"/>
            </w:tcMar>
            <w:vAlign w:val="center"/>
          </w:tcPr>
          <w:p>
            <w:r>
              <w:rPr>
                <w:b/>
                <w:bCs/>
                <w:color w:val="FFFFFF"/>
                <w:sz w:val="20"/>
                <w:szCs w:val="20"/>
              </w:rPr>
              <w:t xml:space="preserve">期間・時点</w:t>
            </w:r>
          </w:p>
        </w:tc>
      </w:tr>
      <w:tr>
        <w:tc>
          <w:tcPr>
            <w:tcW w:type="dxa" w:w="3000"/>
            <w:shd w:fill="FFFFFF" w:val="clear"/>
            <w:tcMar>
              <w:top w:type="dxa" w:w="60"/>
              <w:left w:type="dxa" w:w="100"/>
              <w:bottom w:type="dxa" w:w="60"/>
              <w:right w:type="dxa" w:w="100"/>
            </w:tcMar>
            <w:vAlign w:val="center"/>
          </w:tcPr>
          <w:p>
            <w:pPr>
              <w:spacing w:after="40"/>
            </w:pPr>
            <w:r>
              <w:rPr>
                <w:sz w:val="20"/>
                <w:szCs w:val="20"/>
              </w:rPr>
              <w:t xml:space="preserve">従業員数</w:t>
            </w:r>
          </w:p>
        </w:tc>
        <w:tc>
          <w:tcPr>
            <w:tcW w:type="dxa" w:w="3600"/>
            <w:shd w:fill="FFFFFF" w:val="clear"/>
            <w:tcMar>
              <w:top w:type="dxa" w:w="60"/>
              <w:left w:type="dxa" w:w="100"/>
              <w:bottom w:type="dxa" w:w="60"/>
              <w:right w:type="dxa" w:w="100"/>
            </w:tcMar>
            <w:vAlign w:val="center"/>
          </w:tcPr>
          <w:p>
            <w:pPr>
              <w:spacing w:after="40"/>
            </w:pPr>
            <w:r>
              <w:rPr>
                <w:sz w:val="20"/>
                <w:szCs w:val="20"/>
              </w:rPr>
              <w:t xml:space="preserve">8,278名（連結）</w:t>
            </w:r>
          </w:p>
        </w:tc>
        <w:tc>
          <w:tcPr>
            <w:tcW w:type="dxa" w:w="3100"/>
            <w:shd w:fill="FFFFFF" w:val="clear"/>
            <w:tcMar>
              <w:top w:type="dxa" w:w="60"/>
              <w:left w:type="dxa" w:w="100"/>
              <w:bottom w:type="dxa" w:w="60"/>
              <w:right w:type="dxa" w:w="100"/>
            </w:tcMar>
            <w:vAlign w:val="center"/>
          </w:tcPr>
          <w:p>
            <w:pPr>
              <w:spacing w:after="40"/>
            </w:pPr>
            <w:r>
              <w:rPr>
                <w:sz w:val="20"/>
                <w:szCs w:val="20"/>
              </w:rPr>
              <w:t xml:space="preserve">2024年4月1日現在（うち海外所在の従業員割合1.7%）</w:t>
            </w:r>
          </w:p>
        </w:tc>
      </w:tr>
      <w:tr>
        <w:tc>
          <w:tcPr>
            <w:tcW w:type="dxa" w:w="3000"/>
            <w:shd w:fill="F2ECE4" w:val="clear"/>
            <w:tcMar>
              <w:top w:type="dxa" w:w="60"/>
              <w:left w:type="dxa" w:w="100"/>
              <w:bottom w:type="dxa" w:w="60"/>
              <w:right w:type="dxa" w:w="100"/>
            </w:tcMar>
            <w:vAlign w:val="center"/>
          </w:tcPr>
          <w:p>
            <w:pPr>
              <w:spacing w:after="40"/>
            </w:pPr>
            <w:r>
              <w:rPr>
                <w:sz w:val="20"/>
                <w:szCs w:val="20"/>
              </w:rPr>
              <w:t xml:space="preserve">全従業員における女性比率</w:t>
            </w:r>
          </w:p>
        </w:tc>
        <w:tc>
          <w:tcPr>
            <w:tcW w:type="dxa" w:w="3600"/>
            <w:shd w:fill="F2ECE4" w:val="clear"/>
            <w:tcMar>
              <w:top w:type="dxa" w:w="60"/>
              <w:left w:type="dxa" w:w="100"/>
              <w:bottom w:type="dxa" w:w="60"/>
              <w:right w:type="dxa" w:w="100"/>
            </w:tcMar>
            <w:vAlign w:val="center"/>
          </w:tcPr>
          <w:p>
            <w:pPr>
              <w:spacing w:after="40"/>
            </w:pPr>
            <w:r>
              <w:rPr>
                <w:sz w:val="20"/>
                <w:szCs w:val="20"/>
              </w:rPr>
              <w:t xml:space="preserve">28.7%（管理職における女性比率15.8%）</w:t>
            </w:r>
          </w:p>
        </w:tc>
        <w:tc>
          <w:tcPr>
            <w:tcW w:type="dxa" w:w="3100"/>
            <w:shd w:fill="F2ECE4" w:val="clear"/>
            <w:tcMar>
              <w:top w:type="dxa" w:w="60"/>
              <w:left w:type="dxa" w:w="100"/>
              <w:bottom w:type="dxa" w:w="60"/>
              <w:right w:type="dxa" w:w="100"/>
            </w:tcMar>
            <w:vAlign w:val="center"/>
          </w:tcPr>
          <w:p>
            <w:pPr>
              <w:spacing w:after="40"/>
            </w:pPr>
            <w:r>
              <w:rPr>
                <w:sz w:val="20"/>
                <w:szCs w:val="20"/>
              </w:rPr>
              <w:t xml:space="preserve">2024年3月31日時点</w:t>
            </w:r>
          </w:p>
        </w:tc>
      </w:tr>
      <w:tr>
        <w:tc>
          <w:tcPr>
            <w:tcW w:type="dxa" w:w="3000"/>
            <w:shd w:fill="FFFFFF" w:val="clear"/>
            <w:tcMar>
              <w:top w:type="dxa" w:w="60"/>
              <w:left w:type="dxa" w:w="100"/>
              <w:bottom w:type="dxa" w:w="60"/>
              <w:right w:type="dxa" w:w="100"/>
            </w:tcMar>
            <w:vAlign w:val="center"/>
          </w:tcPr>
          <w:p>
            <w:pPr>
              <w:spacing w:after="40"/>
            </w:pPr>
            <w:r>
              <w:rPr>
                <w:sz w:val="20"/>
                <w:szCs w:val="20"/>
              </w:rPr>
              <w:t xml:space="preserve">全従業員の退職率</w:t>
            </w:r>
          </w:p>
        </w:tc>
        <w:tc>
          <w:tcPr>
            <w:tcW w:type="dxa" w:w="3600"/>
            <w:shd w:fill="FFFFFF" w:val="clear"/>
            <w:tcMar>
              <w:top w:type="dxa" w:w="60"/>
              <w:left w:type="dxa" w:w="100"/>
              <w:bottom w:type="dxa" w:w="60"/>
              <w:right w:type="dxa" w:w="100"/>
            </w:tcMar>
            <w:vAlign w:val="center"/>
          </w:tcPr>
          <w:p>
            <w:pPr>
              <w:spacing w:after="40"/>
            </w:pPr>
            <w:r>
              <w:rPr>
                <w:sz w:val="20"/>
                <w:szCs w:val="20"/>
              </w:rPr>
              <w:t xml:space="preserve">7.2%（自主退職率5.1%）</w:t>
            </w:r>
          </w:p>
        </w:tc>
        <w:tc>
          <w:tcPr>
            <w:tcW w:type="dxa" w:w="3100"/>
            <w:shd w:fill="FFFFFF" w:val="clear"/>
            <w:tcMar>
              <w:top w:type="dxa" w:w="60"/>
              <w:left w:type="dxa" w:w="100"/>
              <w:bottom w:type="dxa" w:w="60"/>
              <w:right w:type="dxa" w:w="100"/>
            </w:tcMar>
            <w:vAlign w:val="center"/>
          </w:tcPr>
          <w:p>
            <w:pPr>
              <w:spacing w:after="40"/>
            </w:pPr>
            <w:r>
              <w:rPr>
                <w:sz w:val="20"/>
                <w:szCs w:val="20"/>
              </w:rPr>
              <w:t xml:space="preserve">2023年4月1日〜2024年3月31日</w:t>
            </w:r>
          </w:p>
        </w:tc>
      </w:tr>
      <w:tr>
        <w:tc>
          <w:tcPr>
            <w:tcW w:type="dxa" w:w="3000"/>
            <w:shd w:fill="F2ECE4" w:val="clear"/>
            <w:tcMar>
              <w:top w:type="dxa" w:w="60"/>
              <w:left w:type="dxa" w:w="100"/>
              <w:bottom w:type="dxa" w:w="60"/>
              <w:right w:type="dxa" w:w="100"/>
            </w:tcMar>
            <w:vAlign w:val="center"/>
          </w:tcPr>
          <w:p>
            <w:pPr>
              <w:spacing w:after="40"/>
            </w:pPr>
            <w:r>
              <w:rPr>
                <w:sz w:val="20"/>
                <w:szCs w:val="20"/>
              </w:rPr>
              <w:t xml:space="preserve">産休・育休取得率（女性）</w:t>
            </w:r>
          </w:p>
        </w:tc>
        <w:tc>
          <w:tcPr>
            <w:tcW w:type="dxa" w:w="3600"/>
            <w:shd w:fill="F2ECE4" w:val="clear"/>
            <w:tcMar>
              <w:top w:type="dxa" w:w="60"/>
              <w:left w:type="dxa" w:w="100"/>
              <w:bottom w:type="dxa" w:w="60"/>
              <w:right w:type="dxa" w:w="100"/>
            </w:tcMar>
            <w:vAlign w:val="center"/>
          </w:tcPr>
          <w:p>
            <w:pPr>
              <w:spacing w:after="40"/>
            </w:pPr>
            <w:r>
              <w:rPr>
                <w:sz w:val="20"/>
                <w:szCs w:val="20"/>
              </w:rPr>
              <w:t xml:space="preserve">100%</w:t>
            </w:r>
          </w:p>
        </w:tc>
        <w:tc>
          <w:tcPr>
            <w:tcW w:type="dxa" w:w="3100"/>
            <w:shd w:fill="F2ECE4" w:val="clear"/>
            <w:tcMar>
              <w:top w:type="dxa" w:w="60"/>
              <w:left w:type="dxa" w:w="100"/>
              <w:bottom w:type="dxa" w:w="60"/>
              <w:right w:type="dxa" w:w="100"/>
            </w:tcMar>
            <w:vAlign w:val="center"/>
          </w:tcPr>
          <w:p>
            <w:pPr>
              <w:spacing w:after="40"/>
            </w:pPr>
            <w:r>
              <w:rPr>
                <w:sz w:val="20"/>
                <w:szCs w:val="20"/>
              </w:rPr>
              <w:t xml:space="preserve">同上</w:t>
            </w:r>
          </w:p>
        </w:tc>
      </w:tr>
      <w:tr>
        <w:tc>
          <w:tcPr>
            <w:tcW w:type="dxa" w:w="3000"/>
            <w:shd w:fill="FFFFFF" w:val="clear"/>
            <w:tcMar>
              <w:top w:type="dxa" w:w="60"/>
              <w:left w:type="dxa" w:w="100"/>
              <w:bottom w:type="dxa" w:w="60"/>
              <w:right w:type="dxa" w:w="100"/>
            </w:tcMar>
            <w:vAlign w:val="center"/>
          </w:tcPr>
          <w:p>
            <w:pPr>
              <w:spacing w:after="40"/>
            </w:pPr>
            <w:r>
              <w:rPr>
                <w:sz w:val="20"/>
                <w:szCs w:val="20"/>
              </w:rPr>
              <w:t xml:space="preserve">育休取得率（男性）</w:t>
            </w:r>
          </w:p>
        </w:tc>
        <w:tc>
          <w:tcPr>
            <w:tcW w:type="dxa" w:w="3600"/>
            <w:shd w:fill="FFFFFF" w:val="clear"/>
            <w:tcMar>
              <w:top w:type="dxa" w:w="60"/>
              <w:left w:type="dxa" w:w="100"/>
              <w:bottom w:type="dxa" w:w="60"/>
              <w:right w:type="dxa" w:w="100"/>
            </w:tcMar>
            <w:vAlign w:val="center"/>
          </w:tcPr>
          <w:p>
            <w:pPr>
              <w:spacing w:after="40"/>
            </w:pPr>
            <w:r>
              <w:rPr>
                <w:sz w:val="20"/>
                <w:szCs w:val="20"/>
              </w:rPr>
              <w:t xml:space="preserve">52.2%（平均取得日数111日）</w:t>
            </w:r>
          </w:p>
        </w:tc>
        <w:tc>
          <w:tcPr>
            <w:tcW w:type="dxa" w:w="3100"/>
            <w:shd w:fill="FFFFFF" w:val="clear"/>
            <w:tcMar>
              <w:top w:type="dxa" w:w="60"/>
              <w:left w:type="dxa" w:w="100"/>
              <w:bottom w:type="dxa" w:w="60"/>
              <w:right w:type="dxa" w:w="100"/>
            </w:tcMar>
            <w:vAlign w:val="center"/>
          </w:tcPr>
          <w:p>
            <w:pPr>
              <w:spacing w:after="40"/>
            </w:pPr>
            <w:r>
              <w:rPr>
                <w:sz w:val="20"/>
                <w:szCs w:val="20"/>
              </w:rPr>
              <w:t xml:space="preserve">同上</w:t>
            </w:r>
          </w:p>
        </w:tc>
      </w:tr>
      <w:tr>
        <w:tc>
          <w:tcPr>
            <w:tcW w:type="dxa" w:w="3000"/>
            <w:shd w:fill="F2ECE4" w:val="clear"/>
            <w:tcMar>
              <w:top w:type="dxa" w:w="60"/>
              <w:left w:type="dxa" w:w="100"/>
              <w:bottom w:type="dxa" w:w="60"/>
              <w:right w:type="dxa" w:w="100"/>
            </w:tcMar>
            <w:vAlign w:val="center"/>
          </w:tcPr>
          <w:p>
            <w:pPr>
              <w:spacing w:after="40"/>
            </w:pPr>
            <w:r>
              <w:rPr>
                <w:sz w:val="20"/>
                <w:szCs w:val="20"/>
              </w:rPr>
              <w:t xml:space="preserve">キャリア開発の定期レビュー実施率</w:t>
            </w:r>
          </w:p>
        </w:tc>
        <w:tc>
          <w:tcPr>
            <w:tcW w:type="dxa" w:w="3600"/>
            <w:shd w:fill="F2ECE4" w:val="clear"/>
            <w:tcMar>
              <w:top w:type="dxa" w:w="60"/>
              <w:left w:type="dxa" w:w="100"/>
              <w:bottom w:type="dxa" w:w="60"/>
              <w:right w:type="dxa" w:w="100"/>
            </w:tcMar>
            <w:vAlign w:val="center"/>
          </w:tcPr>
          <w:p>
            <w:pPr>
              <w:spacing w:after="40"/>
            </w:pPr>
            <w:r>
              <w:rPr>
                <w:sz w:val="20"/>
                <w:szCs w:val="20"/>
              </w:rPr>
              <w:t xml:space="preserve">100%</w:t>
            </w:r>
          </w:p>
        </w:tc>
        <w:tc>
          <w:tcPr>
            <w:tcW w:type="dxa" w:w="3100"/>
            <w:shd w:fill="F2ECE4" w:val="clear"/>
            <w:tcMar>
              <w:top w:type="dxa" w:w="60"/>
              <w:left w:type="dxa" w:w="100"/>
              <w:bottom w:type="dxa" w:w="60"/>
              <w:right w:type="dxa" w:w="100"/>
            </w:tcMar>
            <w:vAlign w:val="center"/>
          </w:tcPr>
          <w:p>
            <w:pPr>
              <w:spacing w:after="40"/>
            </w:pPr>
            <w:r>
              <w:rPr>
                <w:sz w:val="20"/>
                <w:szCs w:val="20"/>
              </w:rPr>
              <w:t xml:space="preserve">同上</w:t>
            </w:r>
          </w:p>
        </w:tc>
      </w:tr>
      <w:tr>
        <w:tc>
          <w:tcPr>
            <w:tcW w:type="dxa" w:w="3000"/>
            <w:shd w:fill="FFFFFF" w:val="clear"/>
            <w:tcMar>
              <w:top w:type="dxa" w:w="60"/>
              <w:left w:type="dxa" w:w="100"/>
              <w:bottom w:type="dxa" w:w="60"/>
              <w:right w:type="dxa" w:w="100"/>
            </w:tcMar>
            <w:vAlign w:val="center"/>
          </w:tcPr>
          <w:p>
            <w:pPr>
              <w:spacing w:after="40"/>
            </w:pPr>
            <w:r>
              <w:rPr>
                <w:sz w:val="20"/>
                <w:szCs w:val="20"/>
              </w:rPr>
              <w:t xml:space="preserve">顧客満足度（総合的な満足度）</w:t>
            </w:r>
          </w:p>
        </w:tc>
        <w:tc>
          <w:tcPr>
            <w:tcW w:type="dxa" w:w="3600"/>
            <w:shd w:fill="FFFFFF" w:val="clear"/>
            <w:tcMar>
              <w:top w:type="dxa" w:w="60"/>
              <w:left w:type="dxa" w:w="100"/>
              <w:bottom w:type="dxa" w:w="60"/>
              <w:right w:type="dxa" w:w="100"/>
            </w:tcMar>
            <w:vAlign w:val="center"/>
          </w:tcPr>
          <w:p>
            <w:pPr>
              <w:spacing w:after="40"/>
            </w:pPr>
            <w:r>
              <w:rPr>
                <w:sz w:val="20"/>
                <w:szCs w:val="20"/>
              </w:rPr>
              <w:t xml:space="preserve">82.9点／100点</w:t>
            </w:r>
          </w:p>
        </w:tc>
        <w:tc>
          <w:tcPr>
            <w:tcW w:type="dxa" w:w="3100"/>
            <w:shd w:fill="FFFFFF" w:val="clear"/>
            <w:tcMar>
              <w:top w:type="dxa" w:w="60"/>
              <w:left w:type="dxa" w:w="100"/>
              <w:bottom w:type="dxa" w:w="60"/>
              <w:right w:type="dxa" w:w="100"/>
            </w:tcMar>
            <w:vAlign w:val="center"/>
          </w:tcPr>
          <w:p>
            <w:pPr>
              <w:spacing w:after="40"/>
            </w:pPr>
            <w:r>
              <w:rPr>
                <w:sz w:val="20"/>
                <w:szCs w:val="20"/>
              </w:rPr>
              <w:t xml:space="preserve">2023年4月1日〜2024年3月31日</w:t>
            </w:r>
          </w:p>
        </w:tc>
      </w:tr>
      <w:tr>
        <w:tc>
          <w:tcPr>
            <w:tcW w:type="dxa" w:w="3000"/>
            <w:shd w:fill="F2ECE4" w:val="clear"/>
            <w:tcMar>
              <w:top w:type="dxa" w:w="60"/>
              <w:left w:type="dxa" w:w="100"/>
              <w:bottom w:type="dxa" w:w="60"/>
              <w:right w:type="dxa" w:w="100"/>
            </w:tcMar>
            <w:vAlign w:val="center"/>
          </w:tcPr>
          <w:p>
            <w:pPr>
              <w:spacing w:after="40"/>
            </w:pPr>
            <w:r>
              <w:rPr>
                <w:sz w:val="20"/>
                <w:szCs w:val="20"/>
              </w:rPr>
              <w:t xml:space="preserve">顧客満足度（継続意向）</w:t>
            </w:r>
          </w:p>
        </w:tc>
        <w:tc>
          <w:tcPr>
            <w:tcW w:type="dxa" w:w="3600"/>
            <w:shd w:fill="F2ECE4" w:val="clear"/>
            <w:tcMar>
              <w:top w:type="dxa" w:w="60"/>
              <w:left w:type="dxa" w:w="100"/>
              <w:bottom w:type="dxa" w:w="60"/>
              <w:right w:type="dxa" w:w="100"/>
            </w:tcMar>
            <w:vAlign w:val="center"/>
          </w:tcPr>
          <w:p>
            <w:pPr>
              <w:spacing w:after="40"/>
            </w:pPr>
            <w:r>
              <w:rPr>
                <w:sz w:val="20"/>
                <w:szCs w:val="20"/>
              </w:rPr>
              <w:t xml:space="preserve">89.1%</w:t>
            </w:r>
          </w:p>
        </w:tc>
        <w:tc>
          <w:tcPr>
            <w:tcW w:type="dxa" w:w="3100"/>
            <w:shd w:fill="F2ECE4" w:val="clear"/>
            <w:tcMar>
              <w:top w:type="dxa" w:w="60"/>
              <w:left w:type="dxa" w:w="100"/>
              <w:bottom w:type="dxa" w:w="60"/>
              <w:right w:type="dxa" w:w="100"/>
            </w:tcMar>
            <w:vAlign w:val="center"/>
          </w:tcPr>
          <w:p>
            <w:pPr>
              <w:spacing w:after="40"/>
            </w:pPr>
            <w:r>
              <w:rPr>
                <w:sz w:val="20"/>
                <w:szCs w:val="20"/>
              </w:rPr>
              <w:t xml:space="preserve">同上</w:t>
            </w:r>
          </w:p>
        </w:tc>
      </w:tr>
      <w:tr>
        <w:tc>
          <w:tcPr>
            <w:tcW w:type="dxa" w:w="3000"/>
            <w:shd w:fill="FFFFFF" w:val="clear"/>
            <w:tcMar>
              <w:top w:type="dxa" w:w="60"/>
              <w:left w:type="dxa" w:w="100"/>
              <w:bottom w:type="dxa" w:w="60"/>
              <w:right w:type="dxa" w:w="100"/>
            </w:tcMar>
            <w:vAlign w:val="center"/>
          </w:tcPr>
          <w:p>
            <w:pPr>
              <w:spacing w:after="40"/>
            </w:pPr>
            <w:r>
              <w:rPr>
                <w:sz w:val="20"/>
                <w:szCs w:val="20"/>
              </w:rPr>
              <w:t xml:space="preserve">拠点数／提携パートナー拠点数</w:t>
            </w:r>
          </w:p>
        </w:tc>
        <w:tc>
          <w:tcPr>
            <w:tcW w:type="dxa" w:w="3600"/>
            <w:shd w:fill="FFFFFF" w:val="clear"/>
            <w:tcMar>
              <w:top w:type="dxa" w:w="60"/>
              <w:left w:type="dxa" w:w="100"/>
              <w:bottom w:type="dxa" w:w="60"/>
              <w:right w:type="dxa" w:w="100"/>
            </w:tcMar>
            <w:vAlign w:val="center"/>
          </w:tcPr>
          <w:p>
            <w:pPr>
              <w:spacing w:after="40"/>
            </w:pPr>
            <w:r>
              <w:rPr>
                <w:sz w:val="20"/>
                <w:szCs w:val="20"/>
              </w:rPr>
              <w:t xml:space="preserve">28拠点（海外23拠点）／132拠点</w:t>
            </w:r>
          </w:p>
        </w:tc>
        <w:tc>
          <w:tcPr>
            <w:tcW w:type="dxa" w:w="3100"/>
            <w:shd w:fill="FFFFFF" w:val="clear"/>
            <w:tcMar>
              <w:top w:type="dxa" w:w="60"/>
              <w:left w:type="dxa" w:w="100"/>
              <w:bottom w:type="dxa" w:w="60"/>
              <w:right w:type="dxa" w:w="100"/>
            </w:tcMar>
            <w:vAlign w:val="center"/>
          </w:tcPr>
          <w:p>
            <w:pPr>
              <w:spacing w:after="40"/>
            </w:pPr>
            <w:r>
              <w:rPr>
                <w:sz w:val="20"/>
                <w:szCs w:val="20"/>
              </w:rPr>
              <w:t xml:space="preserve">2024年4月1日現在</w:t>
            </w:r>
          </w:p>
        </w:tc>
      </w:tr>
    </w:tbl>
    <w:p>
      <w:pPr>
        <w:pStyle w:val="Heading1"/>
        <w:pBdr>
          <w:bottom w:val="single" w:color="1F3864" w:sz="8" w:space="4"/>
        </w:pBdr>
        <w:spacing w:after="200" w:before="400"/>
      </w:pPr>
      <w:r>
        <w:rPr>
          <w:b/>
          <w:bCs/>
          <w:color w:val="1F3864"/>
          <w:sz w:val="30"/>
          <w:szCs w:val="30"/>
        </w:rPr>
        <w:t xml:space="preserve">8. 人的資本経営・サステナビリティの取り組み</w:t>
      </w:r>
    </w:p>
    <w:p>
      <w:pPr>
        <w:pStyle w:val="Heading2"/>
        <w:spacing w:after="120" w:before="300"/>
      </w:pPr>
      <w:r>
        <w:rPr>
          <w:b/>
          <w:bCs/>
          <w:color w:val="1F3864"/>
          <w:sz w:val="24"/>
          <w:szCs w:val="24"/>
        </w:rPr>
        <w:t xml:space="preserve">ワークスタイル変革「ABeam Business Athlete®」</w:t>
      </w:r>
    </w:p>
    <w:p>
      <w:pPr>
        <w:spacing w:after="120" w:line="300"/>
      </w:pPr>
      <w:r>
        <w:rPr>
          <w:sz w:val="21"/>
          <w:szCs w:val="21"/>
        </w:rPr>
        <w:t xml:space="preserve">2017年より推進。目指す姿を「ビジネス界のアスリート」と表現し、多様な社員が自律してコンディションを整え生産性・創造性を高めるとともに、社会の変化にしなやかに対応することを目指す。3つのイニシアチブで構成。</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300"/>
      </w:tblGrid>
      <w:tr>
        <w:trPr>
          <w:tblHeader/>
        </w:trPr>
        <w:tc>
          <w:tcPr>
            <w:tcW w:type="dxa" w:w="2200"/>
            <w:shd w:fill="1F3864" w:val="clear"/>
            <w:tcMar>
              <w:top w:type="dxa" w:w="60"/>
              <w:left w:type="dxa" w:w="100"/>
              <w:bottom w:type="dxa" w:w="60"/>
              <w:right w:type="dxa" w:w="100"/>
            </w:tcMar>
            <w:vAlign w:val="center"/>
          </w:tcPr>
          <w:p>
            <w:r>
              <w:rPr>
                <w:b/>
                <w:bCs/>
                <w:color w:val="FFFFFF"/>
                <w:sz w:val="20"/>
                <w:szCs w:val="20"/>
              </w:rPr>
              <w:t xml:space="preserve">イニシアチブ</w:t>
            </w:r>
          </w:p>
        </w:tc>
        <w:tc>
          <w:tcPr>
            <w:tcW w:type="dxa" w:w="3200"/>
            <w:shd w:fill="1F3864" w:val="clear"/>
            <w:tcMar>
              <w:top w:type="dxa" w:w="60"/>
              <w:left w:type="dxa" w:w="100"/>
              <w:bottom w:type="dxa" w:w="60"/>
              <w:right w:type="dxa" w:w="100"/>
            </w:tcMar>
            <w:vAlign w:val="center"/>
          </w:tcPr>
          <w:p>
            <w:r>
              <w:rPr>
                <w:b/>
                <w:bCs/>
                <w:color w:val="FFFFFF"/>
                <w:sz w:val="20"/>
                <w:szCs w:val="20"/>
              </w:rPr>
              <w:t xml:space="preserve">内容</w:t>
            </w:r>
          </w:p>
        </w:tc>
        <w:tc>
          <w:tcPr>
            <w:tcW w:type="dxa" w:w="4300"/>
            <w:shd w:fill="1F3864" w:val="clear"/>
            <w:tcMar>
              <w:top w:type="dxa" w:w="60"/>
              <w:left w:type="dxa" w:w="100"/>
              <w:bottom w:type="dxa" w:w="60"/>
              <w:right w:type="dxa" w:w="100"/>
            </w:tcMar>
            <w:vAlign w:val="center"/>
          </w:tcPr>
          <w:p>
            <w:r>
              <w:rPr>
                <w:b/>
                <w:bCs/>
                <w:color w:val="FFFFFF"/>
                <w:sz w:val="20"/>
                <w:szCs w:val="20"/>
              </w:rPr>
              <w:t xml:space="preserve">主な取り組み</w:t>
            </w:r>
          </w:p>
        </w:tc>
      </w:tr>
      <w:tr>
        <w:tc>
          <w:tcPr>
            <w:tcW w:type="dxa" w:w="2200"/>
            <w:shd w:fill="FFFFFF" w:val="clear"/>
            <w:tcMar>
              <w:top w:type="dxa" w:w="60"/>
              <w:left w:type="dxa" w:w="100"/>
              <w:bottom w:type="dxa" w:w="60"/>
              <w:right w:type="dxa" w:w="100"/>
            </w:tcMar>
            <w:vAlign w:val="center"/>
          </w:tcPr>
          <w:p>
            <w:pPr>
              <w:spacing w:after="40"/>
            </w:pPr>
            <w:r>
              <w:rPr>
                <w:sz w:val="20"/>
                <w:szCs w:val="20"/>
              </w:rPr>
              <w:t xml:space="preserve">Smart Work</w:t>
            </w:r>
          </w:p>
        </w:tc>
        <w:tc>
          <w:tcPr>
            <w:tcW w:type="dxa" w:w="3200"/>
            <w:shd w:fill="FFFFFF" w:val="clear"/>
            <w:tcMar>
              <w:top w:type="dxa" w:w="60"/>
              <w:left w:type="dxa" w:w="100"/>
              <w:bottom w:type="dxa" w:w="60"/>
              <w:right w:type="dxa" w:w="100"/>
            </w:tcMar>
            <w:vAlign w:val="center"/>
          </w:tcPr>
          <w:p>
            <w:pPr>
              <w:spacing w:after="40"/>
            </w:pPr>
            <w:r>
              <w:rPr>
                <w:sz w:val="20"/>
                <w:szCs w:val="20"/>
              </w:rPr>
              <w:t xml:space="preserve">卓越したプロフェッショナルとして自律し、より自由に、知的に活き活きと働く</w:t>
            </w:r>
          </w:p>
        </w:tc>
        <w:tc>
          <w:tcPr>
            <w:tcW w:type="dxa" w:w="4300"/>
            <w:shd w:fill="FFFFFF" w:val="clear"/>
            <w:tcMar>
              <w:top w:type="dxa" w:w="60"/>
              <w:left w:type="dxa" w:w="100"/>
              <w:bottom w:type="dxa" w:w="60"/>
              <w:right w:type="dxa" w:w="100"/>
            </w:tcMar>
            <w:vAlign w:val="center"/>
          </w:tcPr>
          <w:p>
            <w:pPr>
              <w:spacing w:after="40"/>
            </w:pPr>
            <w:r>
              <w:rPr>
                <w:sz w:val="20"/>
                <w:szCs w:val="20"/>
              </w:rPr>
              <w:t xml:space="preserve">生成AI等の活用による「付加価値時間割合」向上（AI議事録ツール導入、コード自動生成・テスト自動化ツール展開）、多様性を育むチャレンジ文化の醸成</w:t>
            </w:r>
          </w:p>
        </w:tc>
      </w:tr>
      <w:tr>
        <w:tc>
          <w:tcPr>
            <w:tcW w:type="dxa" w:w="2200"/>
            <w:shd w:fill="F2ECE4" w:val="clear"/>
            <w:tcMar>
              <w:top w:type="dxa" w:w="60"/>
              <w:left w:type="dxa" w:w="100"/>
              <w:bottom w:type="dxa" w:w="60"/>
              <w:right w:type="dxa" w:w="100"/>
            </w:tcMar>
            <w:vAlign w:val="center"/>
          </w:tcPr>
          <w:p>
            <w:pPr>
              <w:spacing w:after="40"/>
            </w:pPr>
            <w:r>
              <w:rPr>
                <w:sz w:val="20"/>
                <w:szCs w:val="20"/>
              </w:rPr>
              <w:t xml:space="preserve">Diversity &amp; Inclusion</w:t>
            </w:r>
          </w:p>
        </w:tc>
        <w:tc>
          <w:tcPr>
            <w:tcW w:type="dxa" w:w="3200"/>
            <w:shd w:fill="F2ECE4" w:val="clear"/>
            <w:tcMar>
              <w:top w:type="dxa" w:w="60"/>
              <w:left w:type="dxa" w:w="100"/>
              <w:bottom w:type="dxa" w:w="60"/>
              <w:right w:type="dxa" w:w="100"/>
            </w:tcMar>
            <w:vAlign w:val="center"/>
          </w:tcPr>
          <w:p>
            <w:pPr>
              <w:spacing w:after="40"/>
            </w:pPr>
            <w:r>
              <w:rPr>
                <w:sz w:val="20"/>
                <w:szCs w:val="20"/>
              </w:rPr>
              <w:t xml:space="preserve">多様な個性を持つ社員一人ひとりが互いに尊重・刺激し合い、自分らしく挑戦することで成長を続ける</w:t>
            </w:r>
          </w:p>
        </w:tc>
        <w:tc>
          <w:tcPr>
            <w:tcW w:type="dxa" w:w="4300"/>
            <w:shd w:fill="F2ECE4" w:val="clear"/>
            <w:tcMar>
              <w:top w:type="dxa" w:w="60"/>
              <w:left w:type="dxa" w:w="100"/>
              <w:bottom w:type="dxa" w:w="60"/>
              <w:right w:type="dxa" w:w="100"/>
            </w:tcMar>
            <w:vAlign w:val="center"/>
          </w:tcPr>
          <w:p>
            <w:pPr>
              <w:spacing w:after="40"/>
            </w:pPr>
            <w:r>
              <w:rPr>
                <w:sz w:val="20"/>
                <w:szCs w:val="20"/>
              </w:rPr>
              <w:t xml:space="preserve">アンコンシャス・バイアス研修教材の作成・展開、Gender Diversityの強化、総合力を生み出す組織・風土づくり</w:t>
            </w:r>
          </w:p>
        </w:tc>
      </w:tr>
      <w:tr>
        <w:tc>
          <w:tcPr>
            <w:tcW w:type="dxa" w:w="2200"/>
            <w:shd w:fill="FFFFFF" w:val="clear"/>
            <w:tcMar>
              <w:top w:type="dxa" w:w="60"/>
              <w:left w:type="dxa" w:w="100"/>
              <w:bottom w:type="dxa" w:w="60"/>
              <w:right w:type="dxa" w:w="100"/>
            </w:tcMar>
            <w:vAlign w:val="center"/>
          </w:tcPr>
          <w:p>
            <w:pPr>
              <w:spacing w:after="40"/>
            </w:pPr>
            <w:r>
              <w:rPr>
                <w:sz w:val="20"/>
                <w:szCs w:val="20"/>
              </w:rPr>
              <w:t xml:space="preserve">Well-Being</w:t>
            </w:r>
          </w:p>
        </w:tc>
        <w:tc>
          <w:tcPr>
            <w:tcW w:type="dxa" w:w="3200"/>
            <w:shd w:fill="FFFFFF" w:val="clear"/>
            <w:tcMar>
              <w:top w:type="dxa" w:w="60"/>
              <w:left w:type="dxa" w:w="100"/>
              <w:bottom w:type="dxa" w:w="60"/>
              <w:right w:type="dxa" w:w="100"/>
            </w:tcMar>
            <w:vAlign w:val="center"/>
          </w:tcPr>
          <w:p>
            <w:pPr>
              <w:spacing w:after="40"/>
            </w:pPr>
            <w:r>
              <w:rPr>
                <w:sz w:val="20"/>
                <w:szCs w:val="20"/>
              </w:rPr>
              <w:t xml:space="preserve">自らが心身のコンディションを整え、変化への適応とパフォーマンス向上に取り組む</w:t>
            </w:r>
          </w:p>
        </w:tc>
        <w:tc>
          <w:tcPr>
            <w:tcW w:type="dxa" w:w="4300"/>
            <w:shd w:fill="FFFFFF" w:val="clear"/>
            <w:tcMar>
              <w:top w:type="dxa" w:w="60"/>
              <w:left w:type="dxa" w:w="100"/>
              <w:bottom w:type="dxa" w:w="60"/>
              <w:right w:type="dxa" w:w="100"/>
            </w:tcMar>
            <w:vAlign w:val="center"/>
          </w:tcPr>
          <w:p>
            <w:pPr>
              <w:spacing w:after="40"/>
            </w:pPr>
            <w:r>
              <w:rPr>
                <w:sz w:val="20"/>
                <w:szCs w:val="20"/>
              </w:rPr>
              <w:t xml:space="preserve">運動・睡眠・食事・レジリエンスに関するチーム施策（オンライン駅伝企画等）、健康習慣改善の情報提供</w:t>
            </w:r>
          </w:p>
        </w:tc>
      </w:tr>
    </w:tbl>
    <w:p>
      <w:pPr>
        <w:spacing w:after="120"/>
      </w:pPr>
    </w:p>
    <w:p>
      <w:pPr>
        <w:spacing w:after="120" w:line="300"/>
      </w:pPr>
      <w:r>
        <w:rPr>
          <w:sz w:val="21"/>
          <w:szCs w:val="21"/>
        </w:rPr>
        <w:t xml:space="preserve">主要な人事制度：フリーロケーション制度・フルリモート制度（働く場所）、フレックス制度・短日勤務制度・時短勤務制度（働く時間）、出産育児休業制度・介護休業制度・病気療養支援制度（支援制度）、社内公募制度・キャリアチェンジ制度・自己研鑽休職制度・副業制度・資格取得支援制度（キャリア・スキル開発）。</w:t>
      </w:r>
    </w:p>
    <w:p>
      <w:pPr>
        <w:spacing w:after="120" w:line="300"/>
      </w:pPr>
      <w:r>
        <w:rPr>
          <w:sz w:val="21"/>
          <w:szCs w:val="21"/>
        </w:rPr>
        <w:t xml:space="preserve">外部評価：OpenWork Awards「働きがいのある企業ランキング2024」4位受賞、「くるみん」認定、「なでしこ銘柄」関連の取り組み、「Work with Pride」Gold認定（2023年）等。</w:t>
      </w:r>
    </w:p>
    <w:p>
      <w:pPr>
        <w:pStyle w:val="Heading2"/>
        <w:spacing w:after="120" w:before="300"/>
      </w:pPr>
      <w:r>
        <w:rPr>
          <w:b/>
          <w:bCs/>
          <w:color w:val="1F3864"/>
          <w:sz w:val="24"/>
          <w:szCs w:val="24"/>
        </w:rPr>
        <w:t xml:space="preserve">環境への取り組み</w:t>
      </w:r>
    </w:p>
    <w:p>
      <w:pPr>
        <w:spacing w:after="120" w:line="300"/>
      </w:pPr>
      <w:r>
        <w:rPr>
          <w:sz w:val="21"/>
          <w:szCs w:val="21"/>
        </w:rPr>
        <w:t xml:space="preserve">2030年度までに事業活動による温室効果ガス（GHG）排出量ゼロ（カーボンニュートラル）を目標に設定。国内拠点は2025年度、海外含む全拠点では2030年度までの実現を目指す（GHGプロトコルに基づくScope1・2排出量が対象）。TCFD提言に賛同し、気候変動が事業に与える影響（リスク・機会）の分析と対策を実施。2023年度のバリューチェーン全体のGHG排出量はScope1が56t-CO2、Scope2が1,098t-CO2、Scope3が31,438t-CO2。</w:t>
      </w:r>
    </w:p>
    <w:p>
      <w:pPr>
        <w:pStyle w:val="Heading2"/>
        <w:spacing w:after="120" w:before="300"/>
      </w:pPr>
      <w:r>
        <w:rPr>
          <w:b/>
          <w:bCs/>
          <w:color w:val="1F3864"/>
          <w:sz w:val="24"/>
          <w:szCs w:val="24"/>
        </w:rPr>
        <w:t xml:space="preserve">ガバナンス・コンプライアンス</w:t>
      </w:r>
    </w:p>
    <w:p>
      <w:pPr>
        <w:spacing w:after="120" w:line="300"/>
      </w:pPr>
      <w:r>
        <w:rPr>
          <w:sz w:val="21"/>
          <w:szCs w:val="21"/>
        </w:rPr>
        <w:t xml:space="preserve">代表取締役社長CEOを委員長とするサステナビリティ委員会を設置し、気候変動・脱炭素への対応を含む重要課題を審議。取締役会（原則月次開催）・経営委員会（月次開催）による意思決定・監督体制を構築し、3名の監査役が業務執行状況を監査。2005年10月制定の「アビーム統制規範」に基づく人権尊重・遵法経営、内部通報制度（ヘルプライン）、プライバシーマーク取得、ISMS認証取得等の情報セキュリティ対策を実施。</w:t>
      </w:r>
    </w:p>
    <w:p>
      <w:pPr>
        <w:pStyle w:val="Heading1"/>
        <w:pBdr>
          <w:bottom w:val="single" w:color="1F3864" w:sz="8" w:space="4"/>
        </w:pBdr>
        <w:spacing w:after="200" w:before="400"/>
      </w:pPr>
      <w:r>
        <w:rPr>
          <w:b/>
          <w:bCs/>
          <w:color w:val="1F3864"/>
          <w:sz w:val="30"/>
          <w:szCs w:val="30"/>
        </w:rPr>
        <w:t xml:space="preserve">9. 直近のトピックス・ケーススタディ</w:t>
      </w:r>
    </w:p>
    <w:p>
      <w:pPr>
        <w:spacing w:after="120" w:line="300"/>
      </w:pPr>
      <w:r>
        <w:rPr>
          <w:sz w:val="21"/>
          <w:szCs w:val="21"/>
        </w:rPr>
        <w:t xml:space="preserve">Sustainability Report 2024に掲載された、企業変革を通じた社会的・経済的価値創造（CSV）の代表事例。面接での「アビームの支援スタイル」説明に活用できる。</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5000"/>
      </w:tblGrid>
      <w:tr>
        <w:trPr>
          <w:tblHeader/>
        </w:trPr>
        <w:tc>
          <w:tcPr>
            <w:tcW w:type="dxa" w:w="2000"/>
            <w:shd w:fill="1F3864" w:val="clear"/>
            <w:tcMar>
              <w:top w:type="dxa" w:w="60"/>
              <w:left w:type="dxa" w:w="100"/>
              <w:bottom w:type="dxa" w:w="60"/>
              <w:right w:type="dxa" w:w="100"/>
            </w:tcMar>
            <w:vAlign w:val="center"/>
          </w:tcPr>
          <w:p>
            <w:r>
              <w:rPr>
                <w:b/>
                <w:bCs/>
                <w:color w:val="FFFFFF"/>
                <w:sz w:val="20"/>
                <w:szCs w:val="20"/>
              </w:rPr>
              <w:t xml:space="preserve">クライアント</w:t>
            </w:r>
          </w:p>
        </w:tc>
        <w:tc>
          <w:tcPr>
            <w:tcW w:type="dxa" w:w="2700"/>
            <w:shd w:fill="1F3864" w:val="clear"/>
            <w:tcMar>
              <w:top w:type="dxa" w:w="60"/>
              <w:left w:type="dxa" w:w="100"/>
              <w:bottom w:type="dxa" w:w="60"/>
              <w:right w:type="dxa" w:w="100"/>
            </w:tcMar>
            <w:vAlign w:val="center"/>
          </w:tcPr>
          <w:p>
            <w:r>
              <w:rPr>
                <w:b/>
                <w:bCs/>
                <w:color w:val="FFFFFF"/>
                <w:sz w:val="20"/>
                <w:szCs w:val="20"/>
              </w:rPr>
              <w:t xml:space="preserve">テーマ</w:t>
            </w:r>
          </w:p>
        </w:tc>
        <w:tc>
          <w:tcPr>
            <w:tcW w:type="dxa" w:w="5000"/>
            <w:shd w:fill="1F3864" w:val="clear"/>
            <w:tcMar>
              <w:top w:type="dxa" w:w="60"/>
              <w:left w:type="dxa" w:w="100"/>
              <w:bottom w:type="dxa" w:w="60"/>
              <w:right w:type="dxa" w:w="100"/>
            </w:tcMar>
            <w:vAlign w:val="center"/>
          </w:tcPr>
          <w:p>
            <w:r>
              <w:rPr>
                <w:b/>
                <w:bCs/>
                <w:color w:val="FFFFFF"/>
                <w:sz w:val="20"/>
                <w:szCs w:val="20"/>
              </w:rPr>
              <w:t xml:space="preserve">概要</w:t>
            </w:r>
          </w:p>
        </w:tc>
      </w:tr>
      <w:tr>
        <w:tc>
          <w:tcPr>
            <w:tcW w:type="dxa" w:w="2000"/>
            <w:shd w:fill="FFFFFF" w:val="clear"/>
            <w:tcMar>
              <w:top w:type="dxa" w:w="60"/>
              <w:left w:type="dxa" w:w="100"/>
              <w:bottom w:type="dxa" w:w="60"/>
              <w:right w:type="dxa" w:w="100"/>
            </w:tcMar>
            <w:vAlign w:val="center"/>
          </w:tcPr>
          <w:p>
            <w:pPr>
              <w:spacing w:after="40"/>
            </w:pPr>
            <w:r>
              <w:rPr>
                <w:sz w:val="20"/>
                <w:szCs w:val="20"/>
              </w:rPr>
              <w:t xml:space="preserve">KDDI株式会社</w:t>
            </w:r>
          </w:p>
        </w:tc>
        <w:tc>
          <w:tcPr>
            <w:tcW w:type="dxa" w:w="2700"/>
            <w:shd w:fill="FFFFFF" w:val="clear"/>
            <w:tcMar>
              <w:top w:type="dxa" w:w="60"/>
              <w:left w:type="dxa" w:w="100"/>
              <w:bottom w:type="dxa" w:w="60"/>
              <w:right w:type="dxa" w:w="100"/>
            </w:tcMar>
            <w:vAlign w:val="center"/>
          </w:tcPr>
          <w:p>
            <w:pPr>
              <w:spacing w:after="40"/>
            </w:pPr>
            <w:r>
              <w:rPr>
                <w:sz w:val="20"/>
                <w:szCs w:val="20"/>
              </w:rPr>
              <w:t xml:space="preserve">IoT回線に関する製品インパクト算出</w:t>
            </w:r>
          </w:p>
        </w:tc>
        <w:tc>
          <w:tcPr>
            <w:tcW w:type="dxa" w:w="5000"/>
            <w:shd w:fill="FFFFFF" w:val="clear"/>
            <w:tcMar>
              <w:top w:type="dxa" w:w="60"/>
              <w:left w:type="dxa" w:w="100"/>
              <w:bottom w:type="dxa" w:w="60"/>
              <w:right w:type="dxa" w:w="100"/>
            </w:tcMar>
            <w:vAlign w:val="center"/>
          </w:tcPr>
          <w:p>
            <w:pPr>
              <w:spacing w:after="40"/>
            </w:pPr>
            <w:r>
              <w:rPr>
                <w:sz w:val="20"/>
                <w:szCs w:val="20"/>
              </w:rPr>
              <w:t xml:space="preserve">2021年度から非財務価値の可視化を通じた企業価値向上を支援。国際インパクト評価財団（IFVI）提唱の「インパクト加重会計」を用い、KDDIのIoTビジネスが社会に与える社会的インパクトを5,023億円（2024年3月期）と算出・可視化。投資家等の外部ステークホルダーとの対話にも活用。</w:t>
            </w:r>
          </w:p>
        </w:tc>
      </w:tr>
      <w:tr>
        <w:tc>
          <w:tcPr>
            <w:tcW w:type="dxa" w:w="2000"/>
            <w:shd w:fill="F2ECE4" w:val="clear"/>
            <w:tcMar>
              <w:top w:type="dxa" w:w="60"/>
              <w:left w:type="dxa" w:w="100"/>
              <w:bottom w:type="dxa" w:w="60"/>
              <w:right w:type="dxa" w:w="100"/>
            </w:tcMar>
            <w:vAlign w:val="center"/>
          </w:tcPr>
          <w:p>
            <w:pPr>
              <w:spacing w:after="40"/>
            </w:pPr>
            <w:r>
              <w:rPr>
                <w:sz w:val="20"/>
                <w:szCs w:val="20"/>
              </w:rPr>
              <w:t xml:space="preserve">キリンホールディングス株式会社</w:t>
            </w:r>
          </w:p>
        </w:tc>
        <w:tc>
          <w:tcPr>
            <w:tcW w:type="dxa" w:w="2700"/>
            <w:shd w:fill="F2ECE4" w:val="clear"/>
            <w:tcMar>
              <w:top w:type="dxa" w:w="60"/>
              <w:left w:type="dxa" w:w="100"/>
              <w:bottom w:type="dxa" w:w="60"/>
              <w:right w:type="dxa" w:w="100"/>
            </w:tcMar>
            <w:vAlign w:val="center"/>
          </w:tcPr>
          <w:p>
            <w:pPr>
              <w:spacing w:after="40"/>
            </w:pPr>
            <w:r>
              <w:rPr>
                <w:sz w:val="20"/>
                <w:szCs w:val="20"/>
              </w:rPr>
              <w:t xml:space="preserve">サプライヤマネジメント変革（調達領域再配置）</w:t>
            </w:r>
          </w:p>
        </w:tc>
        <w:tc>
          <w:tcPr>
            <w:tcW w:type="dxa" w:w="5000"/>
            <w:shd w:fill="F2ECE4" w:val="clear"/>
            <w:tcMar>
              <w:top w:type="dxa" w:w="60"/>
              <w:left w:type="dxa" w:w="100"/>
              <w:bottom w:type="dxa" w:w="60"/>
              <w:right w:type="dxa" w:w="100"/>
            </w:tcMar>
            <w:vAlign w:val="center"/>
          </w:tcPr>
          <w:p>
            <w:pPr>
              <w:spacing w:after="40"/>
            </w:pPr>
            <w:r>
              <w:rPr>
                <w:sz w:val="20"/>
                <w:szCs w:val="20"/>
              </w:rPr>
              <w:t xml:space="preserve">グローバルなサプライチェーンの持続可能性が経営上の重要テーマとなる中、点在していたサプライヤ情報（基本情報・コスト・人権・環境関連データ）を調達SaaSに統合し一元管理。サステナブルな調達基盤を構築。</w:t>
            </w:r>
          </w:p>
        </w:tc>
      </w:tr>
      <w:tr>
        <w:tc>
          <w:tcPr>
            <w:tcW w:type="dxa" w:w="2000"/>
            <w:shd w:fill="FFFFFF" w:val="clear"/>
            <w:tcMar>
              <w:top w:type="dxa" w:w="60"/>
              <w:left w:type="dxa" w:w="100"/>
              <w:bottom w:type="dxa" w:w="60"/>
              <w:right w:type="dxa" w:w="100"/>
            </w:tcMar>
            <w:vAlign w:val="center"/>
          </w:tcPr>
          <w:p>
            <w:pPr>
              <w:spacing w:after="40"/>
            </w:pPr>
            <w:r>
              <w:rPr>
                <w:sz w:val="20"/>
                <w:szCs w:val="20"/>
              </w:rPr>
              <w:t xml:space="preserve">株式会社SkyDrive</w:t>
            </w:r>
          </w:p>
        </w:tc>
        <w:tc>
          <w:tcPr>
            <w:tcW w:type="dxa" w:w="2700"/>
            <w:shd w:fill="FFFFFF" w:val="clear"/>
            <w:tcMar>
              <w:top w:type="dxa" w:w="60"/>
              <w:left w:type="dxa" w:w="100"/>
              <w:bottom w:type="dxa" w:w="60"/>
              <w:right w:type="dxa" w:w="100"/>
            </w:tcMar>
            <w:vAlign w:val="center"/>
          </w:tcPr>
          <w:p>
            <w:pPr>
              <w:spacing w:after="40"/>
            </w:pPr>
            <w:r>
              <w:rPr>
                <w:sz w:val="20"/>
                <w:szCs w:val="20"/>
              </w:rPr>
              <w:t xml:space="preserve">空飛ぶクルマの製造支援</w:t>
            </w:r>
          </w:p>
        </w:tc>
        <w:tc>
          <w:tcPr>
            <w:tcW w:type="dxa" w:w="5000"/>
            <w:shd w:fill="FFFFFF" w:val="clear"/>
            <w:tcMar>
              <w:top w:type="dxa" w:w="60"/>
              <w:left w:type="dxa" w:w="100"/>
              <w:bottom w:type="dxa" w:w="60"/>
              <w:right w:type="dxa" w:w="100"/>
            </w:tcMar>
            <w:vAlign w:val="center"/>
          </w:tcPr>
          <w:p>
            <w:pPr>
              <w:spacing w:after="40"/>
            </w:pPr>
            <w:r>
              <w:rPr>
                <w:sz w:val="20"/>
                <w:szCs w:val="20"/>
              </w:rPr>
              <w:t xml:space="preserve">2024年3月にサポーター契約を締結。2025年日本国際博覧会（大阪・関西万博）でのデモフライトに向け、機体製造に関するタスク・課題・進捗管理を支援。製造業出身の生産管理システム・業務プロセス構築ノウハウを活用。</w:t>
            </w:r>
          </w:p>
        </w:tc>
      </w:tr>
      <w:tr>
        <w:tc>
          <w:tcPr>
            <w:tcW w:type="dxa" w:w="2000"/>
            <w:shd w:fill="F2ECE4" w:val="clear"/>
            <w:tcMar>
              <w:top w:type="dxa" w:w="60"/>
              <w:left w:type="dxa" w:w="100"/>
              <w:bottom w:type="dxa" w:w="60"/>
              <w:right w:type="dxa" w:w="100"/>
            </w:tcMar>
            <w:vAlign w:val="center"/>
          </w:tcPr>
          <w:p>
            <w:pPr>
              <w:spacing w:after="40"/>
            </w:pPr>
            <w:r>
              <w:rPr>
                <w:sz w:val="20"/>
                <w:szCs w:val="20"/>
              </w:rPr>
              <w:t xml:space="preserve">パナソニック エナジー タイ株式会社</w:t>
            </w:r>
          </w:p>
        </w:tc>
        <w:tc>
          <w:tcPr>
            <w:tcW w:type="dxa" w:w="2700"/>
            <w:shd w:fill="F2ECE4" w:val="clear"/>
            <w:tcMar>
              <w:top w:type="dxa" w:w="60"/>
              <w:left w:type="dxa" w:w="100"/>
              <w:bottom w:type="dxa" w:w="60"/>
              <w:right w:type="dxa" w:w="100"/>
            </w:tcMar>
            <w:vAlign w:val="center"/>
          </w:tcPr>
          <w:p>
            <w:pPr>
              <w:spacing w:after="40"/>
            </w:pPr>
            <w:r>
              <w:rPr>
                <w:sz w:val="20"/>
                <w:szCs w:val="20"/>
              </w:rPr>
              <w:t xml:space="preserve">サプライチェーンモデル改革（SCM）</w:t>
            </w:r>
          </w:p>
        </w:tc>
        <w:tc>
          <w:tcPr>
            <w:tcW w:type="dxa" w:w="5000"/>
            <w:shd w:fill="F2ECE4" w:val="clear"/>
            <w:tcMar>
              <w:top w:type="dxa" w:w="60"/>
              <w:left w:type="dxa" w:w="100"/>
              <w:bottom w:type="dxa" w:w="60"/>
              <w:right w:type="dxa" w:w="100"/>
            </w:tcMar>
            <w:vAlign w:val="center"/>
          </w:tcPr>
          <w:p>
            <w:pPr>
              <w:spacing w:after="40"/>
            </w:pPr>
            <w:r>
              <w:rPr>
                <w:sz w:val="20"/>
                <w:szCs w:val="20"/>
              </w:rPr>
              <w:t xml:space="preserve">メーカーとディストリビュータで個別に行っていたサプライチェーン管理（SCM）業務を統合。共通の在庫基準を適用し、タイムリーな需給調整を実現。全体在庫の削減・在庫適正化・顧客満足度向上を達成。</w:t>
            </w:r>
          </w:p>
        </w:tc>
      </w:tr>
    </w:tbl>
    <w:p>
      <w:pPr>
        <w:spacing w:after="120"/>
      </w:pPr>
    </w:p>
    <w:p>
      <w:pPr>
        <w:pStyle w:val="Heading2"/>
        <w:spacing w:after="120" w:before="300"/>
      </w:pPr>
      <w:r>
        <w:rPr>
          <w:b/>
          <w:bCs/>
          <w:color w:val="1F3864"/>
          <w:sz w:val="24"/>
          <w:szCs w:val="24"/>
        </w:rPr>
        <w:t xml:space="preserve">特集：財務・非財務の両面から企業価値向上を支援</w:t>
      </w:r>
    </w:p>
    <w:p>
      <w:pPr>
        <w:spacing w:after="120" w:line="300"/>
      </w:pPr>
      <w:r>
        <w:rPr>
          <w:sz w:val="21"/>
          <w:szCs w:val="21"/>
        </w:rPr>
        <w:t xml:space="preserve">執行役員プリンシパル 顧客価値創造戦略ユニット長／企業価値向上戦略ユニット長の斎藤岳氏へのインタビュー記事より。Strategy 2027に伴う組織改編（顧客価値創造戦略ユニット・企業価値向上戦略ユニットの新設）の狙いは、個々のプロジェクトの成功だけでなく、より長期的な視点でクライアントに伴走し「変革テーマ創出」を強化すること。低いと指摘される日本企業のPBR向上のため、「投資→自社の競争力獲得→収益力向上・新事業拡大→新たな投資家の獲得」という拡大再生産サイクルの構築を支援している。</w:t>
      </w:r>
    </w:p>
    <w:p>
      <w:pPr>
        <w:pStyle w:val="Heading2"/>
        <w:spacing w:after="120" w:before="300"/>
      </w:pPr>
      <w:r>
        <w:rPr>
          <w:b/>
          <w:bCs/>
          <w:color w:val="1F3864"/>
          <w:sz w:val="24"/>
          <w:szCs w:val="24"/>
        </w:rPr>
        <w:t xml:space="preserve">特集：東南アジア発のソリューションを世界へ（タイ現地法人）</w:t>
      </w:r>
    </w:p>
    <w:p>
      <w:pPr>
        <w:spacing w:after="120" w:line="300"/>
      </w:pPr>
      <w:r>
        <w:rPr>
          <w:sz w:val="21"/>
          <w:szCs w:val="21"/>
        </w:rPr>
        <w:t xml:space="preserve">ABeam Consulting (Thailand) Ltd. Deputy Managing Director Supreeda Jirawongsri氏の紹介記事。タイの急速な経済成長・グローバル競争激化・DX推進・個人情報保護法（PDPA）対応など複雑化する規制への対応を支援。パナソニック エナジー タイのSCM統合プロジェクトなど、日本・中国・東南アジアを中心としたアジア市場に深く根ざした支援を展開している。</w:t>
      </w:r>
    </w:p>
    <w:p>
      <w:pPr>
        <w:pStyle w:val="Heading1"/>
        <w:pBdr>
          <w:bottom w:val="single" w:color="1F3864" w:sz="8" w:space="4"/>
        </w:pBdr>
        <w:spacing w:after="200" w:before="400"/>
      </w:pPr>
      <w:r>
        <w:rPr>
          <w:b/>
          <w:bCs/>
          <w:color w:val="1F3864"/>
          <w:sz w:val="30"/>
          <w:szCs w:val="30"/>
        </w:rPr>
        <w:t xml:space="preserve">10. インターンシップ選考の傾向</w:t>
      </w:r>
    </w:p>
    <w:p>
      <w:pPr>
        <w:spacing w:after="120" w:line="300"/>
      </w:pPr>
      <w:r>
        <w:rPr>
          <w:sz w:val="21"/>
          <w:szCs w:val="21"/>
        </w:rPr>
        <w:t xml:space="preserve">公開情報（就活口コミサイト等）に基づく、アビームコンサルティングのインターンシップの一般的な傾向。実際の選考内容は年度・コースにより変わるため、最新の募集要項・案内メールで必ず確認すること。</w:t>
      </w:r>
    </w:p>
    <w:p>
      <w:pPr>
        <w:pStyle w:val="ListParagraph"/>
        <w:numPr>
          <w:ilvl w:val="0"/>
          <w:numId w:val="2"/>
        </w:numPr>
        <w:spacing w:after="80" w:line="280"/>
      </w:pPr>
      <w:r>
        <w:rPr>
          <w:sz w:val="21"/>
          <w:szCs w:val="21"/>
        </w:rPr>
        <w:t xml:space="preserve">構成：企業説明会・コンサルタントの考え方（コンサル業務の進め方）の講義、個人ワーク、グループワークの3部構成が中心</w:t>
      </w:r>
    </w:p>
    <w:p>
      <w:pPr>
        <w:pStyle w:val="ListParagraph"/>
        <w:numPr>
          <w:ilvl w:val="0"/>
          <w:numId w:val="2"/>
        </w:numPr>
        <w:spacing w:after="80" w:line="280"/>
      </w:pPr>
      <w:r>
        <w:rPr>
          <w:sz w:val="21"/>
          <w:szCs w:val="21"/>
        </w:rPr>
        <w:t xml:space="preserve">グループワークのテーマ例：「あるピザチェーン店の課題を特定し、売上拡大に向けた施策を提案する」等、クライアント企業を模したケース形式の課題が多い</w:t>
      </w:r>
    </w:p>
    <w:p>
      <w:pPr>
        <w:pStyle w:val="ListParagraph"/>
        <w:numPr>
          <w:ilvl w:val="0"/>
          <w:numId w:val="2"/>
        </w:numPr>
        <w:spacing w:after="80" w:line="280"/>
      </w:pPr>
      <w:r>
        <w:rPr>
          <w:sz w:val="21"/>
          <w:szCs w:val="21"/>
        </w:rPr>
        <w:t xml:space="preserve">進行：企業説明→コンサル業務講義→テーマ発表→個人ワーク→グループワーク（発表・講評）という流れ。グループワーク中は1チームに1人メンターが付く手厚いサポート体制</w:t>
      </w:r>
    </w:p>
    <w:p>
      <w:pPr>
        <w:pStyle w:val="ListParagraph"/>
        <w:numPr>
          <w:ilvl w:val="0"/>
          <w:numId w:val="2"/>
        </w:numPr>
        <w:spacing w:after="80" w:line="280"/>
      </w:pPr>
      <w:r>
        <w:rPr>
          <w:sz w:val="21"/>
          <w:szCs w:val="21"/>
        </w:rPr>
        <w:t xml:space="preserve">ES設問の特徴：ガクチカ・志望動機に加え、「ABeam TVを見て、興味を持った内容とその理由を教えてください」という同社独自の設問がある（採用サイト上の動画コンテンツ「ABeam TV」の視聴が前提）</w:t>
      </w:r>
    </w:p>
    <w:p>
      <w:pPr>
        <w:spacing w:after="120"/>
      </w:pPr>
    </w:p>
    <w:p>
      <w:pPr>
        <w:spacing w:after="160"/>
      </w:pPr>
      <w:r>
        <w:rPr>
          <w:i/>
          <w:iCs/>
          <w:color w:val="595959"/>
          <w:sz w:val="18"/>
          <w:szCs w:val="18"/>
        </w:rPr>
        <w:t xml:space="preserve">※ 本章の内容は外部の就活情報サイトの記載に基づく参考情報であり、一次情報（ABeam Consulting採用サイト、ES・案内メール）での確認を推奨。</w:t>
      </w:r>
    </w:p>
    <w:p>
      <w:pPr>
        <w:pStyle w:val="Heading1"/>
        <w:pBdr>
          <w:bottom w:val="single" w:color="1F3864" w:sz="8" w:space="4"/>
        </w:pBdr>
        <w:spacing w:after="200" w:before="400"/>
      </w:pPr>
      <w:r>
        <w:rPr>
          <w:b/>
          <w:bCs/>
          <w:color w:val="1F3864"/>
          <w:sz w:val="30"/>
          <w:szCs w:val="30"/>
        </w:rPr>
        <w:t xml:space="preserve">11. 企業理解のためのQA（想定問答）</w:t>
      </w:r>
    </w:p>
    <w:p>
      <w:pPr>
        <w:pStyle w:val="Heading3"/>
        <w:spacing w:after="100" w:before="200"/>
      </w:pPr>
      <w:r>
        <w:rPr>
          <w:b/>
          <w:bCs/>
          <w:color w:val="8C6E4B"/>
          <w:sz w:val="21"/>
          <w:szCs w:val="21"/>
        </w:rPr>
        <w:t xml:space="preserve">Q1. なぜ数あるコンサルティングファームの中で、日系ファームであるアビームを志望するのか？</w:t>
      </w:r>
    </w:p>
    <w:p>
      <w:pPr>
        <w:spacing w:after="120" w:line="300"/>
      </w:pPr>
      <w:r>
        <w:rPr>
          <w:sz w:val="21"/>
          <w:szCs w:val="21"/>
        </w:rPr>
        <w:t xml:space="preserve">アビームは「日本発、アジア発のグローバルコンサルティングファーム」として、外資系戦略ファームとは異なり、日本・アジアの文化や商習慣に根ざした支援ができる点、また戦略立案から現場への定着支援まで一気通貫で伴走する「Real Partner」の姿勢に共感する点を、自身の経験（インターン等）と絡めて語れるようにしておく。</w:t>
      </w:r>
    </w:p>
    <w:p>
      <w:pPr>
        <w:pStyle w:val="Heading3"/>
        <w:spacing w:after="100" w:before="200"/>
      </w:pPr>
      <w:r>
        <w:rPr>
          <w:b/>
          <w:bCs/>
          <w:color w:val="8C6E4B"/>
          <w:sz w:val="21"/>
          <w:szCs w:val="21"/>
        </w:rPr>
        <w:t xml:space="preserve">Q2. 「Real Partner®」とは具体的にどのような姿勢か？</w:t>
      </w:r>
    </w:p>
    <w:p>
      <w:pPr>
        <w:spacing w:after="120" w:line="300"/>
      </w:pPr>
      <w:r>
        <w:rPr>
          <w:sz w:val="21"/>
          <w:szCs w:val="21"/>
        </w:rPr>
        <w:t xml:space="preserve">Real People（人から始まる）・Real Solutions（実践的なソリューション）・Real Results（次へつなげる確かな成果）の3要素が循環する考え方。提案して終わりではなく、クライアントが自ら変革を推進できる状態（自走）まで伴走し、コンサルタントのノウハウをクライアント組織に移植することを重視する点が特徴。</w:t>
      </w:r>
    </w:p>
    <w:p>
      <w:pPr>
        <w:pStyle w:val="Heading3"/>
        <w:spacing w:after="100" w:before="200"/>
      </w:pPr>
      <w:r>
        <w:rPr>
          <w:b/>
          <w:bCs/>
          <w:color w:val="8C6E4B"/>
          <w:sz w:val="21"/>
          <w:szCs w:val="21"/>
        </w:rPr>
        <w:t xml:space="preserve">Q3. ブランドスローガン「Build Beyond As One.®」の意味は？</w:t>
      </w:r>
    </w:p>
    <w:p>
      <w:pPr>
        <w:spacing w:after="120" w:line="300"/>
      </w:pPr>
      <w:r>
        <w:rPr>
          <w:sz w:val="21"/>
          <w:szCs w:val="21"/>
        </w:rPr>
        <w:t xml:space="preserve">企業・組織を変革し、その変革をつなぐことで新たな価値を創造し社会を変えていく、という考え方。「私たちは、創造的パートナーへ。」という日本語メッセージが付されている。</w:t>
      </w:r>
    </w:p>
    <w:p>
      <w:pPr>
        <w:pStyle w:val="Heading3"/>
        <w:spacing w:after="100" w:before="200"/>
      </w:pPr>
      <w:r>
        <w:rPr>
          <w:b/>
          <w:bCs/>
          <w:color w:val="8C6E4B"/>
          <w:sz w:val="21"/>
          <w:szCs w:val="21"/>
        </w:rPr>
        <w:t xml:space="preserve">Q4. アビームの強みを一言で説明すると？</w:t>
      </w:r>
    </w:p>
    <w:p>
      <w:pPr>
        <w:spacing w:after="120" w:line="300"/>
      </w:pPr>
      <w:r>
        <w:rPr>
          <w:sz w:val="21"/>
          <w:szCs w:val="21"/>
        </w:rPr>
        <w:t xml:space="preserve">戦略立案から業務改革・システム導入・運用保守までをワンストップで支援できる総合力と、NECとの資本提携によるテクノロジー実装力の両立。加えて、財務・非財務を統合した独自の企業価値向上メソドロジー（柳モデル、Digital ESG等）を持つ点。</w:t>
      </w:r>
    </w:p>
    <w:p>
      <w:pPr>
        <w:pStyle w:val="Heading3"/>
        <w:spacing w:after="100" w:before="200"/>
      </w:pPr>
      <w:r>
        <w:rPr>
          <w:b/>
          <w:bCs/>
          <w:color w:val="8C6E4B"/>
          <w:sz w:val="21"/>
          <w:szCs w:val="21"/>
        </w:rPr>
        <w:t xml:space="preserve">Q5. 直近の中期経営戦略「Strategy 2027」で何を目指しているか？</w:t>
      </w:r>
    </w:p>
    <w:p>
      <w:pPr>
        <w:spacing w:after="120" w:line="300"/>
      </w:pPr>
      <w:r>
        <w:rPr>
          <w:sz w:val="21"/>
          <w:szCs w:val="21"/>
        </w:rPr>
        <w:t xml:space="preserve">「変革テーマ創出」の強化。組織改編により、顧客価値創造戦略ユニット・企業価値向上戦略ユニットなど部門横断の機能を集約し、より長期的な視点でクライアントに伴走する体制を構築。低いと指摘される日本企業のPBR向上支援も重点領域の一つ。</w:t>
      </w:r>
    </w:p>
    <w:p>
      <w:pPr>
        <w:pStyle w:val="Heading3"/>
        <w:spacing w:after="100" w:before="200"/>
      </w:pPr>
      <w:r>
        <w:rPr>
          <w:b/>
          <w:bCs/>
          <w:color w:val="8C6E4B"/>
          <w:sz w:val="21"/>
          <w:szCs w:val="21"/>
        </w:rPr>
        <w:t xml:space="preserve">Q6. ケーススタディから見えるアビームの価値提供スタイルは？</w:t>
      </w:r>
    </w:p>
    <w:p>
      <w:pPr>
        <w:spacing w:after="120" w:line="300"/>
      </w:pPr>
      <w:r>
        <w:rPr>
          <w:sz w:val="21"/>
          <w:szCs w:val="21"/>
        </w:rPr>
        <w:t xml:space="preserve">KDDIの非財務価値可視化やキリンHDの調達SaaS統合のように、単なるシステム導入ではなく「経営判断に資するデータ・仕組みづくり」まで踏み込む点、SkyDriveや在タイ企業支援のように新産業領域・海外現地法人にも積極的に関与する点が特徴。</w:t>
      </w:r>
    </w:p>
    <w:p>
      <w:pPr>
        <w:pStyle w:val="Heading3"/>
        <w:spacing w:after="100" w:before="200"/>
      </w:pPr>
      <w:r>
        <w:rPr>
          <w:b/>
          <w:bCs/>
          <w:color w:val="8C6E4B"/>
          <w:sz w:val="21"/>
          <w:szCs w:val="21"/>
        </w:rPr>
        <w:t xml:space="preserve">Q7. 「ABeam Business Athlete®」とは？</w:t>
      </w:r>
    </w:p>
    <w:p>
      <w:pPr>
        <w:spacing w:after="120" w:line="300"/>
      </w:pPr>
      <w:r>
        <w:rPr>
          <w:sz w:val="21"/>
          <w:szCs w:val="21"/>
        </w:rPr>
        <w:t xml:space="preserve">2017年から推進するワークスタイル変革の取り組み。Smart Work（自律的で知的な働き方）、Diversity &amp; Inclusion（多様性の尊重）、Well-Being（心身のコンディション管理）の3本柱で、社員一人ひとりのパフォーマンス最大化を目指す。</w:t>
      </w:r>
    </w:p>
    <w:p>
      <w:pPr>
        <w:pStyle w:val="Heading3"/>
        <w:spacing w:after="100" w:before="200"/>
      </w:pPr>
      <w:r>
        <w:rPr>
          <w:b/>
          <w:bCs/>
          <w:color w:val="8C6E4B"/>
          <w:sz w:val="21"/>
          <w:szCs w:val="21"/>
        </w:rPr>
        <w:t xml:space="preserve">Q8. サステナビリティにおける「財務・非財務の統合アプローチ」とは？</w:t>
      </w:r>
    </w:p>
    <w:p>
      <w:pPr>
        <w:spacing w:after="120" w:line="300"/>
      </w:pPr>
      <w:r>
        <w:rPr>
          <w:sz w:val="21"/>
          <w:szCs w:val="21"/>
        </w:rPr>
        <w:t xml:space="preserve">早稲田大学大学院・柳良平客員教授の「柳モデル」を活用し、人的資本等の非財務投資が将来の企業価値（PBR等）にどう影響するかを統計的に可視化する取り組み。ROIC経営の専門家である日戸興史氏の知見も取り入れ、クライアントの事業ポートフォリオ変革を支援している。</w:t>
      </w:r>
    </w:p>
    <w:p>
      <w:pPr>
        <w:pStyle w:val="Heading3"/>
        <w:spacing w:after="100" w:before="200"/>
      </w:pPr>
      <w:r>
        <w:rPr>
          <w:b/>
          <w:bCs/>
          <w:color w:val="8C6E4B"/>
          <w:sz w:val="21"/>
          <w:szCs w:val="21"/>
        </w:rPr>
        <w:t xml:space="preserve">Q9. 環境面での目標は？</w:t>
      </w:r>
    </w:p>
    <w:p>
      <w:pPr>
        <w:spacing w:after="120" w:line="300"/>
      </w:pPr>
      <w:r>
        <w:rPr>
          <w:sz w:val="21"/>
          <w:szCs w:val="21"/>
        </w:rPr>
        <w:t xml:space="preserve">2030年度までに事業活動によるGHG排出量ゼロ（カーボンニュートラル）を目標に設定。国内拠点は2025年度までの実現を目指す。TCFD提言に賛同し、気候変動のリスク・機会分析を経営に反映。</w:t>
      </w:r>
    </w:p>
    <w:p>
      <w:pPr>
        <w:pStyle w:val="Heading3"/>
        <w:spacing w:after="100" w:before="200"/>
      </w:pPr>
      <w:r>
        <w:rPr>
          <w:b/>
          <w:bCs/>
          <w:color w:val="8C6E4B"/>
          <w:sz w:val="21"/>
          <w:szCs w:val="21"/>
        </w:rPr>
        <w:t xml:space="preserve">Q10. 数字で見るアビームの主要指標は？</w:t>
      </w:r>
    </w:p>
    <w:p>
      <w:pPr>
        <w:spacing w:after="120" w:line="300"/>
      </w:pPr>
      <w:r>
        <w:rPr>
          <w:sz w:val="21"/>
          <w:szCs w:val="21"/>
        </w:rPr>
        <w:t xml:space="preserve">従業員数8,278名（2024年4月時点、連結）、女性比率28.7%、拠点数28拠点（海外23拠点）、顧客満足度82.9点、継続意向89.1%など。</w:t>
      </w:r>
    </w:p>
    <w:p>
      <w:pPr>
        <w:pStyle w:val="Heading1"/>
        <w:pBdr>
          <w:bottom w:val="single" w:color="1F3864" w:sz="8" w:space="4"/>
        </w:pBdr>
        <w:spacing w:after="200" w:before="400"/>
      </w:pPr>
      <w:r>
        <w:rPr>
          <w:b/>
          <w:bCs/>
          <w:color w:val="1F3864"/>
          <w:sz w:val="30"/>
          <w:szCs w:val="30"/>
        </w:rPr>
        <w:t xml:space="preserve">12. 出典</w:t>
      </w:r>
    </w:p>
    <w:p>
      <w:pPr>
        <w:pStyle w:val="ListParagraph"/>
        <w:numPr>
          <w:ilvl w:val="0"/>
          <w:numId w:val="2"/>
        </w:numPr>
        <w:spacing w:after="80" w:line="280"/>
      </w:pPr>
      <w:r>
        <w:rPr>
          <w:sz w:val="21"/>
          <w:szCs w:val="21"/>
        </w:rPr>
        <w:t xml:space="preserve">アビームコンサルティング「ABeam Consulting Company Profile」（会社提供資料、PDF）</w:t>
      </w:r>
    </w:p>
    <w:p>
      <w:pPr>
        <w:pStyle w:val="ListParagraph"/>
        <w:numPr>
          <w:ilvl w:val="0"/>
          <w:numId w:val="2"/>
        </w:numPr>
        <w:spacing w:after="80" w:line="280"/>
      </w:pPr>
      <w:r>
        <w:rPr>
          <w:sz w:val="21"/>
          <w:szCs w:val="21"/>
        </w:rPr>
        <w:t xml:space="preserve">アビームコンサルティング「ABeam Consulting Sustainability Report 2024」（会社提供資料、PDF）</w:t>
      </w:r>
    </w:p>
    <w:p>
      <w:pPr>
        <w:pStyle w:val="ListParagraph"/>
        <w:numPr>
          <w:ilvl w:val="0"/>
          <w:numId w:val="2"/>
        </w:numPr>
        <w:spacing w:after="80" w:line="280"/>
      </w:pPr>
      <w:r>
        <w:rPr>
          <w:sz w:val="21"/>
          <w:szCs w:val="21"/>
        </w:rPr>
        <w:t xml:space="preserve">アビームコンサルティング公式サイト「会社概要」 https://www.abeam.com/jp/ja/about/company/</w:t>
      </w:r>
    </w:p>
    <w:p>
      <w:pPr>
        <w:pStyle w:val="ListParagraph"/>
        <w:numPr>
          <w:ilvl w:val="0"/>
          <w:numId w:val="2"/>
        </w:numPr>
        <w:spacing w:after="80" w:line="280"/>
      </w:pPr>
      <w:r>
        <w:rPr>
          <w:sz w:val="21"/>
          <w:szCs w:val="21"/>
        </w:rPr>
        <w:t xml:space="preserve">アビームコンサルティング公式サイト「数字で見る｜会社を知る｜採用」 https://www.abeam.com/jp/ja/recruit/about/numbers/</w:t>
      </w:r>
    </w:p>
    <w:p>
      <w:pPr>
        <w:pStyle w:val="ListParagraph"/>
        <w:numPr>
          <w:ilvl w:val="0"/>
          <w:numId w:val="2"/>
        </w:numPr>
        <w:spacing w:after="80" w:line="280"/>
      </w:pPr>
      <w:r>
        <w:rPr>
          <w:sz w:val="21"/>
          <w:szCs w:val="21"/>
        </w:rPr>
        <w:t xml:space="preserve">ハイパフォキャリア「アビームコンサルティングの沿革」 https://www.high-performer.jp/career/industry/firm/abeam/history/</w:t>
      </w:r>
    </w:p>
    <w:p>
      <w:pPr>
        <w:pStyle w:val="ListParagraph"/>
        <w:numPr>
          <w:ilvl w:val="0"/>
          <w:numId w:val="2"/>
        </w:numPr>
        <w:spacing w:after="80" w:line="280"/>
      </w:pPr>
      <w:r>
        <w:rPr>
          <w:sz w:val="21"/>
          <w:szCs w:val="21"/>
        </w:rPr>
        <w:t xml:space="preserve">日本経済新聞「アビームコンサルティング社長に山田氏」 https://www.nikkei.com/article/DGXZQODZ00013_Q3A130C2000000/</w:t>
      </w:r>
    </w:p>
    <w:p>
      <w:pPr>
        <w:pStyle w:val="ListParagraph"/>
        <w:numPr>
          <w:ilvl w:val="0"/>
          <w:numId w:val="2"/>
        </w:numPr>
        <w:spacing w:after="80" w:line="280"/>
      </w:pPr>
      <w:r>
        <w:rPr>
          <w:sz w:val="21"/>
          <w:szCs w:val="21"/>
        </w:rPr>
        <w:t xml:space="preserve">日経ビジネス電子版Special「TOPに訊く アビームコンサルティング 代表取締役社長CEO 山田貴博氏」 https://special.nikkeibp.co.jp/atclh/ONB/25/abeam1121/</w:t>
      </w:r>
    </w:p>
    <w:p>
      <w:pPr>
        <w:pStyle w:val="ListParagraph"/>
        <w:numPr>
          <w:ilvl w:val="0"/>
          <w:numId w:val="2"/>
        </w:numPr>
        <w:spacing w:after="80" w:line="280"/>
      </w:pPr>
      <w:r>
        <w:rPr>
          <w:sz w:val="21"/>
          <w:szCs w:val="21"/>
        </w:rPr>
        <w:t xml:space="preserve">みん就（日経HR）「アビームコンサルティングの夏インターン体験記」等インターン選考体験記</w:t>
      </w:r>
    </w:p>
    <w:p>
      <w:pPr>
        <w:pStyle w:val="ListParagraph"/>
        <w:numPr>
          <w:ilvl w:val="0"/>
          <w:numId w:val="2"/>
        </w:numPr>
        <w:spacing w:after="80" w:line="280"/>
      </w:pPr>
      <w:r>
        <w:rPr>
          <w:sz w:val="21"/>
          <w:szCs w:val="21"/>
        </w:rPr>
        <w:t xml:space="preserve">外資就活ドットコム／ワンキャリア「アビームコンサルティング インターンシップ情報」</w:t>
      </w:r>
    </w:p>
    <w:p>
      <w:pPr>
        <w:spacing w:after="120"/>
      </w:pPr>
    </w:p>
    <w:p>
      <w:pPr>
        <w:spacing w:after="160"/>
      </w:pPr>
      <w:r>
        <w:rPr>
          <w:i/>
          <w:iCs/>
          <w:color w:val="595959"/>
          <w:sz w:val="18"/>
          <w:szCs w:val="18"/>
        </w:rPr>
        <w:t xml:space="preserve">※ 会社提供資料以外の出典は公開のWeb情報に基づく。数値や制度内容は変更される場合があるため、面接直前には公式採用サイトで最新情報を確認すること。</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68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2026-08-20T21:55:52.290Z</dcterms:created>
  <dcterms:modified xsi:type="dcterms:W3CDTF">2026-08-20T21:55:52.290Z</dcterms:modified>
</cp:coreProperties>
</file>

<file path=docProps/custom.xml><?xml version="1.0" encoding="utf-8"?>
<Properties xmlns="http://schemas.openxmlformats.org/officeDocument/2006/custom-properties" xmlns:vt="http://schemas.openxmlformats.org/officeDocument/2006/docPropsVTypes"/>
</file>