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游ゴシック" w:cs="游ゴシック" w:eastAsia="游ゴシック" w:hAnsi="游ゴシック"/>
          <w:color w:val="666666"/>
          <w:sz w:val="20"/>
          <w:szCs w:val="20"/>
        </w:rPr>
        <w:t xml:space="preserve">KDDI株式会社 2027年度アカウンティングインターン エントリーシート</w:t>
      </w:r>
    </w:p>
    <w:p>
      <w:pPr>
        <w:pBdr>
          <w:bottom w:val="single" w:color="1F3864" w:sz="8" w:space="4"/>
        </w:pBdr>
        <w:spacing w:after="300"/>
      </w:pPr>
      <w:r>
        <w:rPr>
          <w:rFonts w:ascii="游ゴシック" w:cs="游ゴシック" w:eastAsia="游ゴシック" w:hAnsi="游ゴシック"/>
          <w:b/>
          <w:bCs/>
          <w:color w:val="1F3864"/>
          <w:sz w:val="32"/>
          <w:szCs w:val="32"/>
        </w:rPr>
        <w:t xml:space="preserve">志望理由</w:t>
      </w:r>
    </w:p>
    <w:p>
      <w:pPr>
        <w:spacing w:after="200" w:line="400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私の強みは、財務会計知識と法律知識を掛け合わせ、企業の実態を正確に読み解く力です。この強みは、貴社が持分法と連結を使い分けながら進めるM&amp;Aや事業ポートフォリオの見直しのような、会計と法務が交差する場面で活きると考えます。公認会計士試験の学習で培った、原因を分析し仮説検証を重ねて改善する力も、投資効果を継続検証する貴社のポートフォリオマネジメントに応用できます。経理として、この力を発揮したいです。</w:t>
      </w:r>
    </w:p>
    <w:p>
      <w:pPr>
        <w:spacing w:after="0"/>
      </w:pPr>
      <w:r>
        <w:rPr>
          <w:rFonts w:ascii="游ゴシック" w:cs="游ゴシック" w:eastAsia="游ゴシック" w:hAnsi="游ゴシック"/>
          <w:color w:val="888888"/>
          <w:sz w:val="18"/>
          <w:szCs w:val="18"/>
        </w:rPr>
        <w:t xml:space="preserve">（200字）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2026-09-17T02:04:22.735Z</dcterms:created>
  <dcterms:modified xsi:type="dcterms:W3CDTF">2026-09-17T02:04:22.745Z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