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・なお「アセットマネジメント業務」は、頭脳（運用先の検討・指図）と金庫（資産の保管・執行）を別法人にすることが法律で義務付けられているかどうかで、さらに2つに分かれる：</w:t>
      </w:r>
    </w:p>
    <w:p>
      <w:pPr>
        <w:spacing w:after="40" w:line="240"/>
        <w:ind w:left="260"/>
      </w:pPr>
      <w:r>
        <w:rPr>
          <w:b w:val="false"/>
          <w:bCs w:val="false"/>
          <w:snapToGrid w:val="false"/>
          <w:sz w:val="19"/>
          <w:szCs w:val="19"/>
        </w:rPr>
        <w:t xml:space="preserve">・　B-1（法定分離型）：公募投資信託の設定・運用（下表4番）は、投資信託及び投資法人に関する法律第3条により、頭脳（委託者＝アセマネ会社）と金庫（受託者＝信託銀行）を別法人にすることが法定されている。確定拠出年金向け商品の提供（下表5番）も、中身は同法に基づく投資信託であり、実質的に同じ枠組み。</w:t>
      </w:r>
    </w:p>
    <w:p>
      <w:pPr>
        <w:spacing w:after="40" w:line="240"/>
        <w:ind w:left="260"/>
      </w:pPr>
      <w:r>
        <w:rPr>
          <w:b w:val="false"/>
          <w:bCs w:val="false"/>
          <w:snapToGrid w:val="false"/>
          <w:sz w:val="19"/>
          <w:szCs w:val="19"/>
        </w:rPr>
        <w:t xml:space="preserve">・　B-2（任意・非法定型）：機関投資家向け運用受託（下表6番）やPE等のゲートキーパー業務（下表7番）は、頭脳がグループの別会社（アセマネ会社等）にあることが多いが、これは法律上の強制ではなく各グループの組織設計上の選択。投資一任業務は、信託銀行本体・アセマネ会社のどちらが行っても法的に同じ「投資運用業」であり、実質的な違いはない。</w:t>
      </w:r>
    </w:p>
    <w:p>
      <w:pPr>
        <w:spacing w:after="40" w:line="240"/>
        <w:ind w:left="260"/>
      </w:pPr>
      <w:r>
        <w:rPr>
          <w:b w:val="false"/>
          <w:bCs w:val="false"/>
          <w:snapToGrid w:val="false"/>
          <w:sz w:val="19"/>
          <w:szCs w:val="19"/>
        </w:rPr>
        <w:t xml:space="preserve">・　ここでいう「アセットマネジメント業務」は、頭脳の機能そのものを指す点に注意。頭脳がグループの別会社ではなく信託銀行本体内の専門部署（りそな銀行の信託財産運用部、三井住友信託銀行のオルタナティブ運用部等）にある場合は、金庫も同じ信託銀行が兼ねるため、上のセクションA「資産運用業務」の一部（下表3番）として整理し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11番、マーケット業務の一種。資産クラス別の内訳は下表C-1参照）として存在し、そこで培った目利き力を外部の機関投資家向けサービスへ展開したのが上記のB-2型ゲートキーパー業務（下表7番）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銀行・信託銀行本体の専門部署が担うのが基本形（ゆうちょ銀行のプライベートエクイティ投資部、SMTBの自己勘定投資等）　※別法人が頭脳を担う例としてJPインベストメント（ゆうちょ銀行等が出資、規模は限定的）</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※資金の出し手は常に銀行。頭脳が別法人の場合も、その法人は選定・助言を受任するのみで自らは出資していない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運用する」構造であり、対顧客の受託者責任は生じない。</w:t>
      </w:r>
    </w:p>
    <w:p>
      <w:pPr>
        <w:spacing w:after="40" w:line="240"/>
        <w:ind w:left="260"/>
      </w:pPr>
      <w:r>
        <w:rPr>
          <w:b w:val="false"/>
          <w:bCs w:val="false"/>
          <w:snapToGrid w:val="false"/>
          <w:sz w:val="19"/>
          <w:szCs w:val="19"/>
        </w:rPr>
        <w:t xml:space="preserve">・この「頭脳」がグループの別会社に分離されるかどうかは、グループによって異なる。三井住友信託銀行は1991年より自己勘定でのPE投資を信託銀行本体（自社内）で行っており、頭脳＝金庫＝同一会社が基本形。ゆうちょ銀行も同様で、プライベートエクイティ投資部は2026年4月の組織再編後も市場部門内に存続しており、7.6兆円規模の自己資金PE運用の頭脳は引き続き銀行本体にある可能性が高い（頭脳＝金庫＝同一会社）。</w:t>
      </w:r>
    </w:p>
    <w:p>
      <w:pPr>
        <w:spacing w:after="40" w:line="240"/>
        <w:ind w:left="260"/>
      </w:pPr>
      <w:r>
        <w:rPr>
          <w:b w:val="false"/>
          <w:bCs w:val="false"/>
          <w:snapToGrid w:val="false"/>
          <w:sz w:val="19"/>
          <w:szCs w:val="19"/>
        </w:rPr>
        <w:t xml:space="preserve">・「金庫＝銀行、頭脳＝別法人」という分離型の確実な例としては、ゆうちょ銀行・かんぽ生命が出資するJPインベストメント（2018年設立、約1,000億円規模の直接投資会社）が挙げられるが、これは前述の7.6兆円規模の自己資金PE運用とは別物で、規模も小さい。全グループ共通の定型パターンではなく、みずほ・三菱UFJ・りそなが自己資金PE投資の頭脳をどこまでグループ会社に分離しているかは、公開情報からは確認できていない。</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ゆうちょ銀行は信託免許を持たないため、金銭信託・年金信託そのものを取り扱えない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i/>
                <w:iCs/>
                <w:snapToGrid w:val="false"/>
                <w:color w:val="666666"/>
                <w:sz w:val="12"/>
                <w:szCs w:val="12"/>
              </w:rPr>
              <w:br/>
              <w:t xml:space="preserve">信託財産運用部インベストメントマネジメント室が、年金信託財産のオルタナティブ投資先の発掘・モニタリングを担当（信託銀行本体内の頭脳）</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ゆうちょ銀行は信託免許を持たないため、信託としての運用受託自体が成立しない（自己資金でのPE・不動産投資は下表11・12番を参照）</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オルタナティブ運用部が、信託財産のPE・オルタナティブ投資先の選定・モニタリングを担当（信託銀行本体内の頭脳）</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アセットマネジメント業務（銀行・信託銀行等からの委託を受け、運用先の検討・運用指図を行う業務）</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B-1. 法定分離型（投信法第3条により、頭脳＝委託者と金庫＝受託者を別法人にすることが義務付けられている業務）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B-2. 任意・非法定型（法律上の強制分離はないが、実務上「頭脳」を専門的に担う業務）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PE・不動産等オルタナティブのゲートキーパー業務（信託銀行本体とは別の、グループ専業会社による運用受任）</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JPインベストメント（現・ゆうちょアセットマネジメント傘下）</w:t>
            </w:r>
            <w:r>
              <w:rPr>
                <w:i/>
                <w:iCs/>
                <w:snapToGrid w:val="false"/>
                <w:color w:val="666666"/>
                <w:sz w:val="12"/>
                <w:szCs w:val="12"/>
              </w:rPr>
              <w:br/>
              <w:t xml:space="preserve">2018年設立、ゆうちょ銀行600億円・かんぽ生命300億円等の出資による直接投資会社。頭脳＝JPインベストメント、金庫＝ゆうちょ銀行（出資者）という構図が明確な例だが、規模は約1,000億円と小さい。PE投資の主軸（7.6兆円）は下表11番の自己資金運用で、こちらとは別物</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信託銀行本体とは別法人。2025年10月にゲートキーパー機能を集約した専業子会社（信託銀行本体のオルタナティブ運用部＝上表3番とは別組織）</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C-1. 自己勘定投資業務（資産クラス別）</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伝統的市場性資産（国債・社債・外国証券・株式等）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オルタナティブ①：プライベートエクイティ（PE）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自己勘定でのPE投資の規模・専属部署は未確認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自社のプライベートエクイティ投資部が主導し、2025年9月末時点で7.6兆円（国内最大級）。同部は2026年4月以降も市場部門内に存続しており、頭脳＝金庫＝ゆうちょ銀行自身の可能性が高い（SMTBと同型）。別法人JPインベストメント（1,000億円規模、下表7番参照）とは別物</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1991年より自己勘定でPE投資を開始（信託銀行本体）</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オルタナティブ②：不動産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都心部オフィスビル中心の直接投資。2025年9月末時点で4.9兆円</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オルタナティブ③：インフラストラクチャー</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オルタナティブ投資の一部として言及あり。規模は未確認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オルタナティブ④：プライベートデット／ダイレクトレンディング</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部署名・規模とも未確認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オルタナティブ⑤：ヘッジファンド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2016年度開始。一時点で5,197億円の投資実績を確認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オルタナティブ⑥：コモディティ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オルタナティブ投資の一部として言及のみ。規模は未確認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ただしPE等のオルタナティブ投資（上表3番）は、りそな銀行本体の「信託財産運用部インベストメントマネジメント室」が信託財産向けに扱っており、りそなアセットマネジメントとは別組織。</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同投資部は2026年4月以降も市場部門内に存続しており、この自己資金運用の頭脳・金庫はいずれもゆうちょ銀行自身と見られる。別途、2026年4月に傘下のJP投信（個人向け投信の設定・運用）とJPインベストメント（2018年設立、ゆうちょ銀行・かんぽ生命自身の出資による小規模な直接投資会社）を統合し「ゆうちょアセットマネジメント」を設立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またPE等のオルタナティブ投資については、三井住友信託銀行本体の「オルタナティブ運用部」（信託財産向け、上表3番）と、別法人の「三井住友トラスト・インベストメント」（外部機関投資家向けゲートキーパー業務、上表7番）が並存しており、両者の役割分担の詳細は完全には確認できていない。</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上表で用いた18の業務種類について、それぞれの業務内容を簡潔にまとめた一覧です。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として投資先の発掘・選定・モニタリングを担うのが特徴で、金庫（資産の保管・執行）も同じ信託銀行が兼ねる。信託免許を持たないゆうちょ銀行は、この形態の業務そのものを行えな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アセットマネジメント業務（銀行・信託銀行等からの委託を受け、運用先の検討・運用指図を行う業務）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B-1. 法定分離型（投信法第3条により、頭脳＝委託者と金庫＝受託者を別法人にすることが義務付けられている業務）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B-2. 任意・非法定型（法律上の強制分離はないが、実務上「頭脳」を専門的に担う業務）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PE・不動産等オルタナティブのゲートキーパー業務（信託銀行本体とは別の、グループ専業会社による運用受任）</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上表3番との違いは主体で、3番は信託銀行本体が頭脳を兼ねるのに対し、この業務は信託銀行本体とは別法人（グループの専業子会社等）が頭脳を担う。三井住友トラスト・インベストメント（SMBCトラストグループ、2025年10月にゲートキーパー機能を集約）が代表例。法律上の強制分離ではなく、各グループの組織設計上の選択である点に注意。</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C-1. 自己勘定投資業務（資産クラス別）</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伝統的市場性資産（国債・社債・外国証券・株式等）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外国証券・株式等の伝統的な市場性有価証券に投資し、運用収益を獲得する業務。日々時価評価される流動性の高い資産が対象で、市場部門・資金証券部等が担う自己勘定投資の中核。</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オルタナティブ①：プライベートエクイティ（PE）</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未上場企業への出資（バイアウト・ベンチャー・グロースエクイティ等）に配分する業務。長期のロックアップを伴う。銀行自身の目利き力を要する点で、投資信託等の伝統資産とは運用手法が大きく異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オルタナティブ②：不動産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自己資金をオフィスビル等の実物不動産、または不動産ファンドに配分する業務。インカムゲイン（賃料収入）中心で、伝統資産と相関が低い分散効果が期待される。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オルタナティブ③：インフラストラクチャー</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自己資金を発電・交通・通信等のインフラ資産や、インフラファンドに配分する業務。長期・安定的なキャッシュフローを狙う投資で、年金基金等の長期投資家に好まれる資産クラス。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オルタナティブ④：プライベートデット／ダイレクトレンディング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自己資金を、銀行融資の代替として非上場企業向けに直接貸付・メザニン投資等を行う業務。プライベートエクイティと伝統的なクレジット投資の中間的な性格を持つ。</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オルタナティブ⑤：ヘッジファンド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自己資金を、ロング・ショートやマクロ戦略等、市場の方向性に依存しない絶対収益追求型のファンドに配分する業務。伝統資産の変動と相関が低いリターン源の獲得が目的。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オルタナティブ⑥：コモディティ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自己資金を金・原油等の実物資産や、それに連動する金融商品に配分する業務。インフレヘッジや分散効果を狙う。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2026-08-23T01:24:31.409Z</dcterms:created>
  <dcterms:modified xsi:type="dcterms:W3CDTF">2026-08-23T01:24:31.423Z</dcterms:modified>
</cp:coreProperties>
</file>

<file path=docProps/custom.xml><?xml version="1.0" encoding="utf-8"?>
<Properties xmlns="http://schemas.openxmlformats.org/officeDocument/2006/custom-properties" xmlns:vt="http://schemas.openxmlformats.org/officeDocument/2006/docPropsVTypes"/>
</file>