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KPMGケース面接 振り返り資料</w:t>
      </w:r>
    </w:p>
    <w:p>
      <w:r>
        <w:rPr>
          <w:b/>
          <w:bCs/>
        </w:rPr>
        <w:t xml:space="preserve">テーマ：BEVの普及のためトヨタに向けた提言策定</w:t>
      </w:r>
    </w:p>
    <w:p/>
    <w:p>
      <w:pPr>
        <w:pStyle w:val="Heading1"/>
      </w:pPr>
      <w:r>
        <w:t xml:space="preserve">1. 普及阻害要因の評価(インパクト×コントロール、各5点満点)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100"/>
        <w:gridCol w:w="1300"/>
        <w:gridCol w:w="1100"/>
        <w:gridCol w:w="2700"/>
      </w:tblGrid>
      <w:tr>
        <w:trPr>
          <w:tblHeader/>
        </w:trPr>
        <w:tc>
          <w:tcPr>
            <w:tcW w:type="dxa" w:w="700"/>
            <w:shd w:fill="D9E2F3" w:val="clear"/>
          </w:tcPr>
          <w:p>
            <w:r>
              <w:rPr>
                <w:b/>
                <w:bCs/>
              </w:rPr>
              <w:t xml:space="preserve"/>
            </w:r>
          </w:p>
        </w:tc>
        <w:tc>
          <w:tcPr>
            <w:tcW w:type="dxa" w:w="2600"/>
            <w:shd w:fill="D9E2F3" w:val="clear"/>
          </w:tcPr>
          <w:p>
            <w:r>
              <w:rPr>
                <w:b/>
                <w:bCs/>
              </w:rPr>
              <w:t xml:space="preserve">要因</w:t>
            </w:r>
          </w:p>
        </w:tc>
        <w:tc>
          <w:tcPr>
            <w:tcW w:type="dxa" w:w="1100"/>
            <w:shd w:fill="D9E2F3" w:val="clear"/>
          </w:tcPr>
          <w:p>
            <w:r>
              <w:rPr>
                <w:b/>
                <w:bCs/>
              </w:rPr>
              <w:t xml:space="preserve">インパクト</w:t>
            </w:r>
          </w:p>
        </w:tc>
        <w:tc>
          <w:tcPr>
            <w:tcW w:type="dxa" w:w="1300"/>
            <w:shd w:fill="D9E2F3" w:val="clear"/>
          </w:tcPr>
          <w:p>
            <w:r>
              <w:rPr>
                <w:b/>
                <w:bCs/>
              </w:rPr>
              <w:t xml:space="preserve">コントロール</w:t>
            </w:r>
          </w:p>
        </w:tc>
        <w:tc>
          <w:tcPr>
            <w:tcW w:type="dxa" w:w="1100"/>
            <w:shd w:fill="D9E2F3" w:val="clear"/>
          </w:tcPr>
          <w:p>
            <w:r>
              <w:rPr>
                <w:b/>
                <w:bCs/>
              </w:rPr>
              <w:t xml:space="preserve">点数</w:t>
            </w:r>
          </w:p>
        </w:tc>
        <w:tc>
          <w:tcPr>
            <w:tcW w:type="dxa" w:w="2700"/>
            <w:shd w:fill="D9E2F3" w:val="clear"/>
          </w:tcPr>
          <w:p>
            <w:r>
              <w:rPr>
                <w:b/>
                <w:bCs/>
              </w:rPr>
              <w:t xml:space="preserve">評価根拠</w:t>
            </w:r>
          </w:p>
        </w:tc>
      </w:tr>
      <w:tr>
        <w:tc>
          <w:tcPr>
            <w:tcW w:type="dxa" w:w="700"/>
          </w:tcPr>
          <w:p>
            <w:r>
              <w:t xml:space="preserve">①</w:t>
            </w:r>
          </w:p>
        </w:tc>
        <w:tc>
          <w:tcPr>
            <w:tcW w:type="dxa" w:w="2600"/>
          </w:tcPr>
          <w:p>
            <w:r>
              <w:t xml:space="preserve">高価な車両価格</w:t>
            </w:r>
          </w:p>
        </w:tc>
        <w:tc>
          <w:tcPr>
            <w:tcW w:type="dxa" w:w="1100"/>
          </w:tcPr>
          <w:p>
            <w:r>
              <w:t xml:space="preserve">3</w:t>
            </w:r>
          </w:p>
        </w:tc>
        <w:tc>
          <w:tcPr>
            <w:tcW w:type="dxa" w:w="1300"/>
          </w:tcPr>
          <w:p>
            <w:r>
              <w:t xml:space="preserve">3</w:t>
            </w:r>
          </w:p>
        </w:tc>
        <w:tc>
          <w:tcPr>
            <w:tcW w:type="dxa" w:w="1100"/>
          </w:tcPr>
          <w:p>
            <w:r>
              <w:t xml:space="preserve">9</w:t>
            </w:r>
          </w:p>
        </w:tc>
        <w:tc>
          <w:tcPr>
            <w:tcW w:type="dxa" w:w="2700"/>
          </w:tcPr>
          <w:p>
            <w:r>
              <w:t xml:space="preserve">国・自治体の補助でハイブリッド車と実質同価格でも普及が進まない事実から、価格は本質的なボトルネックではないと判断</w:t>
            </w:r>
          </w:p>
        </w:tc>
      </w:tr>
      <w:tr>
        <w:tc>
          <w:tcPr>
            <w:tcW w:type="dxa" w:w="700"/>
          </w:tcPr>
          <w:p>
            <w:r>
              <w:t xml:space="preserve">②</w:t>
            </w:r>
          </w:p>
        </w:tc>
        <w:tc>
          <w:tcPr>
            <w:tcW w:type="dxa" w:w="2600"/>
          </w:tcPr>
          <w:p>
            <w:r>
              <w:t xml:space="preserve">充電設備の環境不備(自宅・自宅外)</w:t>
            </w:r>
          </w:p>
        </w:tc>
        <w:tc>
          <w:tcPr>
            <w:tcW w:type="dxa" w:w="1100"/>
          </w:tcPr>
          <w:p>
            <w:r>
              <w:t xml:space="preserve">5</w:t>
            </w:r>
          </w:p>
        </w:tc>
        <w:tc>
          <w:tcPr>
            <w:tcW w:type="dxa" w:w="1300"/>
          </w:tcPr>
          <w:p>
            <w:r>
              <w:t xml:space="preserve">4</w:t>
            </w:r>
          </w:p>
        </w:tc>
        <w:tc>
          <w:tcPr>
            <w:tcW w:type="dxa" w:w="1100"/>
          </w:tcPr>
          <w:p>
            <w:r>
              <w:t xml:space="preserve">20</w:t>
            </w:r>
          </w:p>
        </w:tc>
        <w:tc>
          <w:tcPr>
            <w:tcW w:type="dxa" w:w="2700"/>
          </w:tcPr>
          <w:p>
            <w:r>
              <w:t xml:space="preserve">両資料で一貫して最上位の阻害要因。担い手が充電網・電力会社・Tesla・石油会社等に分散しており、トヨタが提携等で入り込む余地が大きい</w:t>
            </w:r>
          </w:p>
        </w:tc>
      </w:tr>
      <w:tr>
        <w:tc>
          <w:tcPr>
            <w:tcW w:type="dxa" w:w="700"/>
          </w:tcPr>
          <w:p>
            <w:r>
              <w:t xml:space="preserve">③</w:t>
            </w:r>
          </w:p>
        </w:tc>
        <w:tc>
          <w:tcPr>
            <w:tcW w:type="dxa" w:w="2600"/>
          </w:tcPr>
          <w:p>
            <w:r>
              <w:t xml:space="preserve">航続距離不安</w:t>
            </w:r>
          </w:p>
        </w:tc>
        <w:tc>
          <w:tcPr>
            <w:tcW w:type="dxa" w:w="1100"/>
          </w:tcPr>
          <w:p>
            <w:r>
              <w:t xml:space="preserve">―</w:t>
            </w:r>
          </w:p>
        </w:tc>
        <w:tc>
          <w:tcPr>
            <w:tcW w:type="dxa" w:w="1300"/>
          </w:tcPr>
          <w:p>
            <w:r>
              <w:t xml:space="preserve">―</w:t>
            </w:r>
          </w:p>
        </w:tc>
        <w:tc>
          <w:tcPr>
            <w:tcW w:type="dxa" w:w="1100"/>
          </w:tcPr>
          <w:p>
            <w:r>
              <w:t xml:space="preserve">②に統合</w:t>
            </w:r>
          </w:p>
        </w:tc>
        <w:tc>
          <w:tcPr>
            <w:tcW w:type="dxa" w:w="2700"/>
          </w:tcPr>
          <w:p>
            <w:r>
              <w:t xml:space="preserve">充電インフラの不足が航続距離不安の実質的な原因であるとし、②の中で扱う</w:t>
            </w:r>
          </w:p>
        </w:tc>
      </w:tr>
      <w:tr>
        <w:tc>
          <w:tcPr>
            <w:tcW w:type="dxa" w:w="700"/>
          </w:tcPr>
          <w:p>
            <w:r>
              <w:t xml:space="preserve">④</w:t>
            </w:r>
          </w:p>
        </w:tc>
        <w:tc>
          <w:tcPr>
            <w:tcW w:type="dxa" w:w="2600"/>
          </w:tcPr>
          <w:p>
            <w:r>
              <w:t xml:space="preserve">車種の少なさ</w:t>
            </w:r>
          </w:p>
        </w:tc>
        <w:tc>
          <w:tcPr>
            <w:tcW w:type="dxa" w:w="1100"/>
          </w:tcPr>
          <w:p>
            <w:r>
              <w:t xml:space="preserve">4</w:t>
            </w:r>
          </w:p>
        </w:tc>
        <w:tc>
          <w:tcPr>
            <w:tcW w:type="dxa" w:w="1300"/>
          </w:tcPr>
          <w:p>
            <w:r>
              <w:t xml:space="preserve">5</w:t>
            </w:r>
          </w:p>
        </w:tc>
        <w:tc>
          <w:tcPr>
            <w:tcW w:type="dxa" w:w="1100"/>
          </w:tcPr>
          <w:p>
            <w:r>
              <w:t xml:space="preserve">20</w:t>
            </w:r>
          </w:p>
        </w:tc>
        <w:tc>
          <w:tcPr>
            <w:tcW w:type="dxa" w:w="2700"/>
          </w:tcPr>
          <w:p>
            <w:r>
              <w:t xml:space="preserve">自社の商品戦略のみで完結でき、トヨタが単独で意思決定・実行できる領域</w:t>
            </w:r>
          </w:p>
        </w:tc>
      </w:tr>
      <w:tr>
        <w:tc>
          <w:tcPr>
            <w:tcW w:type="dxa" w:w="700"/>
          </w:tcPr>
          <w:p>
            <w:r>
              <w:t xml:space="preserve">⑤</w:t>
            </w:r>
          </w:p>
        </w:tc>
        <w:tc>
          <w:tcPr>
            <w:tcW w:type="dxa" w:w="2600"/>
          </w:tcPr>
          <w:p>
            <w:r>
              <w:t xml:space="preserve">中古で売却しにくさ</w:t>
            </w:r>
          </w:p>
        </w:tc>
        <w:tc>
          <w:tcPr>
            <w:tcW w:type="dxa" w:w="1100"/>
          </w:tcPr>
          <w:p>
            <w:r>
              <w:t xml:space="preserve">2</w:t>
            </w:r>
          </w:p>
        </w:tc>
        <w:tc>
          <w:tcPr>
            <w:tcW w:type="dxa" w:w="1300"/>
          </w:tcPr>
          <w:p>
            <w:r>
              <w:t xml:space="preserve">3</w:t>
            </w:r>
          </w:p>
        </w:tc>
        <w:tc>
          <w:tcPr>
            <w:tcW w:type="dxa" w:w="1100"/>
          </w:tcPr>
          <w:p>
            <w:r>
              <w:t xml:space="preserve">6</w:t>
            </w:r>
          </w:p>
        </w:tc>
        <w:tc>
          <w:tcPr>
            <w:tcW w:type="dxa" w:w="2700"/>
          </w:tcPr>
          <w:p>
            <w:r>
              <w:t xml:space="preserve">他要因と比べ言及順位・重要度ともに低い</w:t>
            </w:r>
          </w:p>
        </w:tc>
      </w:tr>
      <w:tr>
        <w:tc>
          <w:tcPr>
            <w:tcW w:type="dxa" w:w="700"/>
          </w:tcPr>
          <w:p>
            <w:r>
              <w:t xml:space="preserve">⑥</w:t>
            </w:r>
          </w:p>
        </w:tc>
        <w:tc>
          <w:tcPr>
            <w:tcW w:type="dxa" w:w="2600"/>
          </w:tcPr>
          <w:p>
            <w:r>
              <w:t xml:space="preserve">電池部品調達の資源国依存リスク</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地政学的要因が強く、トヨタ単独でのコントロールは限定的</w:t>
            </w:r>
          </w:p>
        </w:tc>
      </w:tr>
      <w:tr>
        <w:tc>
          <w:tcPr>
            <w:tcW w:type="dxa" w:w="700"/>
          </w:tcPr>
          <w:p>
            <w:r>
              <w:t xml:space="preserve">⑦</w:t>
            </w:r>
          </w:p>
        </w:tc>
        <w:tc>
          <w:tcPr>
            <w:tcW w:type="dxa" w:w="2600"/>
          </w:tcPr>
          <w:p>
            <w:r>
              <w:t xml:space="preserve">電気エンジニア不足</w:t>
            </w:r>
          </w:p>
        </w:tc>
        <w:tc>
          <w:tcPr>
            <w:tcW w:type="dxa" w:w="1100"/>
          </w:tcPr>
          <w:p>
            <w:r>
              <w:t xml:space="preserve">4</w:t>
            </w:r>
          </w:p>
        </w:tc>
        <w:tc>
          <w:tcPr>
            <w:tcW w:type="dxa" w:w="1300"/>
          </w:tcPr>
          <w:p>
            <w:r>
              <w:t xml:space="preserve">2</w:t>
            </w:r>
          </w:p>
        </w:tc>
        <w:tc>
          <w:tcPr>
            <w:tcW w:type="dxa" w:w="1100"/>
          </w:tcPr>
          <w:p>
            <w:r>
              <w:t xml:space="preserve">8</w:t>
            </w:r>
          </w:p>
        </w:tc>
        <w:tc>
          <w:tcPr>
            <w:tcW w:type="dxa" w:w="2700"/>
          </w:tcPr>
          <w:p>
            <w:r>
              <w:t xml:space="preserve">業界全体での人材獲得競争のため、トヨタ単独でのコントロールは中程度</w:t>
            </w:r>
          </w:p>
        </w:tc>
      </w:tr>
    </w:tbl>
    <w:p/>
    <w:p>
      <w:r>
        <w:rPr>
          <w:b/>
          <w:bCs/>
        </w:rPr>
        <w:t xml:space="preserve">→ ②充電設備の環境不備、④車種の少なさ が20点で重要課題として特定された。</w:t>
      </w:r>
    </w:p>
    <w:p/>
    <w:p>
      <w:pPr>
        <w:pStyle w:val="Heading1"/>
      </w:pPr>
      <w:r>
        <w:t xml:space="preserve">2. 施策提案</w:t>
      </w:r>
    </w:p>
    <w:p>
      <w:r>
        <w:rPr>
          <w:b/>
          <w:bCs/>
        </w:rPr>
        <w:t xml:space="preserve">(1) 充電設備の充実(②への対応)</w:t>
      </w:r>
    </w:p>
    <w:p>
      <w:r>
        <w:t xml:space="preserve">① 自社販売網への充電設備構築</w:t>
      </w:r>
    </w:p>
    <w:p>
      <w:r>
        <w:t xml:space="preserve">② 他社(コンビニ・マンション)との協業</w:t>
      </w:r>
    </w:p>
    <w:p>
      <w:r>
        <w:t xml:space="preserve">③ 電力会社との合弁会社設立による有料充電サービス事業</w:t>
      </w:r>
    </w:p>
    <w:p/>
    <w:p>
      <w:r>
        <w:rPr>
          <w:b/>
          <w:bCs/>
        </w:rPr>
        <w:t xml:space="preserve">(2) BEV車種の増強(④への対応)</w:t>
      </w:r>
    </w:p>
    <w:p>
      <w:r>
        <w:t xml:space="preserve">④ トヨタ人気車種へのBEVラインナップ追加</w:t>
      </w:r>
    </w:p>
    <w:p>
      <w:r>
        <w:t xml:space="preserve">⑤ 車両サイズに満遍なくBEV車種設定</w:t>
      </w:r>
    </w:p>
    <w:p/>
    <w:p>
      <w:pPr>
        <w:pStyle w:val="Heading1"/>
      </w:pPr>
      <w:r>
        <w:t xml:space="preserve">3. 想定される追加質問と回答</w:t>
      </w:r>
    </w:p>
    <w:p>
      <w:r>
        <w:t xml:space="preserve">※回答は、KPMGから渡された2つのレポートに記載された内容、または信吾自身の判断・解釈・経験のみで構成しています。それ以外のレポートは根拠として使用していません。</w:t>
      </w:r>
    </w:p>
    <w:p>
      <w:pPr>
        <w:spacing w:before="200"/>
      </w:pPr>
      <w:r>
        <w:rPr>
          <w:b/>
          <w:bCs/>
        </w:rPr>
        <w:t xml:space="preserve">Q1. 「インパクト」と「コントロール(実現可能性)」は、それぞれ何を根拠に5段階評価したのか？</w:t>
      </w:r>
    </w:p>
    <w:p>
      <w:r>
        <w:t xml:space="preserve">A. インパクトは、KPMG Insight Vol.60における「BEVを選択しない理由」の記載順位(充電インフラの問題、購入価格の問題が上位、航続距離の問題、乗りたいクルマがないが続く)を基準としました。コントロールは、24th Annual Global Automotive Executive Surveyにおける「EV充電ステーションの運営に最も適した主体」の設問結果(充電ネットワーク19%、電力会社19%、Tesla17%、既存石油会社17%と特定の担い手に集中していない)を踏まえ、トヨタが単独または提携によって関与できる余地の大きさを基準に評価しました。</w:t>
      </w:r>
    </w:p>
    <w:p>
      <w:pPr>
        <w:spacing w:before="200"/>
      </w:pPr>
      <w:r>
        <w:rPr>
          <w:b/>
          <w:bCs/>
        </w:rPr>
        <w:t xml:space="preserve">Q2. ②充電設備の環境不備と④車種の少なさが、なぜ他の要因より重要と判断したのか？</w:t>
      </w:r>
    </w:p>
    <w:p>
      <w:r>
        <w:t xml:space="preserve">A. ②は、KPMG Insight Vol.60でBEVを選択しない理由の最上位に位置づけられており、かつ24th Annual Global Automotive Executive Surveyで示される通り充電インフラの担い手構造がまだ分散段階にあるため、トヨタが自社網構築や他社協業・電力会社との合弁によって関与できる余地(コントロール)が大きいと判断しました。④については、車種戦略が外部要因に左右されず自社の意思決定のみで実行できる点をコントロールが最も高い理由としました。</w:t>
      </w:r>
    </w:p>
    <w:p>
      <w:pPr>
        <w:spacing w:before="200"/>
      </w:pPr>
      <w:r>
        <w:rPr>
          <w:b/>
          <w:bCs/>
        </w:rPr>
        <w:t xml:space="preserve">Q3. ①価格のインパクトを低く評価した理由は？</w:t>
      </w:r>
    </w:p>
    <w:p>
      <w:r>
        <w:t xml:space="preserve">A. 国や自治体の補助により、BEVは実質的にハイブリッド車と同水準の価格で購入可能な状況になっているにもかかわらず、日本の消費者のBEV購入意向はKPMG Insight Vol.60によれば2021年・2022年ともに12%で横ばいという事実があります。この点から、価格そのものは普及を妨げる本質的な要因ではないと判断し、インパクトを低く評価しました。</w:t>
      </w:r>
    </w:p>
    <w:p>
      <w:pPr>
        <w:spacing w:before="200"/>
      </w:pPr>
      <w:r>
        <w:rPr>
          <w:b/>
          <w:bCs/>
        </w:rPr>
        <w:t xml:space="preserve">Q4. ③航続距離不安を独立した要因として扱わなかったのはなぜか？</w:t>
      </w:r>
    </w:p>
    <w:p>
      <w:r>
        <w:t xml:space="preserve">A. KPMG Insight Vol.60は、BEVユーザーの体験として充電器数の不足や充電時間の長さへの不満を課題として挙げています。信吾は、この充電インフラの不備そのものが航続距離不安の実質的な原因であると考え、③を独立要因とせず②に統合するという判断を下しました。この統合は資料の記載を踏まえた信吾自身の解釈です。</w:t>
      </w:r>
    </w:p>
    <w:p>
      <w:pPr>
        <w:spacing w:before="200"/>
      </w:pPr>
      <w:r>
        <w:rPr>
          <w:b/>
          <w:bCs/>
        </w:rPr>
        <w:t xml:space="preserve">Q5. ⑥⑦(自動車会社側要因)を、購入者側要因と同じ評価軸で比較した妥当性は？</w:t>
      </w:r>
    </w:p>
    <w:p>
      <w:r>
        <w:t xml:space="preserve">A. ⑥電池部品調達の資源国依存リスクについては、24th Annual Global Automotive Executive Surveyにおいて中国以外の回答者の45%が電池部品の供給継続に強い懸念を示しており、インパクトは高いと評価しました。ただしこれは地政学的要因に強く依存するため、トヨタ単独でのコントロールは限定的と評価しました。⑦電気エンジニア不足についても、同surveyでAI/AVソフトウェアエンジニアが「今後最も重要なスキル」の第1位に挙げられており、業界横断での人材獲得競争を踏まえるとトヨタ単独でのコントロールは中程度にとどまると判断しました。</w:t>
      </w:r>
    </w:p>
    <w:p>
      <w:pPr>
        <w:spacing w:before="200"/>
      </w:pPr>
      <w:r>
        <w:rPr>
          <w:b/>
          <w:bCs/>
        </w:rPr>
        <w:t xml:space="preserve">Q6. 施策提案(充電設備の充実・BEV車種の増強)について、どの資料を根拠にしたか？</w:t>
      </w:r>
    </w:p>
    <w:p>
      <w:r>
        <w:t xml:space="preserve">A. 充電設備の充実案のうち、他社(コンビニ・マンション)との協業は、KPMG Insight Vol.60が指摘する集合住宅における自宅充電の整備困難という課題に対応する打ち手です。電力会社との合弁会社設立案は、24th Annual Global Automotive Executive Surveyにおいて電力会社が充電インフラの担い手として最有力候補の一角(19%)に位置づけられている点を根拠としています。BEV車種増強については、信吾自身の判断として、商品ラインナップの拡充が競争力向上につながると位置づけました。</w:t>
      </w:r>
    </w:p>
    <w:p>
      <w:pPr>
        <w:spacing w:before="200"/>
      </w:pPr>
      <w:r>
        <w:rPr>
          <w:b/>
          <w:bCs/>
        </w:rPr>
        <w:t xml:space="preserve">Q7. このケース面接に向けて、事前に何か対策をしたか？</w:t>
      </w:r>
    </w:p>
    <w:p>
      <w:r>
        <w:t xml:space="preserve">A. KPMGのインターン選考ではケース面接の題材にKPMG自身のレポートが使われる傾向があるという情報をネットで事前に把握しており、直近のKPMGレポートには目を通して備えていました。また、高校時代から続けている株式投資の経験や、大学入学後に取り組んできた財務会計の学習(簿記2級・簿記1級)を通じて、企業分析や資料の数値を読み解く力については日頃から意識して鍛えていました。</w:t>
      </w:r>
    </w:p>
    <w:p>
      <w:pPr>
        <w:spacing w:before="200"/>
      </w:pPr>
      <w:r>
        <w:rPr>
          <w:b/>
          <w:bCs/>
        </w:rPr>
        <w:t xml:space="preserve">Q8. 今回出題されたレポートは初見だったか？</w:t>
      </w:r>
    </w:p>
    <w:p>
      <w:r>
        <w:t xml:space="preserve">A. はい、初見でした。事前に確認していたのは直近のKPMGレポートで、今回出題された2つのレポート(24th Annual Global Automotive Executive Survey、KPMG Insight Vol.60)自体は当日初めて目にしました。ただし、KPMGレポートの構成(グローバル経営者調査と国別・消費者調査を組み合わせる分析スタイル)には事前の確認を通じて慣れていたため、初見でも短時間で構造を把握することができました。</w:t>
      </w:r>
    </w:p>
    <w:p>
      <w:pPr>
        <w:spacing w:before="200"/>
      </w:pPr>
      <w:r>
        <w:rPr>
          <w:b/>
          <w:bCs/>
        </w:rPr>
        <w:t xml:space="preserve">Q9. 90分という時間制約の中で、何を諦めたか？</w:t>
      </w:r>
    </w:p>
    <w:p>
      <w:r>
        <w:t xml:space="preserve">A. 主に2つあります。1つ目は、要因分析を具体的な数値根拠から導くことです。配布資料には「BEVを選択しない理由」の順位は記載されていましたが、具体的なパーセンテージまでは載っておらず、時間内に他の資料を探しにいくことはせず、記載された順位関係を根拠に評価を組み立てることを優先しました。2つ目は、トヨタ自体の強み・弱みを分析し、施策に反映することです。配布資料にはトヨタ固有の詳細情報(決算状況や製品戦略等)が含まれておらず、追加のリサーチが必要な領域だったため、業界全体の構造分析(阻害要因の抽出・評価・施策提案)を優先し、自社分析は今回は見送りました。</w:t>
      </w:r>
    </w:p>
    <w:p>
      <w:pPr>
        <w:spacing w:before="200"/>
      </w:pPr>
      <w:r>
        <w:rPr>
          <w:b/>
          <w:bCs/>
        </w:rPr>
        <w:t xml:space="preserve">Q10. 数ある自動車メーカーの中で、なぜトヨタを選んだのか？</w:t>
      </w:r>
    </w:p>
    <w:p>
      <w:r>
        <w:t xml:space="preserve">A. 24th Annual Global Automotive Executive Surveyにおいて、2030年のBEV市場リーダー予測でトヨタが7位に浮上しており、日本市場では存在感を強めつつある一方、Tesla・BMW・Audiなど上位勢とはまだ差があるという記載がありました。世界最大級の生産・販売台数を持つメーカーでありながら、BEVでは上位に食い込めていないというギャップに着目しました。また、KPMG Insight Vol.60は日本市場の消費者動向(BEV購入意向12%、充電・価格への懸念等)を分析したレポートであり、日本を代表する自動車メーカーであるトヨタを対象とすることで、この日本特有の課題に最も直結した提言ができると考え、トヨタを選びました。</w:t>
      </w:r>
    </w:p>
    <w:p/>
    <w:p>
      <w:pPr>
        <w:pStyle w:val="Heading2"/>
      </w:pPr>
      <w:r>
        <w:t xml:space="preserve">参照資料</w:t>
      </w:r>
    </w:p>
    <w:p>
      <w:r>
        <w:t xml:space="preserve">・KPMG International「24th Annual Global Automotive Executive Survey: Getting real about the EV transition」(2024年1月)</w:t>
      </w:r>
    </w:p>
    <w:p>
      <w:r>
        <w:t xml:space="preserve">・KPMG Insight Vol.60「KPMGグローバル自動車業界調査2022から考察する自動車業界の将来展望」(KPMGジャパン、2023年5月)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2026-07-20T22:37:27.236Z</dcterms:created>
  <dcterms:modified xsi:type="dcterms:W3CDTF">2026-07-20T22:37:27.236Z</dcterms:modified>
</cp:coreProperties>
</file>

<file path=docProps/custom.xml><?xml version="1.0" encoding="utf-8"?>
<Properties xmlns="http://schemas.openxmlformats.org/officeDocument/2006/custom-properties" xmlns:vt="http://schemas.openxmlformats.org/officeDocument/2006/docPropsVTypes"/>
</file>