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大貴のインターン活動 整理と今後のアドバイス</w:t>
      </w:r>
    </w:p>
    <w:p>
      <w:pPr>
        <w:spacing w:after="120"/>
      </w:pPr>
      <w:r>
        <w:rPr>
          <w:color w:val="444444"/>
          <w:sz w:val="20"/>
          <w:szCs w:val="20"/>
        </w:rPr>
        <w:t xml:space="preserve">2026年8〜9月時点の状況整理（エントリー・選考結果・実施済みインターンの振り返り）と、今後の就職活動に向けた具体的アドバイス</w:t>
      </w:r>
    </w:p>
    <w:p>
      <w:pPr>
        <w:spacing w:after="100"/>
      </w:pPr>
    </w:p>
    <w:p>
      <w:pPr>
        <w:pStyle w:val="Heading1"/>
        <w:spacing w:after="150" w:before="320"/>
      </w:pPr>
      <w:r>
        <w:t xml:space="preserve">1. エントリー社一覧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826"/>
        <w:gridCol w:w="4300"/>
      </w:tblGrid>
      <w:tr>
        <w:tc>
          <w:tcPr>
            <w:tcW w:type="dxa" w:w="500"/>
            <w:shd w:fill="1F3864" w:val="clear"/>
            <w:tcMar>
              <w:top w:type="dxa" w:w="60"/>
              <w:left w:type="dxa" w:w="100"/>
              <w:bottom w:type="dxa" w:w="60"/>
              <w:right w:type="dxa" w:w="100"/>
            </w:tcMar>
          </w:tcPr>
          <w:p>
            <w:pPr>
              <w:jc w:val="left"/>
            </w:pPr>
            <w:r>
              <w:rPr>
                <w:b/>
                <w:bCs/>
                <w:color w:val="FFFFFF"/>
                <w:sz w:val="20"/>
                <w:szCs w:val="20"/>
              </w:rPr>
              <w:t xml:space="preserve">No</w:t>
            </w:r>
          </w:p>
        </w:tc>
        <w:tc>
          <w:tcPr>
            <w:tcW w:type="dxa" w:w="2400"/>
            <w:shd w:fill="1F3864" w:val="clear"/>
            <w:tcMar>
              <w:top w:type="dxa" w:w="60"/>
              <w:left w:type="dxa" w:w="100"/>
              <w:bottom w:type="dxa" w:w="60"/>
              <w:right w:type="dxa" w:w="100"/>
            </w:tcMar>
          </w:tcPr>
          <w:p>
            <w:pPr>
              <w:jc w:val="left"/>
            </w:pPr>
            <w:r>
              <w:rPr>
                <w:b/>
                <w:bCs/>
                <w:color w:val="FFFFFF"/>
                <w:sz w:val="20"/>
                <w:szCs w:val="20"/>
              </w:rPr>
              <w:t xml:space="preserve">企業名</w:t>
            </w:r>
          </w:p>
        </w:tc>
        <w:tc>
          <w:tcPr>
            <w:tcW w:type="dxa" w:w="1826"/>
            <w:shd w:fill="1F3864" w:val="clear"/>
            <w:tcMar>
              <w:top w:type="dxa" w:w="60"/>
              <w:left w:type="dxa" w:w="100"/>
              <w:bottom w:type="dxa" w:w="60"/>
              <w:right w:type="dxa" w:w="100"/>
            </w:tcMar>
          </w:tcPr>
          <w:p>
            <w:pPr>
              <w:jc w:val="left"/>
            </w:pPr>
            <w:r>
              <w:rPr>
                <w:b/>
                <w:bCs/>
                <w:color w:val="FFFFFF"/>
                <w:sz w:val="20"/>
                <w:szCs w:val="20"/>
              </w:rPr>
              <w:t xml:space="preserve">業界</w:t>
            </w:r>
          </w:p>
        </w:tc>
        <w:tc>
          <w:tcPr>
            <w:tcW w:type="dxa" w:w="4300"/>
            <w:shd w:fill="1F3864" w:val="clear"/>
            <w:tcMar>
              <w:top w:type="dxa" w:w="60"/>
              <w:left w:type="dxa" w:w="100"/>
              <w:bottom w:type="dxa" w:w="60"/>
              <w:right w:type="dxa" w:w="100"/>
            </w:tcMar>
          </w:tcPr>
          <w:p>
            <w:pPr>
              <w:jc w:val="left"/>
            </w:pPr>
            <w:r>
              <w:rPr>
                <w:b/>
                <w:bCs/>
                <w:color w:val="FFFFFF"/>
                <w:sz w:val="20"/>
                <w:szCs w:val="20"/>
              </w:rPr>
              <w:t xml:space="preserve">受験コース・部門</w:t>
            </w:r>
          </w:p>
        </w:tc>
      </w:tr>
      <w:tr>
        <w:tc>
          <w:tcPr>
            <w:tcW w:type="dxa" w:w="500"/>
            <w:tcMar>
              <w:top w:type="dxa" w:w="60"/>
              <w:left w:type="dxa" w:w="100"/>
              <w:bottom w:type="dxa" w:w="60"/>
              <w:right w:type="dxa" w:w="100"/>
            </w:tcMar>
          </w:tcPr>
          <w:p>
            <w:pPr>
              <w:jc w:val="left"/>
            </w:pPr>
            <w:r>
              <w:rPr>
                <w:b w:val="false"/>
                <w:bCs w:val="false"/>
                <w:color w:val="000000"/>
                <w:sz w:val="20"/>
                <w:szCs w:val="20"/>
              </w:rPr>
              <w:t xml:space="preserve">①</w:t>
            </w:r>
          </w:p>
        </w:tc>
        <w:tc>
          <w:tcPr>
            <w:tcW w:type="dxa" w:w="2400"/>
            <w:tcMar>
              <w:top w:type="dxa" w:w="60"/>
              <w:left w:type="dxa" w:w="100"/>
              <w:bottom w:type="dxa" w:w="60"/>
              <w:right w:type="dxa" w:w="100"/>
            </w:tcMar>
          </w:tcPr>
          <w:p>
            <w:pPr>
              <w:jc w:val="left"/>
            </w:pPr>
            <w:r>
              <w:rPr>
                <w:b w:val="false"/>
                <w:bCs w:val="false"/>
                <w:color w:val="000000"/>
                <w:sz w:val="20"/>
                <w:szCs w:val="20"/>
              </w:rPr>
              <w:t xml:space="preserve">NTTデータ</w:t>
            </w:r>
          </w:p>
        </w:tc>
        <w:tc>
          <w:tcPr>
            <w:tcW w:type="dxa" w:w="1826"/>
            <w:tcMar>
              <w:top w:type="dxa" w:w="60"/>
              <w:left w:type="dxa" w:w="100"/>
              <w:bottom w:type="dxa" w:w="60"/>
              <w:right w:type="dxa" w:w="100"/>
            </w:tcMar>
          </w:tcPr>
          <w:p>
            <w:pPr>
              <w:jc w:val="left"/>
            </w:pPr>
            <w:r>
              <w:rPr>
                <w:b w:val="false"/>
                <w:bCs w:val="false"/>
                <w:color w:val="000000"/>
                <w:sz w:val="20"/>
                <w:szCs w:val="20"/>
              </w:rPr>
              <w:t xml:space="preserve">SIer / IT</w:t>
            </w:r>
          </w:p>
        </w:tc>
        <w:tc>
          <w:tcPr>
            <w:tcW w:type="dxa" w:w="4300"/>
            <w:tcMar>
              <w:top w:type="dxa" w:w="60"/>
              <w:left w:type="dxa" w:w="100"/>
              <w:bottom w:type="dxa" w:w="60"/>
              <w:right w:type="dxa" w:w="100"/>
            </w:tcMar>
          </w:tcPr>
          <w:p>
            <w:pPr>
              <w:jc w:val="left"/>
            </w:pPr>
            <w:r>
              <w:rPr>
                <w:b w:val="false"/>
                <w:bCs w:val="false"/>
                <w:color w:val="000000"/>
                <w:sz w:val="20"/>
                <w:szCs w:val="20"/>
              </w:rPr>
              <w:t xml:space="preserve">現場受け入れ型：データサイエンティストコース（公社基-39）</w:t>
            </w:r>
          </w:p>
        </w:tc>
      </w:tr>
      <w:tr>
        <w:tc>
          <w:tcPr>
            <w:tcW w:type="dxa" w:w="500"/>
            <w:shd w:fill="DCE6F1" w:val="clear"/>
            <w:tcMar>
              <w:top w:type="dxa" w:w="60"/>
              <w:left w:type="dxa" w:w="100"/>
              <w:bottom w:type="dxa" w:w="60"/>
              <w:right w:type="dxa" w:w="100"/>
            </w:tcMar>
          </w:tcPr>
          <w:p>
            <w:pPr>
              <w:jc w:val="left"/>
            </w:pPr>
            <w:r>
              <w:rPr>
                <w:b w:val="false"/>
                <w:bCs w:val="false"/>
                <w:color w:val="000000"/>
                <w:sz w:val="20"/>
                <w:szCs w:val="20"/>
              </w:rPr>
              <w:t xml:space="preserve">②</w:t>
            </w:r>
          </w:p>
        </w:tc>
        <w:tc>
          <w:tcPr>
            <w:tcW w:type="dxa" w:w="2400"/>
            <w:shd w:fill="DCE6F1" w:val="clear"/>
            <w:tcMar>
              <w:top w:type="dxa" w:w="60"/>
              <w:left w:type="dxa" w:w="100"/>
              <w:bottom w:type="dxa" w:w="60"/>
              <w:right w:type="dxa" w:w="100"/>
            </w:tcMar>
          </w:tcPr>
          <w:p>
            <w:pPr>
              <w:jc w:val="left"/>
            </w:pPr>
            <w:r>
              <w:rPr>
                <w:b w:val="false"/>
                <w:bCs w:val="false"/>
                <w:color w:val="000000"/>
                <w:sz w:val="20"/>
                <w:szCs w:val="20"/>
              </w:rPr>
              <w:t xml:space="preserve">アビームコンサルティング</w:t>
            </w:r>
          </w:p>
        </w:tc>
        <w:tc>
          <w:tcPr>
            <w:tcW w:type="dxa" w:w="1826"/>
            <w:shd w:fill="DCE6F1" w:val="clear"/>
            <w:tcMar>
              <w:top w:type="dxa" w:w="60"/>
              <w:left w:type="dxa" w:w="100"/>
              <w:bottom w:type="dxa" w:w="60"/>
              <w:right w:type="dxa" w:w="100"/>
            </w:tcMar>
          </w:tcPr>
          <w:p>
            <w:pPr>
              <w:jc w:val="left"/>
            </w:pPr>
            <w:r>
              <w:rPr>
                <w:b w:val="false"/>
                <w:bCs w:val="false"/>
                <w:color w:val="000000"/>
                <w:sz w:val="20"/>
                <w:szCs w:val="20"/>
              </w:rPr>
              <w:t xml:space="preserve">総合コンサル</w:t>
            </w:r>
          </w:p>
        </w:tc>
        <w:tc>
          <w:tcPr>
            <w:tcW w:type="dxa" w:w="4300"/>
            <w:shd w:fill="DCE6F1" w:val="clear"/>
            <w:tcMar>
              <w:top w:type="dxa" w:w="60"/>
              <w:left w:type="dxa" w:w="100"/>
              <w:bottom w:type="dxa" w:w="60"/>
              <w:right w:type="dxa" w:w="100"/>
            </w:tcMar>
          </w:tcPr>
          <w:p>
            <w:pPr>
              <w:jc w:val="left"/>
            </w:pPr>
            <w:r>
              <w:rPr>
                <w:b w:val="false"/>
                <w:bCs w:val="false"/>
                <w:color w:val="000000"/>
                <w:sz w:val="20"/>
                <w:szCs w:val="20"/>
              </w:rPr>
              <w:t xml:space="preserve">サマーインターンシップ</w:t>
            </w:r>
          </w:p>
        </w:tc>
      </w:tr>
      <w:tr>
        <w:tc>
          <w:tcPr>
            <w:tcW w:type="dxa" w:w="500"/>
            <w:tcMar>
              <w:top w:type="dxa" w:w="60"/>
              <w:left w:type="dxa" w:w="100"/>
              <w:bottom w:type="dxa" w:w="60"/>
              <w:right w:type="dxa" w:w="100"/>
            </w:tcMar>
          </w:tcPr>
          <w:p>
            <w:pPr>
              <w:jc w:val="left"/>
            </w:pPr>
            <w:r>
              <w:rPr>
                <w:b w:val="false"/>
                <w:bCs w:val="false"/>
                <w:color w:val="000000"/>
                <w:sz w:val="20"/>
                <w:szCs w:val="20"/>
              </w:rPr>
              <w:t xml:space="preserve">③</w:t>
            </w:r>
          </w:p>
        </w:tc>
        <w:tc>
          <w:tcPr>
            <w:tcW w:type="dxa" w:w="2400"/>
            <w:tcMar>
              <w:top w:type="dxa" w:w="60"/>
              <w:left w:type="dxa" w:w="100"/>
              <w:bottom w:type="dxa" w:w="60"/>
              <w:right w:type="dxa" w:w="100"/>
            </w:tcMar>
          </w:tcPr>
          <w:p>
            <w:pPr>
              <w:jc w:val="left"/>
            </w:pPr>
            <w:r>
              <w:rPr>
                <w:b w:val="false"/>
                <w:bCs w:val="false"/>
                <w:color w:val="000000"/>
                <w:sz w:val="20"/>
                <w:szCs w:val="20"/>
              </w:rPr>
              <w:t xml:space="preserve">NTTドコモ</w:t>
            </w:r>
          </w:p>
        </w:tc>
        <w:tc>
          <w:tcPr>
            <w:tcW w:type="dxa" w:w="1826"/>
            <w:tcMar>
              <w:top w:type="dxa" w:w="60"/>
              <w:left w:type="dxa" w:w="100"/>
              <w:bottom w:type="dxa" w:w="60"/>
              <w:right w:type="dxa" w:w="100"/>
            </w:tcMar>
          </w:tcPr>
          <w:p>
            <w:pPr>
              <w:jc w:val="left"/>
            </w:pPr>
            <w:r>
              <w:rPr>
                <w:b w:val="false"/>
                <w:bCs w:val="false"/>
                <w:color w:val="000000"/>
                <w:sz w:val="20"/>
                <w:szCs w:val="20"/>
              </w:rPr>
              <w:t xml:space="preserve">通信キャリア</w:t>
            </w:r>
          </w:p>
        </w:tc>
        <w:tc>
          <w:tcPr>
            <w:tcW w:type="dxa" w:w="4300"/>
            <w:tcMar>
              <w:top w:type="dxa" w:w="60"/>
              <w:left w:type="dxa" w:w="100"/>
              <w:bottom w:type="dxa" w:w="60"/>
              <w:right w:type="dxa" w:w="100"/>
            </w:tcMar>
          </w:tcPr>
          <w:p>
            <w:pPr>
              <w:jc w:val="left"/>
            </w:pPr>
            <w:r>
              <w:rPr>
                <w:b w:val="false"/>
                <w:bCs w:val="false"/>
                <w:color w:val="000000"/>
                <w:sz w:val="20"/>
                <w:szCs w:val="20"/>
              </w:rPr>
              <w:t xml:space="preserve">ビジネス創造インターンシップ・イノベーションコース</w:t>
            </w:r>
          </w:p>
        </w:tc>
      </w:tr>
      <w:tr>
        <w:tc>
          <w:tcPr>
            <w:tcW w:type="dxa" w:w="500"/>
            <w:shd w:fill="DCE6F1" w:val="clear"/>
            <w:tcMar>
              <w:top w:type="dxa" w:w="60"/>
              <w:left w:type="dxa" w:w="100"/>
              <w:bottom w:type="dxa" w:w="60"/>
              <w:right w:type="dxa" w:w="100"/>
            </w:tcMar>
          </w:tcPr>
          <w:p>
            <w:pPr>
              <w:jc w:val="left"/>
            </w:pPr>
            <w:r>
              <w:rPr>
                <w:b w:val="false"/>
                <w:bCs w:val="false"/>
                <w:color w:val="000000"/>
                <w:sz w:val="20"/>
                <w:szCs w:val="20"/>
              </w:rPr>
              <w:t xml:space="preserve">④</w:t>
            </w:r>
          </w:p>
        </w:tc>
        <w:tc>
          <w:tcPr>
            <w:tcW w:type="dxa" w:w="2400"/>
            <w:shd w:fill="DCE6F1" w:val="clear"/>
            <w:tcMar>
              <w:top w:type="dxa" w:w="60"/>
              <w:left w:type="dxa" w:w="100"/>
              <w:bottom w:type="dxa" w:w="60"/>
              <w:right w:type="dxa" w:w="100"/>
            </w:tcMar>
          </w:tcPr>
          <w:p>
            <w:pPr>
              <w:jc w:val="left"/>
            </w:pPr>
            <w:r>
              <w:rPr>
                <w:b w:val="false"/>
                <w:bCs w:val="false"/>
                <w:color w:val="000000"/>
                <w:sz w:val="20"/>
                <w:szCs w:val="20"/>
              </w:rPr>
              <w:t xml:space="preserve">CTC（伊藤忠テクノソリューションズ）</w:t>
            </w:r>
          </w:p>
        </w:tc>
        <w:tc>
          <w:tcPr>
            <w:tcW w:type="dxa" w:w="1826"/>
            <w:shd w:fill="DCE6F1" w:val="clear"/>
            <w:tcMar>
              <w:top w:type="dxa" w:w="60"/>
              <w:left w:type="dxa" w:w="100"/>
              <w:bottom w:type="dxa" w:w="60"/>
              <w:right w:type="dxa" w:w="100"/>
            </w:tcMar>
          </w:tcPr>
          <w:p>
            <w:pPr>
              <w:jc w:val="left"/>
            </w:pPr>
            <w:r>
              <w:rPr>
                <w:b w:val="false"/>
                <w:bCs w:val="false"/>
                <w:color w:val="000000"/>
                <w:sz w:val="20"/>
                <w:szCs w:val="20"/>
              </w:rPr>
              <w:t xml:space="preserve">SIer / IT</w:t>
            </w:r>
          </w:p>
        </w:tc>
        <w:tc>
          <w:tcPr>
            <w:tcW w:type="dxa" w:w="4300"/>
            <w:shd w:fill="DCE6F1" w:val="clear"/>
            <w:tcMar>
              <w:top w:type="dxa" w:w="60"/>
              <w:left w:type="dxa" w:w="100"/>
              <w:bottom w:type="dxa" w:w="60"/>
              <w:right w:type="dxa" w:w="100"/>
            </w:tcMar>
          </w:tcPr>
          <w:p>
            <w:pPr>
              <w:jc w:val="left"/>
            </w:pPr>
            <w:r>
              <w:rPr>
                <w:b w:val="false"/>
                <w:bCs w:val="false"/>
                <w:color w:val="000000"/>
                <w:sz w:val="20"/>
                <w:szCs w:val="20"/>
              </w:rPr>
              <w:t xml:space="preserve">サマーインターンシップ</w:t>
            </w:r>
          </w:p>
        </w:tc>
      </w:tr>
      <w:tr>
        <w:tc>
          <w:tcPr>
            <w:tcW w:type="dxa" w:w="500"/>
            <w:tcMar>
              <w:top w:type="dxa" w:w="60"/>
              <w:left w:type="dxa" w:w="100"/>
              <w:bottom w:type="dxa" w:w="60"/>
              <w:right w:type="dxa" w:w="100"/>
            </w:tcMar>
          </w:tcPr>
          <w:p>
            <w:pPr>
              <w:jc w:val="left"/>
            </w:pPr>
            <w:r>
              <w:rPr>
                <w:b w:val="false"/>
                <w:bCs w:val="false"/>
                <w:color w:val="000000"/>
                <w:sz w:val="20"/>
                <w:szCs w:val="20"/>
              </w:rPr>
              <w:t xml:space="preserve">⑤</w:t>
            </w:r>
          </w:p>
        </w:tc>
        <w:tc>
          <w:tcPr>
            <w:tcW w:type="dxa" w:w="2400"/>
            <w:tcMar>
              <w:top w:type="dxa" w:w="60"/>
              <w:left w:type="dxa" w:w="100"/>
              <w:bottom w:type="dxa" w:w="60"/>
              <w:right w:type="dxa" w:w="100"/>
            </w:tcMar>
          </w:tcPr>
          <w:p>
            <w:pPr>
              <w:jc w:val="left"/>
            </w:pPr>
            <w:r>
              <w:rPr>
                <w:b w:val="false"/>
                <w:bCs w:val="false"/>
                <w:color w:val="000000"/>
                <w:sz w:val="20"/>
                <w:szCs w:val="20"/>
              </w:rPr>
              <w:t xml:space="preserve">NRI（野村総合研究所）</w:t>
            </w:r>
          </w:p>
        </w:tc>
        <w:tc>
          <w:tcPr>
            <w:tcW w:type="dxa" w:w="1826"/>
            <w:tcMar>
              <w:top w:type="dxa" w:w="60"/>
              <w:left w:type="dxa" w:w="100"/>
              <w:bottom w:type="dxa" w:w="60"/>
              <w:right w:type="dxa" w:w="100"/>
            </w:tcMar>
          </w:tcPr>
          <w:p>
            <w:pPr>
              <w:jc w:val="left"/>
            </w:pPr>
            <w:r>
              <w:rPr>
                <w:b w:val="false"/>
                <w:bCs w:val="false"/>
                <w:color w:val="000000"/>
                <w:sz w:val="20"/>
                <w:szCs w:val="20"/>
              </w:rPr>
              <w:t xml:space="preserve">シンクタンク</w:t>
            </w:r>
          </w:p>
        </w:tc>
        <w:tc>
          <w:tcPr>
            <w:tcW w:type="dxa" w:w="4300"/>
            <w:tcMar>
              <w:top w:type="dxa" w:w="60"/>
              <w:left w:type="dxa" w:w="100"/>
              <w:bottom w:type="dxa" w:w="60"/>
              <w:right w:type="dxa" w:w="100"/>
            </w:tcMar>
          </w:tcPr>
          <w:p>
            <w:pPr>
              <w:jc w:val="left"/>
            </w:pPr>
            <w:r>
              <w:rPr>
                <w:b w:val="false"/>
                <w:bCs w:val="false"/>
                <w:color w:val="000000"/>
                <w:sz w:val="20"/>
                <w:szCs w:val="20"/>
              </w:rPr>
              <w:t xml:space="preserve">経営戦略コンサルティングコース（本選考ルート）＋ワンデージョブ（別ルート）</w:t>
            </w:r>
          </w:p>
        </w:tc>
      </w:tr>
      <w:tr>
        <w:tc>
          <w:tcPr>
            <w:tcW w:type="dxa" w:w="500"/>
            <w:shd w:fill="DCE6F1" w:val="clear"/>
            <w:tcMar>
              <w:top w:type="dxa" w:w="60"/>
              <w:left w:type="dxa" w:w="100"/>
              <w:bottom w:type="dxa" w:w="60"/>
              <w:right w:type="dxa" w:w="100"/>
            </w:tcMar>
          </w:tcPr>
          <w:p>
            <w:pPr>
              <w:jc w:val="left"/>
            </w:pPr>
            <w:r>
              <w:rPr>
                <w:b w:val="false"/>
                <w:bCs w:val="false"/>
                <w:color w:val="000000"/>
                <w:sz w:val="20"/>
                <w:szCs w:val="20"/>
              </w:rPr>
              <w:t xml:space="preserve">⑥</w:t>
            </w:r>
          </w:p>
        </w:tc>
        <w:tc>
          <w:tcPr>
            <w:tcW w:type="dxa" w:w="2400"/>
            <w:shd w:fill="DCE6F1" w:val="clear"/>
            <w:tcMar>
              <w:top w:type="dxa" w:w="60"/>
              <w:left w:type="dxa" w:w="100"/>
              <w:bottom w:type="dxa" w:w="60"/>
              <w:right w:type="dxa" w:w="100"/>
            </w:tcMar>
          </w:tcPr>
          <w:p>
            <w:pPr>
              <w:jc w:val="left"/>
            </w:pPr>
            <w:r>
              <w:rPr>
                <w:b w:val="false"/>
                <w:bCs w:val="false"/>
                <w:color w:val="000000"/>
                <w:sz w:val="20"/>
                <w:szCs w:val="20"/>
              </w:rPr>
              <w:t xml:space="preserve">日本総研（JRI）</w:t>
            </w:r>
          </w:p>
        </w:tc>
        <w:tc>
          <w:tcPr>
            <w:tcW w:type="dxa" w:w="1826"/>
            <w:shd w:fill="DCE6F1" w:val="clear"/>
            <w:tcMar>
              <w:top w:type="dxa" w:w="60"/>
              <w:left w:type="dxa" w:w="100"/>
              <w:bottom w:type="dxa" w:w="60"/>
              <w:right w:type="dxa" w:w="100"/>
            </w:tcMar>
          </w:tcPr>
          <w:p>
            <w:pPr>
              <w:jc w:val="left"/>
            </w:pPr>
            <w:r>
              <w:rPr>
                <w:b w:val="false"/>
                <w:bCs w:val="false"/>
                <w:color w:val="000000"/>
                <w:sz w:val="20"/>
                <w:szCs w:val="20"/>
              </w:rPr>
              <w:t xml:space="preserve">シンクタンク</w:t>
            </w:r>
          </w:p>
        </w:tc>
        <w:tc>
          <w:tcPr>
            <w:tcW w:type="dxa" w:w="4300"/>
            <w:shd w:fill="DCE6F1" w:val="clear"/>
            <w:tcMar>
              <w:top w:type="dxa" w:w="60"/>
              <w:left w:type="dxa" w:w="100"/>
              <w:bottom w:type="dxa" w:w="60"/>
              <w:right w:type="dxa" w:w="100"/>
            </w:tcMar>
          </w:tcPr>
          <w:p>
            <w:pPr>
              <w:jc w:val="left"/>
            </w:pPr>
            <w:r>
              <w:rPr>
                <w:b w:val="false"/>
                <w:bCs w:val="false"/>
                <w:color w:val="000000"/>
                <w:sz w:val="20"/>
                <w:szCs w:val="20"/>
              </w:rPr>
              <w:t xml:space="preserve">サマーインターンシップ</w:t>
            </w:r>
          </w:p>
        </w:tc>
      </w:tr>
      <w:tr>
        <w:tc>
          <w:tcPr>
            <w:tcW w:type="dxa" w:w="500"/>
            <w:tcMar>
              <w:top w:type="dxa" w:w="60"/>
              <w:left w:type="dxa" w:w="100"/>
              <w:bottom w:type="dxa" w:w="60"/>
              <w:right w:type="dxa" w:w="100"/>
            </w:tcMar>
          </w:tcPr>
          <w:p>
            <w:pPr>
              <w:jc w:val="left"/>
            </w:pPr>
            <w:r>
              <w:rPr>
                <w:b w:val="false"/>
                <w:bCs w:val="false"/>
                <w:color w:val="000000"/>
                <w:sz w:val="20"/>
                <w:szCs w:val="20"/>
              </w:rPr>
              <w:t xml:space="preserve">⑧</w:t>
            </w:r>
          </w:p>
        </w:tc>
        <w:tc>
          <w:tcPr>
            <w:tcW w:type="dxa" w:w="2400"/>
            <w:tcMar>
              <w:top w:type="dxa" w:w="60"/>
              <w:left w:type="dxa" w:w="100"/>
              <w:bottom w:type="dxa" w:w="60"/>
              <w:right w:type="dxa" w:w="100"/>
            </w:tcMar>
          </w:tcPr>
          <w:p>
            <w:pPr>
              <w:jc w:val="left"/>
            </w:pPr>
            <w:r>
              <w:rPr>
                <w:b w:val="false"/>
                <w:bCs w:val="false"/>
                <w:color w:val="000000"/>
                <w:sz w:val="20"/>
                <w:szCs w:val="20"/>
              </w:rPr>
              <w:t xml:space="preserve">EYストラテジー・アンド・コンサルティング</w:t>
            </w:r>
          </w:p>
        </w:tc>
        <w:tc>
          <w:tcPr>
            <w:tcW w:type="dxa" w:w="1826"/>
            <w:tcMar>
              <w:top w:type="dxa" w:w="60"/>
              <w:left w:type="dxa" w:w="100"/>
              <w:bottom w:type="dxa" w:w="60"/>
              <w:right w:type="dxa" w:w="100"/>
            </w:tcMar>
          </w:tcPr>
          <w:p>
            <w:pPr>
              <w:jc w:val="left"/>
            </w:pPr>
            <w:r>
              <w:rPr>
                <w:b w:val="false"/>
                <w:bCs w:val="false"/>
                <w:color w:val="000000"/>
                <w:sz w:val="20"/>
                <w:szCs w:val="20"/>
              </w:rPr>
              <w:t xml:space="preserve">総合コンサル</w:t>
            </w:r>
          </w:p>
        </w:tc>
        <w:tc>
          <w:tcPr>
            <w:tcW w:type="dxa" w:w="4300"/>
            <w:tcMar>
              <w:top w:type="dxa" w:w="60"/>
              <w:left w:type="dxa" w:w="100"/>
              <w:bottom w:type="dxa" w:w="60"/>
              <w:right w:type="dxa" w:w="100"/>
            </w:tcMar>
          </w:tcPr>
          <w:p>
            <w:pPr>
              <w:jc w:val="left"/>
            </w:pPr>
            <w:r>
              <w:rPr>
                <w:b w:val="false"/>
                <w:bCs w:val="false"/>
                <w:color w:val="000000"/>
                <w:sz w:val="20"/>
                <w:szCs w:val="20"/>
              </w:rPr>
              <w:t xml:space="preserve">サマーインターンシップ</w:t>
            </w:r>
          </w:p>
        </w:tc>
      </w:tr>
      <w:tr>
        <w:tc>
          <w:tcPr>
            <w:tcW w:type="dxa" w:w="500"/>
            <w:shd w:fill="DCE6F1" w:val="clear"/>
            <w:tcMar>
              <w:top w:type="dxa" w:w="60"/>
              <w:left w:type="dxa" w:w="100"/>
              <w:bottom w:type="dxa" w:w="60"/>
              <w:right w:type="dxa" w:w="100"/>
            </w:tcMar>
          </w:tcPr>
          <w:p>
            <w:pPr>
              <w:jc w:val="left"/>
            </w:pPr>
            <w:r>
              <w:rPr>
                <w:b w:val="false"/>
                <w:bCs w:val="false"/>
                <w:color w:val="000000"/>
                <w:sz w:val="20"/>
                <w:szCs w:val="20"/>
              </w:rPr>
              <w:t xml:space="preserve">⑨</w:t>
            </w:r>
          </w:p>
        </w:tc>
        <w:tc>
          <w:tcPr>
            <w:tcW w:type="dxa" w:w="2400"/>
            <w:shd w:fill="DCE6F1" w:val="clear"/>
            <w:tcMar>
              <w:top w:type="dxa" w:w="60"/>
              <w:left w:type="dxa" w:w="100"/>
              <w:bottom w:type="dxa" w:w="60"/>
              <w:right w:type="dxa" w:w="100"/>
            </w:tcMar>
          </w:tcPr>
          <w:p>
            <w:pPr>
              <w:jc w:val="left"/>
            </w:pPr>
            <w:r>
              <w:rPr>
                <w:b w:val="false"/>
                <w:bCs w:val="false"/>
                <w:color w:val="000000"/>
                <w:sz w:val="20"/>
                <w:szCs w:val="20"/>
              </w:rPr>
              <w:t xml:space="preserve">新日鉄システム（日鉄ソリューションズ）</w:t>
            </w:r>
          </w:p>
        </w:tc>
        <w:tc>
          <w:tcPr>
            <w:tcW w:type="dxa" w:w="1826"/>
            <w:shd w:fill="DCE6F1" w:val="clear"/>
            <w:tcMar>
              <w:top w:type="dxa" w:w="60"/>
              <w:left w:type="dxa" w:w="100"/>
              <w:bottom w:type="dxa" w:w="60"/>
              <w:right w:type="dxa" w:w="100"/>
            </w:tcMar>
          </w:tcPr>
          <w:p>
            <w:pPr>
              <w:jc w:val="left"/>
            </w:pPr>
            <w:r>
              <w:rPr>
                <w:b w:val="false"/>
                <w:bCs w:val="false"/>
                <w:color w:val="000000"/>
                <w:sz w:val="20"/>
                <w:szCs w:val="20"/>
              </w:rPr>
              <w:t xml:space="preserve">SIer / IT</w:t>
            </w:r>
          </w:p>
        </w:tc>
        <w:tc>
          <w:tcPr>
            <w:tcW w:type="dxa" w:w="4300"/>
            <w:shd w:fill="DCE6F1" w:val="clear"/>
            <w:tcMar>
              <w:top w:type="dxa" w:w="60"/>
              <w:left w:type="dxa" w:w="100"/>
              <w:bottom w:type="dxa" w:w="60"/>
              <w:right w:type="dxa" w:w="100"/>
            </w:tcMar>
          </w:tcPr>
          <w:p>
            <w:pPr>
              <w:jc w:val="left"/>
            </w:pPr>
            <w:r>
              <w:rPr>
                <w:b w:val="false"/>
                <w:bCs w:val="false"/>
                <w:color w:val="000000"/>
                <w:sz w:val="20"/>
                <w:szCs w:val="20"/>
              </w:rPr>
              <w:t xml:space="preserve">サマーインターンシップ</w:t>
            </w:r>
          </w:p>
        </w:tc>
      </w:tr>
    </w:tbl>
    <w:p>
      <w:pPr>
        <w:spacing w:after="100"/>
      </w:pPr>
    </w:p>
    <w:p>
      <w:pPr>
        <w:spacing w:after="120"/>
      </w:pPr>
      <w:r>
        <w:rPr>
          <w:i/>
          <w:iCs/>
          <w:color w:val="555555"/>
          <w:sz w:val="20"/>
          <w:szCs w:val="20"/>
        </w:rPr>
        <w:t xml:space="preserve">計8社にエントリー。SIer/IT（3社）・総合コンサル（2社）・シンクタンク（2社）・通信キャリア（1社）という構成で、「データを活用して企業・社会の課題を解決する」という軸で業界を横断した幅広いエントリーになっている。</w:t>
      </w:r>
    </w:p>
    <w:p>
      <w:pPr>
        <w:pStyle w:val="Heading1"/>
        <w:spacing w:after="150" w:before="320"/>
      </w:pPr>
      <w:r>
        <w:t xml:space="preserve">2. 各社の選考と結果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c>
          <w:tcPr>
            <w:tcW w:type="dxa" w:w="2600"/>
            <w:shd w:fill="1F3864" w:val="clear"/>
            <w:tcMar>
              <w:top w:type="dxa" w:w="60"/>
              <w:left w:type="dxa" w:w="100"/>
              <w:bottom w:type="dxa" w:w="60"/>
              <w:right w:type="dxa" w:w="100"/>
            </w:tcMar>
          </w:tcPr>
          <w:p>
            <w:pPr>
              <w:jc w:val="left"/>
            </w:pPr>
            <w:r>
              <w:rPr>
                <w:b/>
                <w:bCs/>
                <w:color w:val="FFFFFF"/>
                <w:sz w:val="20"/>
                <w:szCs w:val="20"/>
              </w:rPr>
              <w:t xml:space="preserve">企業名</w:t>
            </w:r>
          </w:p>
        </w:tc>
        <w:tc>
          <w:tcPr>
            <w:tcW w:type="dxa" w:w="1400"/>
            <w:shd w:fill="1F3864" w:val="clear"/>
            <w:tcMar>
              <w:top w:type="dxa" w:w="60"/>
              <w:left w:type="dxa" w:w="100"/>
              <w:bottom w:type="dxa" w:w="60"/>
              <w:right w:type="dxa" w:w="100"/>
            </w:tcMar>
          </w:tcPr>
          <w:p>
            <w:pPr>
              <w:jc w:val="left"/>
            </w:pPr>
            <w:r>
              <w:rPr>
                <w:b/>
                <w:bCs/>
                <w:color w:val="FFFFFF"/>
                <w:sz w:val="20"/>
                <w:szCs w:val="20"/>
              </w:rPr>
              <w:t xml:space="preserve">結果</w:t>
            </w:r>
          </w:p>
        </w:tc>
        <w:tc>
          <w:tcPr>
            <w:tcW w:type="dxa" w:w="5026"/>
            <w:shd w:fill="1F3864" w:val="clear"/>
            <w:tcMar>
              <w:top w:type="dxa" w:w="60"/>
              <w:left w:type="dxa" w:w="100"/>
              <w:bottom w:type="dxa" w:w="60"/>
              <w:right w:type="dxa" w:w="100"/>
            </w:tcMar>
          </w:tcPr>
          <w:p>
            <w:pPr>
              <w:jc w:val="left"/>
            </w:pPr>
            <w:r>
              <w:rPr>
                <w:b/>
                <w:bCs/>
                <w:color w:val="FFFFFF"/>
                <w:sz w:val="20"/>
                <w:szCs w:val="20"/>
              </w:rPr>
              <w:t xml:space="preserve">備考</w:t>
            </w:r>
          </w:p>
        </w:tc>
      </w:tr>
      <w:tr>
        <w:tc>
          <w:tcPr>
            <w:tcW w:type="dxa" w:w="2600"/>
            <w:shd w:fill="E2EFDA" w:val="clear"/>
            <w:tcMar>
              <w:top w:type="dxa" w:w="60"/>
              <w:left w:type="dxa" w:w="100"/>
              <w:bottom w:type="dxa" w:w="60"/>
              <w:right w:type="dxa" w:w="100"/>
            </w:tcMar>
          </w:tcPr>
          <w:p>
            <w:pPr>
              <w:jc w:val="left"/>
            </w:pPr>
            <w:r>
              <w:rPr>
                <w:b w:val="false"/>
                <w:bCs w:val="false"/>
                <w:color w:val="000000"/>
                <w:sz w:val="20"/>
                <w:szCs w:val="20"/>
              </w:rPr>
              <w:t xml:space="preserve">NTTデータ</w:t>
            </w:r>
          </w:p>
        </w:tc>
        <w:tc>
          <w:tcPr>
            <w:tcW w:type="dxa" w:w="1400"/>
            <w:shd w:fill="E2EFDA" w:val="clear"/>
            <w:tcMar>
              <w:top w:type="dxa" w:w="60"/>
              <w:left w:type="dxa" w:w="100"/>
              <w:bottom w:type="dxa" w:w="60"/>
              <w:right w:type="dxa" w:w="100"/>
            </w:tcMar>
          </w:tcPr>
          <w:p>
            <w:pPr>
              <w:jc w:val="left"/>
            </w:pPr>
            <w:r>
              <w:rPr>
                <w:b w:val="false"/>
                <w:bCs w:val="false"/>
                <w:color w:val="000000"/>
                <w:sz w:val="20"/>
                <w:szCs w:val="20"/>
              </w:rPr>
              <w:t xml:space="preserve">合格</w:t>
            </w:r>
          </w:p>
        </w:tc>
        <w:tc>
          <w:tcPr>
            <w:tcW w:type="dxa" w:w="5026"/>
            <w:shd w:fill="E2EFDA" w:val="clear"/>
            <w:tcMar>
              <w:top w:type="dxa" w:w="60"/>
              <w:left w:type="dxa" w:w="100"/>
              <w:bottom w:type="dxa" w:w="60"/>
              <w:right w:type="dxa" w:w="100"/>
            </w:tcMar>
          </w:tcPr>
          <w:p>
            <w:pPr>
              <w:jc w:val="left"/>
            </w:pPr>
            <w:r>
              <w:rPr>
                <w:b w:val="false"/>
                <w:bCs w:val="false"/>
                <w:color w:val="000000"/>
                <w:sz w:val="20"/>
                <w:szCs w:val="20"/>
              </w:rPr>
              <w:t xml:space="preserve">現場受け入れ型・データサイエンティストコース。2026年8〜9月に実施予定</w:t>
            </w:r>
          </w:p>
        </w:tc>
      </w:tr>
      <w:tr>
        <w:tc>
          <w:tcPr>
            <w:tcW w:type="dxa" w:w="2600"/>
            <w:shd w:fill="E2EFDA" w:val="clear"/>
            <w:tcMar>
              <w:top w:type="dxa" w:w="60"/>
              <w:left w:type="dxa" w:w="100"/>
              <w:bottom w:type="dxa" w:w="60"/>
              <w:right w:type="dxa" w:w="100"/>
            </w:tcMar>
          </w:tcPr>
          <w:p>
            <w:pPr>
              <w:jc w:val="left"/>
            </w:pPr>
            <w:r>
              <w:rPr>
                <w:b w:val="false"/>
                <w:bCs w:val="false"/>
                <w:color w:val="000000"/>
                <w:sz w:val="20"/>
                <w:szCs w:val="20"/>
              </w:rPr>
              <w:t xml:space="preserve">アビームコンサルティング</w:t>
            </w:r>
          </w:p>
        </w:tc>
        <w:tc>
          <w:tcPr>
            <w:tcW w:type="dxa" w:w="1400"/>
            <w:shd w:fill="E2EFDA" w:val="clear"/>
            <w:tcMar>
              <w:top w:type="dxa" w:w="60"/>
              <w:left w:type="dxa" w:w="100"/>
              <w:bottom w:type="dxa" w:w="60"/>
              <w:right w:type="dxa" w:w="100"/>
            </w:tcMar>
          </w:tcPr>
          <w:p>
            <w:pPr>
              <w:jc w:val="left"/>
            </w:pPr>
            <w:r>
              <w:rPr>
                <w:b w:val="false"/>
                <w:bCs w:val="false"/>
                <w:color w:val="000000"/>
                <w:sz w:val="20"/>
                <w:szCs w:val="20"/>
              </w:rPr>
              <w:t xml:space="preserve">合格</w:t>
            </w:r>
          </w:p>
        </w:tc>
        <w:tc>
          <w:tcPr>
            <w:tcW w:type="dxa" w:w="5026"/>
            <w:shd w:fill="E2EFDA" w:val="clear"/>
            <w:tcMar>
              <w:top w:type="dxa" w:w="60"/>
              <w:left w:type="dxa" w:w="100"/>
              <w:bottom w:type="dxa" w:w="60"/>
              <w:right w:type="dxa" w:w="100"/>
            </w:tcMar>
          </w:tcPr>
          <w:p>
            <w:pPr>
              <w:jc w:val="left"/>
            </w:pPr>
            <w:r>
              <w:rPr>
                <w:b w:val="false"/>
                <w:bCs w:val="false"/>
                <w:color w:val="000000"/>
                <w:sz w:val="20"/>
                <w:szCs w:val="20"/>
              </w:rPr>
              <w:t xml:space="preserve">インターン終了。早期選考の権利獲得についてはインターン中の評価で決定→結果：合格</w:t>
            </w:r>
          </w:p>
        </w:tc>
      </w:tr>
      <w:tr>
        <w:tc>
          <w:tcPr>
            <w:tcW w:type="dxa" w:w="2600"/>
            <w:shd w:fill="E2EFDA" w:val="clear"/>
            <w:tcMar>
              <w:top w:type="dxa" w:w="60"/>
              <w:left w:type="dxa" w:w="100"/>
              <w:bottom w:type="dxa" w:w="60"/>
              <w:right w:type="dxa" w:w="100"/>
            </w:tcMar>
          </w:tcPr>
          <w:p>
            <w:pPr>
              <w:jc w:val="left"/>
            </w:pPr>
            <w:r>
              <w:rPr>
                <w:b w:val="false"/>
                <w:bCs w:val="false"/>
                <w:color w:val="000000"/>
                <w:sz w:val="20"/>
                <w:szCs w:val="20"/>
              </w:rPr>
              <w:t xml:space="preserve">NTTドコモ</w:t>
            </w:r>
          </w:p>
        </w:tc>
        <w:tc>
          <w:tcPr>
            <w:tcW w:type="dxa" w:w="1400"/>
            <w:shd w:fill="E2EFDA" w:val="clear"/>
            <w:tcMar>
              <w:top w:type="dxa" w:w="60"/>
              <w:left w:type="dxa" w:w="100"/>
              <w:bottom w:type="dxa" w:w="60"/>
              <w:right w:type="dxa" w:w="100"/>
            </w:tcMar>
          </w:tcPr>
          <w:p>
            <w:pPr>
              <w:jc w:val="left"/>
            </w:pPr>
            <w:r>
              <w:rPr>
                <w:b w:val="false"/>
                <w:bCs w:val="false"/>
                <w:color w:val="000000"/>
                <w:sz w:val="20"/>
                <w:szCs w:val="20"/>
              </w:rPr>
              <w:t xml:space="preserve">合格</w:t>
            </w:r>
          </w:p>
        </w:tc>
        <w:tc>
          <w:tcPr>
            <w:tcW w:type="dxa" w:w="5026"/>
            <w:shd w:fill="E2EFDA" w:val="clear"/>
            <w:tcMar>
              <w:top w:type="dxa" w:w="60"/>
              <w:left w:type="dxa" w:w="100"/>
              <w:bottom w:type="dxa" w:w="60"/>
              <w:right w:type="dxa" w:w="100"/>
            </w:tcMar>
          </w:tcPr>
          <w:p>
            <w:pPr>
              <w:jc w:val="left"/>
            </w:pPr>
            <w:r>
              <w:rPr>
                <w:b w:val="false"/>
                <w:bCs w:val="false"/>
                <w:color w:val="000000"/>
                <w:sz w:val="20"/>
                <w:szCs w:val="20"/>
              </w:rPr>
              <w:t xml:space="preserve">ビジネス創造インターンシップ・イノベーションコース実施済み（8/4〜8/17）。早期選考のワークフィールドで「ビジネスデザイン（コンシューマ）」を選択</w:t>
            </w:r>
          </w:p>
        </w:tc>
      </w:tr>
      <w:tr>
        <w:tc>
          <w:tcPr>
            <w:tcW w:type="dxa" w:w="2600"/>
            <w:shd w:fill="E2EFDA" w:val="clear"/>
            <w:tcMar>
              <w:top w:type="dxa" w:w="60"/>
              <w:left w:type="dxa" w:w="100"/>
              <w:bottom w:type="dxa" w:w="60"/>
              <w:right w:type="dxa" w:w="100"/>
            </w:tcMar>
          </w:tcPr>
          <w:p>
            <w:pPr>
              <w:jc w:val="left"/>
            </w:pPr>
            <w:r>
              <w:rPr>
                <w:b w:val="false"/>
                <w:bCs w:val="false"/>
                <w:color w:val="000000"/>
                <w:sz w:val="20"/>
                <w:szCs w:val="20"/>
              </w:rPr>
              <w:t xml:space="preserve">CTC</w:t>
            </w:r>
          </w:p>
        </w:tc>
        <w:tc>
          <w:tcPr>
            <w:tcW w:type="dxa" w:w="1400"/>
            <w:shd w:fill="E2EFDA" w:val="clear"/>
            <w:tcMar>
              <w:top w:type="dxa" w:w="60"/>
              <w:left w:type="dxa" w:w="100"/>
              <w:bottom w:type="dxa" w:w="60"/>
              <w:right w:type="dxa" w:w="100"/>
            </w:tcMar>
          </w:tcPr>
          <w:p>
            <w:pPr>
              <w:jc w:val="left"/>
            </w:pPr>
            <w:r>
              <w:rPr>
                <w:b w:val="false"/>
                <w:bCs w:val="false"/>
                <w:color w:val="000000"/>
                <w:sz w:val="20"/>
                <w:szCs w:val="20"/>
              </w:rPr>
              <w:t xml:space="preserve">合格</w:t>
            </w:r>
          </w:p>
        </w:tc>
        <w:tc>
          <w:tcPr>
            <w:tcW w:type="dxa" w:w="5026"/>
            <w:shd w:fill="E2EFDA" w:val="clear"/>
            <w:tcMar>
              <w:top w:type="dxa" w:w="60"/>
              <w:left w:type="dxa" w:w="100"/>
              <w:bottom w:type="dxa" w:w="60"/>
              <w:right w:type="dxa" w:w="100"/>
            </w:tcMar>
          </w:tcPr>
          <w:p>
            <w:pPr>
              <w:jc w:val="left"/>
            </w:pPr>
            <w:r>
              <w:rPr>
                <w:b w:val="false"/>
                <w:bCs w:val="false"/>
                <w:color w:val="000000"/>
                <w:sz w:val="20"/>
                <w:szCs w:val="20"/>
              </w:rPr>
              <w:t xml:space="preserve">詳細な選考ステップの記録なし</w:t>
            </w:r>
          </w:p>
        </w:tc>
      </w:tr>
      <w:tr>
        <w:tc>
          <w:tcPr>
            <w:tcW w:type="dxa" w:w="2600"/>
            <w:shd w:fill="E2EFDA" w:val="clear"/>
            <w:tcMar>
              <w:top w:type="dxa" w:w="60"/>
              <w:left w:type="dxa" w:w="100"/>
              <w:bottom w:type="dxa" w:w="60"/>
              <w:right w:type="dxa" w:w="100"/>
            </w:tcMar>
          </w:tcPr>
          <w:p>
            <w:pPr>
              <w:jc w:val="left"/>
            </w:pPr>
            <w:r>
              <w:rPr>
                <w:b w:val="false"/>
                <w:bCs w:val="false"/>
                <w:color w:val="000000"/>
                <w:sz w:val="20"/>
                <w:szCs w:val="20"/>
              </w:rPr>
              <w:t xml:space="preserve">日本総研</w:t>
            </w:r>
          </w:p>
        </w:tc>
        <w:tc>
          <w:tcPr>
            <w:tcW w:type="dxa" w:w="1400"/>
            <w:shd w:fill="E2EFDA" w:val="clear"/>
            <w:tcMar>
              <w:top w:type="dxa" w:w="60"/>
              <w:left w:type="dxa" w:w="100"/>
              <w:bottom w:type="dxa" w:w="60"/>
              <w:right w:type="dxa" w:w="100"/>
            </w:tcMar>
          </w:tcPr>
          <w:p>
            <w:pPr>
              <w:jc w:val="left"/>
            </w:pPr>
            <w:r>
              <w:rPr>
                <w:b w:val="false"/>
                <w:bCs w:val="false"/>
                <w:color w:val="000000"/>
                <w:sz w:val="20"/>
                <w:szCs w:val="20"/>
              </w:rPr>
              <w:t xml:space="preserve">合格</w:t>
            </w:r>
          </w:p>
        </w:tc>
        <w:tc>
          <w:tcPr>
            <w:tcW w:type="dxa" w:w="5026"/>
            <w:shd w:fill="E2EFDA" w:val="clear"/>
            <w:tcMar>
              <w:top w:type="dxa" w:w="60"/>
              <w:left w:type="dxa" w:w="100"/>
              <w:bottom w:type="dxa" w:w="60"/>
              <w:right w:type="dxa" w:w="100"/>
            </w:tcMar>
          </w:tcPr>
          <w:p>
            <w:pPr>
              <w:jc w:val="left"/>
            </w:pPr>
            <w:r>
              <w:rPr>
                <w:b w:val="false"/>
                <w:bCs w:val="false"/>
                <w:color w:val="000000"/>
                <w:sz w:val="20"/>
                <w:szCs w:val="20"/>
              </w:rPr>
              <w:t xml:space="preserve">グループ面接通過、合格</w:t>
            </w:r>
          </w:p>
        </w:tc>
      </w:tr>
      <w:tr>
        <w:tc>
          <w:tcPr>
            <w:tcW w:type="dxa" w:w="2600"/>
            <w:shd w:fill="FCE4E4" w:val="clear"/>
            <w:tcMar>
              <w:top w:type="dxa" w:w="60"/>
              <w:left w:type="dxa" w:w="100"/>
              <w:bottom w:type="dxa" w:w="60"/>
              <w:right w:type="dxa" w:w="100"/>
            </w:tcMar>
          </w:tcPr>
          <w:p>
            <w:pPr>
              <w:jc w:val="left"/>
            </w:pPr>
            <w:r>
              <w:rPr>
                <w:b w:val="false"/>
                <w:bCs w:val="false"/>
                <w:color w:val="000000"/>
                <w:sz w:val="20"/>
                <w:szCs w:val="20"/>
              </w:rPr>
              <w:t xml:space="preserve">NRI（本選考ルート）</w:t>
            </w:r>
          </w:p>
        </w:tc>
        <w:tc>
          <w:tcPr>
            <w:tcW w:type="dxa" w:w="1400"/>
            <w:shd w:fill="FCE4E4" w:val="clear"/>
            <w:tcMar>
              <w:top w:type="dxa" w:w="60"/>
              <w:left w:type="dxa" w:w="100"/>
              <w:bottom w:type="dxa" w:w="60"/>
              <w:right w:type="dxa" w:w="100"/>
            </w:tcMar>
          </w:tcPr>
          <w:p>
            <w:pPr>
              <w:jc w:val="left"/>
            </w:pPr>
            <w:r>
              <w:rPr>
                <w:b w:val="false"/>
                <w:bCs w:val="false"/>
                <w:color w:val="000000"/>
                <w:sz w:val="20"/>
                <w:szCs w:val="20"/>
              </w:rPr>
              <w:t xml:space="preserve">不合格</w:t>
            </w:r>
          </w:p>
        </w:tc>
        <w:tc>
          <w:tcPr>
            <w:tcW w:type="dxa" w:w="5026"/>
            <w:shd w:fill="FCE4E4" w:val="clear"/>
            <w:tcMar>
              <w:top w:type="dxa" w:w="60"/>
              <w:left w:type="dxa" w:w="100"/>
              <w:bottom w:type="dxa" w:w="60"/>
              <w:right w:type="dxa" w:w="100"/>
            </w:tcMar>
          </w:tcPr>
          <w:p>
            <w:pPr>
              <w:jc w:val="left"/>
            </w:pPr>
            <w:r>
              <w:rPr>
                <w:b w:val="false"/>
                <w:bCs w:val="false"/>
                <w:color w:val="000000"/>
                <w:sz w:val="20"/>
                <w:szCs w:val="20"/>
              </w:rPr>
              <w:t xml:space="preserve">ES・SPI・面接は合格。GDで不合格</w:t>
            </w:r>
          </w:p>
        </w:tc>
      </w:tr>
      <w:tr>
        <w:tc>
          <w:tcPr>
            <w:tcW w:type="dxa" w:w="2600"/>
            <w:shd w:fill="FCE4E4" w:val="clear"/>
            <w:tcMar>
              <w:top w:type="dxa" w:w="60"/>
              <w:left w:type="dxa" w:w="100"/>
              <w:bottom w:type="dxa" w:w="60"/>
              <w:right w:type="dxa" w:w="100"/>
            </w:tcMar>
          </w:tcPr>
          <w:p>
            <w:pPr>
              <w:jc w:val="left"/>
            </w:pPr>
            <w:r>
              <w:rPr>
                <w:b w:val="false"/>
                <w:bCs w:val="false"/>
                <w:color w:val="000000"/>
                <w:sz w:val="20"/>
                <w:szCs w:val="20"/>
              </w:rPr>
              <w:t xml:space="preserve">EYコンサル</w:t>
            </w:r>
          </w:p>
        </w:tc>
        <w:tc>
          <w:tcPr>
            <w:tcW w:type="dxa" w:w="1400"/>
            <w:shd w:fill="FCE4E4" w:val="clear"/>
            <w:tcMar>
              <w:top w:type="dxa" w:w="60"/>
              <w:left w:type="dxa" w:w="100"/>
              <w:bottom w:type="dxa" w:w="60"/>
              <w:right w:type="dxa" w:w="100"/>
            </w:tcMar>
          </w:tcPr>
          <w:p>
            <w:pPr>
              <w:jc w:val="left"/>
            </w:pPr>
            <w:r>
              <w:rPr>
                <w:b w:val="false"/>
                <w:bCs w:val="false"/>
                <w:color w:val="000000"/>
                <w:sz w:val="20"/>
                <w:szCs w:val="20"/>
              </w:rPr>
              <w:t xml:space="preserve">不合格</w:t>
            </w:r>
          </w:p>
        </w:tc>
        <w:tc>
          <w:tcPr>
            <w:tcW w:type="dxa" w:w="5026"/>
            <w:shd w:fill="FCE4E4" w:val="clear"/>
            <w:tcMar>
              <w:top w:type="dxa" w:w="60"/>
              <w:left w:type="dxa" w:w="100"/>
              <w:bottom w:type="dxa" w:w="60"/>
              <w:right w:type="dxa" w:w="100"/>
            </w:tcMar>
          </w:tcPr>
          <w:p>
            <w:pPr>
              <w:jc w:val="left"/>
            </w:pPr>
            <w:r>
              <w:rPr>
                <w:b w:val="false"/>
                <w:bCs w:val="false"/>
                <w:color w:val="000000"/>
                <w:sz w:val="20"/>
                <w:szCs w:val="20"/>
              </w:rPr>
              <w:t xml:space="preserve">ES・SPIは合格。GDで不合格</w:t>
            </w:r>
          </w:p>
        </w:tc>
      </w:tr>
      <w:tr>
        <w:tc>
          <w:tcPr>
            <w:tcW w:type="dxa" w:w="2600"/>
            <w:shd w:fill="FCE4E4" w:val="clear"/>
            <w:tcMar>
              <w:top w:type="dxa" w:w="60"/>
              <w:left w:type="dxa" w:w="100"/>
              <w:bottom w:type="dxa" w:w="60"/>
              <w:right w:type="dxa" w:w="100"/>
            </w:tcMar>
          </w:tcPr>
          <w:p>
            <w:pPr>
              <w:jc w:val="left"/>
            </w:pPr>
            <w:r>
              <w:rPr>
                <w:b w:val="false"/>
                <w:bCs w:val="false"/>
                <w:color w:val="000000"/>
                <w:sz w:val="20"/>
                <w:szCs w:val="20"/>
              </w:rPr>
              <w:t xml:space="preserve">新日鉄システム</w:t>
            </w:r>
          </w:p>
        </w:tc>
        <w:tc>
          <w:tcPr>
            <w:tcW w:type="dxa" w:w="1400"/>
            <w:shd w:fill="FCE4E4" w:val="clear"/>
            <w:tcMar>
              <w:top w:type="dxa" w:w="60"/>
              <w:left w:type="dxa" w:w="100"/>
              <w:bottom w:type="dxa" w:w="60"/>
              <w:right w:type="dxa" w:w="100"/>
            </w:tcMar>
          </w:tcPr>
          <w:p>
            <w:pPr>
              <w:jc w:val="left"/>
            </w:pPr>
            <w:r>
              <w:rPr>
                <w:b w:val="false"/>
                <w:bCs w:val="false"/>
                <w:color w:val="000000"/>
                <w:sz w:val="20"/>
                <w:szCs w:val="20"/>
              </w:rPr>
              <w:t xml:space="preserve">不合格</w:t>
            </w:r>
          </w:p>
        </w:tc>
        <w:tc>
          <w:tcPr>
            <w:tcW w:type="dxa" w:w="5026"/>
            <w:shd w:fill="FCE4E4" w:val="clear"/>
            <w:tcMar>
              <w:top w:type="dxa" w:w="60"/>
              <w:left w:type="dxa" w:w="100"/>
              <w:bottom w:type="dxa" w:w="60"/>
              <w:right w:type="dxa" w:w="100"/>
            </w:tcMar>
          </w:tcPr>
          <w:p>
            <w:pPr>
              <w:jc w:val="left"/>
            </w:pPr>
            <w:r>
              <w:rPr>
                <w:b w:val="false"/>
                <w:bCs w:val="false"/>
                <w:color w:val="000000"/>
                <w:sz w:val="20"/>
                <w:szCs w:val="20"/>
              </w:rPr>
              <w:t xml:space="preserve">SPIで不合格（選考が最初だったため、SPI形式に不慣れだったことが原因と自己分析）</w:t>
            </w:r>
          </w:p>
        </w:tc>
      </w:tr>
    </w:tbl>
    <w:p>
      <w:pPr>
        <w:spacing w:after="100"/>
      </w:pPr>
    </w:p>
    <w:p>
      <w:pPr>
        <w:pStyle w:val="ListParagraph"/>
        <w:numPr>
          <w:ilvl w:val="0"/>
          <w:numId w:val="1"/>
        </w:numPr>
        <w:spacing w:after="60"/>
      </w:pPr>
      <w:r>
        <w:t xml:space="preserve">合格5社・不合格3社（勝率 約63%）。ES・SPI通過率は高く、基礎的な選考突破力は十分にある</w:t>
      </w:r>
    </w:p>
    <w:p>
      <w:pPr>
        <w:pStyle w:val="ListParagraph"/>
        <w:numPr>
          <w:ilvl w:val="0"/>
          <w:numId w:val="1"/>
        </w:numPr>
        <w:spacing w:after="60"/>
      </w:pPr>
      <w:r>
        <w:t xml:space="preserve">不合格3社のうち2社（NRI・EYコンサル）は共通して「グループディスカッション（GD）」段階での不合格。ES・SPI・個人面接は通っているだけに、GDが明確な弱点として浮かび上がっている（詳細は4章）</w:t>
      </w:r>
    </w:p>
    <w:p>
      <w:r>
        <w:br w:type="page"/>
      </w:r>
    </w:p>
    <w:p>
      <w:pPr>
        <w:pStyle w:val="Heading1"/>
        <w:spacing w:after="150" w:before="320"/>
      </w:pPr>
      <w:r>
        <w:t xml:space="preserve">3. インターン実施済み企業の実施結果</w:t>
      </w:r>
    </w:p>
    <w:p>
      <w:pPr>
        <w:pStyle w:val="Heading2"/>
        <w:spacing w:after="120" w:before="240"/>
      </w:pPr>
      <w:r>
        <w:t xml:space="preserve">① アビームコンサルティング</w:t>
      </w:r>
    </w:p>
    <w:p>
      <w:pPr>
        <w:pStyle w:val="ListParagraph"/>
        <w:numPr>
          <w:ilvl w:val="0"/>
          <w:numId w:val="1"/>
        </w:numPr>
        <w:spacing w:after="60"/>
      </w:pPr>
      <w:r>
        <w:t xml:space="preserve">インターン終了。早期選考の権利獲得の可否はインターン中の評価で決定される仕組みだったが、結果は「合格」</w:t>
      </w:r>
    </w:p>
    <w:p>
      <w:pPr>
        <w:pStyle w:val="ListParagraph"/>
        <w:numPr>
          <w:ilvl w:val="0"/>
          <w:numId w:val="1"/>
        </w:numPr>
        <w:spacing w:after="60"/>
      </w:pPr>
      <w:r>
        <w:t xml:space="preserve">詳細な実施内容の記録はvault内に未整理。振り返りメモを残しておくと、他社の面接で「コンサルインターンでの経験」として語れる材料になる</w:t>
      </w:r>
    </w:p>
    <w:p>
      <w:pPr>
        <w:pStyle w:val="Heading2"/>
        <w:spacing w:after="120" w:before="240"/>
      </w:pPr>
      <w:r>
        <w:t xml:space="preserve">② NTTドコモ（ビジネス創造インターンシップ・イノベーションコース）</w:t>
      </w:r>
    </w:p>
    <w:p>
      <w:pPr>
        <w:pStyle w:val="ListParagraph"/>
        <w:numPr>
          <w:ilvl w:val="0"/>
          <w:numId w:val="1"/>
        </w:numPr>
        <w:spacing w:after="60"/>
      </w:pPr>
      <w:r>
        <w:t xml:space="preserve">2026年8月4日（火）〜8月7日（金）オンライン＋8月17日（月）対面、計4日間で実施済み</w:t>
      </w:r>
    </w:p>
    <w:p>
      <w:pPr>
        <w:pStyle w:val="ListParagraph"/>
        <w:numPr>
          <w:ilvl w:val="0"/>
          <w:numId w:val="1"/>
        </w:numPr>
        <w:spacing w:after="60"/>
      </w:pPr>
      <w:r>
        <w:t xml:space="preserve">テーマは「救急搬送のたらい回し防止」。総務省消防庁・厚生労働省の一次統計（搬送困難事案、転送件数、時間と生存率の関係等）を精緻に調査し、実装可能なレベルまで具体化した新事業提案を作成</w:t>
      </w:r>
    </w:p>
    <w:p>
      <w:pPr>
        <w:pStyle w:val="ListParagraph"/>
        <w:numPr>
          <w:ilvl w:val="0"/>
          <w:numId w:val="1"/>
        </w:numPr>
        <w:spacing w:after="60"/>
      </w:pPr>
      <w:r>
        <w:t xml:space="preserve">提案内容：搬送前後の情報連携（バイタル・患部画像の軽量自動送信、IoT SIMの医療機器標準搭載、NTTグループ病院での実証、＃7119インフラの拡張利用）により、転送理由の約76%をカバーする設計</w:t>
      </w:r>
    </w:p>
    <w:p>
      <w:pPr>
        <w:pStyle w:val="ListParagraph"/>
        <w:numPr>
          <w:ilvl w:val="0"/>
          <w:numId w:val="1"/>
        </w:numPr>
        <w:spacing w:after="60"/>
      </w:pPr>
      <w:r>
        <w:t xml:space="preserve">結果：メンター（ドコモビジネス5年目社員）はAI・モバイル空間統計の知見がなく「実現可能か判断できない」として提案を却下。技術的な妥当性そのものは（父・那須和徳氏のAIタクシー事業化の経験と照らしても）構造的に妥当と評価される</w:t>
      </w:r>
    </w:p>
    <w:p>
      <w:pPr>
        <w:pStyle w:val="ListParagraph"/>
        <w:numPr>
          <w:ilvl w:val="0"/>
          <w:numId w:val="1"/>
        </w:numPr>
        <w:spacing w:after="60"/>
      </w:pPr>
      <w:r>
        <w:t xml:space="preserve">示唆：GD自体はドコモの評価軸が「アウトプットの完成度」ではなく「協働のプロセス」である点を事前に理解し、結論を先に提示せず事実・データを共有してグループの議論に委ねる設計を意識していた点は良い実践</w:t>
      </w:r>
    </w:p>
    <w:p>
      <w:pPr>
        <w:pStyle w:val="ListParagraph"/>
        <w:numPr>
          <w:ilvl w:val="0"/>
          <w:numId w:val="1"/>
        </w:numPr>
        <w:spacing w:after="60"/>
      </w:pPr>
      <w:r>
        <w:t xml:space="preserve">早期選考ではワークフィールド「ビジネスデザイン（コンシューマ）」を選択。今回の一件は「ドコモビジネス」（法人領域）でのミスマッチであり、コンシューマ領域とは文化が異なる可能性があるため、この1回だけで「ドコモが合わない」と判断するのは時期尚早</w:t>
      </w:r>
    </w:p>
    <w:p>
      <w:pPr>
        <w:pStyle w:val="Heading2"/>
        <w:spacing w:after="120" w:before="240"/>
      </w:pPr>
      <w:r>
        <w:t xml:space="preserve">③ NRI ワンデージョブ（8/22参加、本選考とは別ルート）</w:t>
      </w:r>
    </w:p>
    <w:p>
      <w:pPr>
        <w:pStyle w:val="ListParagraph"/>
        <w:numPr>
          <w:ilvl w:val="0"/>
          <w:numId w:val="1"/>
        </w:numPr>
        <w:spacing w:after="60"/>
      </w:pPr>
      <w:r>
        <w:t xml:space="preserve">NRIから誘いがあり、本選考とは別にワンデージョブ形式のインターンに参加</w:t>
      </w:r>
    </w:p>
    <w:p>
      <w:pPr>
        <w:pStyle w:val="ListParagraph"/>
        <w:numPr>
          <w:ilvl w:val="0"/>
          <w:numId w:val="1"/>
        </w:numPr>
        <w:spacing w:after="60"/>
      </w:pPr>
      <w:r>
        <w:t xml:space="preserve">課題：家電量販店の顧客データを活用したソリューションを考案するグループワーク</w:t>
      </w:r>
    </w:p>
    <w:p>
      <w:pPr>
        <w:pStyle w:val="ListParagraph"/>
        <w:numPr>
          <w:ilvl w:val="0"/>
          <w:numId w:val="1"/>
        </w:numPr>
        <w:spacing w:after="60"/>
      </w:pPr>
      <w:r>
        <w:t xml:space="preserve">結果：本人の自己評価では「メンバーや社員から絶賛されるほどの活躍」。本選考のGDで不合格だった直後にもかかわらず、別ルートで高評価を得られた点は重要な情報（後述4章で分析）</w:t>
      </w:r>
    </w:p>
    <w:p>
      <w:pPr>
        <w:pStyle w:val="Heading1"/>
        <w:spacing w:after="150" w:before="320"/>
      </w:pPr>
      <w:r>
        <w:t xml:space="preserve">4. 今後の活動アドバイス</w:t>
      </w:r>
    </w:p>
    <w:p>
      <w:pPr>
        <w:spacing w:after="120"/>
      </w:pPr>
      <w:r>
        <w:rPr>
          <w:i/>
          <w:iCs/>
          <w:color w:val="555555"/>
          <w:sz w:val="20"/>
          <w:szCs w:val="20"/>
        </w:rPr>
        <w:t xml:space="preserve">以下は精神論（「頑張ろう」「諦めるな」等）ではなく、上記の選考結果パターンから読み取れる具体的な行動レベルの提案。</w:t>
      </w:r>
    </w:p>
    <w:p>
      <w:pPr>
        <w:pStyle w:val="Heading2"/>
        <w:spacing w:after="120" w:before="240"/>
      </w:pPr>
      <w:r>
        <w:t xml:space="preserve">4.1 最優先課題：GD（グループディスカッション）突破力の強化</w:t>
      </w:r>
    </w:p>
    <w:p>
      <w:pPr>
        <w:pStyle w:val="ListParagraph"/>
        <w:numPr>
          <w:ilvl w:val="0"/>
          <w:numId w:val="1"/>
        </w:numPr>
        <w:spacing w:after="60"/>
      </w:pPr>
      <w:r>
        <w:t xml:space="preserve">不合格3社のうち2社がGDで敗退。ES・SPI・個人面接は通っているため、「考える力」ではなく「グループの中でその考えをどう扱うか」に課題がある可能性が高い</w:t>
      </w:r>
    </w:p>
    <w:p>
      <w:pPr>
        <w:pStyle w:val="ListParagraph"/>
        <w:numPr>
          <w:ilvl w:val="0"/>
          <w:numId w:val="1"/>
        </w:numPr>
        <w:spacing w:after="60"/>
      </w:pPr>
      <w:r>
        <w:t xml:space="preserve">重要な手がかり：NRIの本選考GDでは不合格だったが、同じNRIのワンデージョブ（グループワーク）では「絶賛されるほどの活躍」という真逆の評価を得ている。この差分を放置せず、「何が違ったのか」を本人に振り返らせることが最も効果的な改善策になる。仮説として、①評価される場（選考）だと構え過ぎて自分の意見を主張しすぎる、②逆に評価を意識しすぎて発言を控えすぎる、③初対面のグループでの役割（ファシリテーター／書記／タイムキーパー）を取りにいけていない、のいずれかが典型パターン</w:t>
      </w:r>
    </w:p>
    <w:p>
      <w:pPr>
        <w:pStyle w:val="ListParagraph"/>
        <w:numPr>
          <w:ilvl w:val="0"/>
          <w:numId w:val="1"/>
        </w:numPr>
        <w:spacing w:after="60"/>
      </w:pPr>
      <w:r>
        <w:t xml:space="preserve">ドコモのインターンで「完成した結論を持ち込むと協働のプロセスという評価軸に反するリスクがある」という懸念を事前に言語化できていた（大貴自身の分析）。この認識は正しい方向性だが、実際のGD本番（NRI・EYコンサル）でも同じ罠にはまっていないか、直後に振り返りをする習慣が必要</w:t>
      </w:r>
    </w:p>
    <w:p>
      <w:pPr>
        <w:pStyle w:val="ListParagraph"/>
        <w:numPr>
          <w:ilvl w:val="0"/>
          <w:numId w:val="1"/>
        </w:numPr>
        <w:spacing w:after="60"/>
      </w:pPr>
      <w:r>
        <w:t xml:space="preserve">具体的アクション：①次のGD前に「今日は結論を出す係ではなく、他人の意見を一つ深掘りする係」など役割を1つ決めてから臨む、②GD直後にその場で（可能なら）フィードバックをもらう、③大学のキャリアセンターや就活エージェントの模擬GDを最低2〜3回、選考本番の前に消化する、④NRIのような「本選考は不合格だが別ルートでは高評価」という機会があれば逃さず参加し、評価される場での立ち回りを試す実験台にする</w:t>
      </w:r>
    </w:p>
    <w:p>
      <w:pPr>
        <w:pStyle w:val="Heading2"/>
        <w:spacing w:after="120" w:before="240"/>
      </w:pPr>
      <w:r>
        <w:t xml:space="preserve">4.2 志望動機の軸を統一し、効率化する</w:t>
      </w:r>
    </w:p>
    <w:p>
      <w:pPr>
        <w:pStyle w:val="ListParagraph"/>
        <w:numPr>
          <w:ilvl w:val="0"/>
          <w:numId w:val="1"/>
        </w:numPr>
        <w:spacing w:after="60"/>
      </w:pPr>
      <w:r>
        <w:t xml:space="preserve">SIer・コンサル・シンクタンク・通信キャリアという4業界にまたがるエントリーは、裏を返せば「なぜその業界／会社なのか」を一社一社バラバラに用意すると説得力が薄まり、面接官に「使い回し」と見抜かれるリスクがある</w:t>
      </w:r>
    </w:p>
    <w:p>
      <w:pPr>
        <w:pStyle w:val="ListParagraph"/>
        <w:numPr>
          <w:ilvl w:val="0"/>
          <w:numId w:val="1"/>
        </w:numPr>
        <w:spacing w:after="60"/>
      </w:pPr>
      <w:r>
        <w:t xml:space="preserve">大貴の強み（統計検定2級・基本情報技術者によるデータ分析力、ノジマコールセンターでの顧客対応力、ベイスターズインターンでのアンケート分析経験）は、どの業界にも一貫して使える「データで顧客・社会の課題を解決したい」という共通軸で束ねられる</w:t>
      </w:r>
    </w:p>
    <w:p>
      <w:pPr>
        <w:pStyle w:val="ListParagraph"/>
        <w:numPr>
          <w:ilvl w:val="0"/>
          <w:numId w:val="1"/>
        </w:numPr>
        <w:spacing w:after="60"/>
      </w:pPr>
      <w:r>
        <w:t xml:space="preserve">具体的アクション：共通軸の志望動機テンプレート（自己分析＋共通の問題意識）を1つ作り、各社ごとに『なぜこの業界の中でこの会社か』（NTTデータなら社会インフラの規模、NRIなら川上から川下までの一気通貫モデル、ドコモなら生活者接点の広さ、等）を上乗せする構成にすると、準備時間を圧縮しつつ説得力を上げられる</w:t>
      </w:r>
    </w:p>
    <w:p>
      <w:pPr>
        <w:pStyle w:val="Heading2"/>
        <w:spacing w:after="120" w:before="240"/>
      </w:pPr>
      <w:r>
        <w:t xml:space="preserve">4.3 「相手の専門性に合わせて説明を調整する」技術を磨く</w:t>
      </w:r>
    </w:p>
    <w:p>
      <w:pPr>
        <w:pStyle w:val="ListParagraph"/>
        <w:numPr>
          <w:ilvl w:val="0"/>
          <w:numId w:val="1"/>
        </w:numPr>
        <w:spacing w:after="60"/>
      </w:pPr>
      <w:r>
        <w:t xml:space="preserve">ドコモのインターンでは、技術的に妥当な提案が、AI・モバイル空間統計の知見を持たないメンターに「判断できない」として却下された。これは提案の質の問題ではなく、評価者の専門性に説明を合わせられなかったことが一因の可能性がある</w:t>
      </w:r>
    </w:p>
    <w:p>
      <w:pPr>
        <w:pStyle w:val="ListParagraph"/>
        <w:numPr>
          <w:ilvl w:val="0"/>
          <w:numId w:val="1"/>
        </w:numPr>
        <w:spacing w:after="60"/>
      </w:pPr>
      <w:r>
        <w:t xml:space="preserve">実務・選考のどちらでも、相手が技術者とは限らない。技術的な正確性を保ったまま、専門用語を使わずに「なぜそれが実現できるのか」「なぜ新しい技術開発が不要なのか」を一段階かみ砕いて説明する練習（家族や非専門の友人に説明してみる等）をしておくと、GD・面接双方で効果が出やすい</w:t>
      </w:r>
    </w:p>
    <w:p>
      <w:pPr>
        <w:pStyle w:val="Heading2"/>
        <w:spacing w:after="120" w:before="240"/>
      </w:pPr>
      <w:r>
        <w:t xml:space="preserve">4.4 今後のToDo</w:t>
      </w:r>
    </w:p>
    <w:p>
      <w:pPr>
        <w:pStyle w:val="ListParagraph"/>
        <w:numPr>
          <w:ilvl w:val="0"/>
          <w:numId w:val="1"/>
        </w:numPr>
        <w:spacing w:after="60"/>
      </w:pPr>
      <w:r>
        <w:t xml:space="preserve">NTTデータのデータサイエンティストコース（8〜9月実施）に向けて、社員訪問の場で聞く質問リストを事前に用意する（[[NTTデータインターン情報]]参照）</w:t>
      </w:r>
    </w:p>
    <w:p>
      <w:pPr>
        <w:pStyle w:val="ListParagraph"/>
        <w:numPr>
          <w:ilvl w:val="0"/>
          <w:numId w:val="1"/>
        </w:numPr>
        <w:spacing w:after="60"/>
      </w:pPr>
      <w:r>
        <w:t xml:space="preserve">直近2回のGD不合格について、可能であれば選考エージェントや大学のキャリアセンターにフィードバックを求め、具体的な改善点を言語化する</w:t>
      </w:r>
    </w:p>
    <w:p>
      <w:pPr>
        <w:pStyle w:val="ListParagraph"/>
        <w:numPr>
          <w:ilvl w:val="0"/>
          <w:numId w:val="1"/>
        </w:numPr>
        <w:spacing w:after="60"/>
      </w:pPr>
      <w:r>
        <w:t xml:space="preserve">模擬GDを本番前に最低2〜3回実施し、役割（ファシリテーター等）を変えて練習する</w:t>
      </w:r>
    </w:p>
    <w:p>
      <w:pPr>
        <w:pStyle w:val="ListParagraph"/>
        <w:numPr>
          <w:ilvl w:val="0"/>
          <w:numId w:val="1"/>
        </w:numPr>
        <w:spacing w:after="60"/>
      </w:pPr>
      <w:r>
        <w:t xml:space="preserve">共通の志望動機テンプレートを作成し、各社の企業研究資料（[[NTTデータ企業研究]]等）から差別化ポイントを肉付けする</w:t>
      </w:r>
    </w:p>
    <w:p>
      <w:pPr>
        <w:pStyle w:val="ListParagraph"/>
        <w:numPr>
          <w:ilvl w:val="0"/>
          <w:numId w:val="1"/>
        </w:numPr>
        <w:spacing w:after="60"/>
      </w:pPr>
      <w:r>
        <w:t xml:space="preserve">アビームコンサルティングのインターン内容を振り返りメモとして残し、他社面接で語れる形に整理する</w:t>
      </w:r>
    </w:p>
    <w:p>
      <w:r>
        <w:br w:type="page"/>
      </w:r>
    </w:p>
    <w:p>
      <w:pPr>
        <w:pStyle w:val="Heading1"/>
        <w:spacing w:after="150" w:before="320"/>
      </w:pPr>
      <w:r>
        <w:t xml:space="preserve">5. 参考：2028年卒（28卒）インターン・早期選考の業界別動向</w:t>
      </w:r>
    </w:p>
    <w:p>
      <w:pPr>
        <w:spacing w:after="120"/>
      </w:pPr>
      <w:r>
        <w:rPr>
          <w:i/>
          <w:iCs/>
          <w:color w:val="555555"/>
          <w:sz w:val="20"/>
          <w:szCs w:val="20"/>
        </w:rPr>
        <w:t xml:space="preserve">大貴が実際にエントリーしているSIer/IT・総合コンサル・シンクタンク・通信キャリアの4業界を中心に整理。数値は各種就活メディアの検索結果に基づく目安であり、年度・コースにより変動する点に留意。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700"/>
        <w:gridCol w:w="3426"/>
      </w:tblGrid>
      <w:tr>
        <w:tc>
          <w:tcPr>
            <w:tcW w:type="dxa" w:w="1600"/>
            <w:shd w:fill="1F3864" w:val="clear"/>
            <w:tcMar>
              <w:top w:type="dxa" w:w="60"/>
              <w:left w:type="dxa" w:w="100"/>
              <w:bottom w:type="dxa" w:w="60"/>
              <w:right w:type="dxa" w:w="100"/>
            </w:tcMar>
          </w:tcPr>
          <w:p>
            <w:pPr>
              <w:jc w:val="left"/>
            </w:pPr>
            <w:r>
              <w:rPr>
                <w:b/>
                <w:bCs/>
                <w:color w:val="FFFFFF"/>
                <w:sz w:val="20"/>
                <w:szCs w:val="20"/>
              </w:rPr>
              <w:t xml:space="preserve">業界</w:t>
            </w:r>
          </w:p>
        </w:tc>
        <w:tc>
          <w:tcPr>
            <w:tcW w:type="dxa" w:w="2300"/>
            <w:shd w:fill="1F3864" w:val="clear"/>
            <w:tcMar>
              <w:top w:type="dxa" w:w="60"/>
              <w:left w:type="dxa" w:w="100"/>
              <w:bottom w:type="dxa" w:w="60"/>
              <w:right w:type="dxa" w:w="100"/>
            </w:tcMar>
          </w:tcPr>
          <w:p>
            <w:pPr>
              <w:jc w:val="left"/>
            </w:pPr>
            <w:r>
              <w:rPr>
                <w:b/>
                <w:bCs/>
                <w:color w:val="FFFFFF"/>
                <w:sz w:val="20"/>
                <w:szCs w:val="20"/>
              </w:rPr>
              <w:t xml:space="preserve">倍率感の目安</w:t>
            </w:r>
          </w:p>
        </w:tc>
        <w:tc>
          <w:tcPr>
            <w:tcW w:type="dxa" w:w="1700"/>
            <w:shd w:fill="1F3864" w:val="clear"/>
            <w:tcMar>
              <w:top w:type="dxa" w:w="60"/>
              <w:left w:type="dxa" w:w="100"/>
              <w:bottom w:type="dxa" w:w="60"/>
              <w:right w:type="dxa" w:w="100"/>
            </w:tcMar>
          </w:tcPr>
          <w:p>
            <w:pPr>
              <w:jc w:val="left"/>
            </w:pPr>
            <w:r>
              <w:rPr>
                <w:b/>
                <w:bCs/>
                <w:color w:val="FFFFFF"/>
                <w:sz w:val="20"/>
                <w:szCs w:val="20"/>
              </w:rPr>
              <w:t xml:space="preserve">早期選考・優遇の傾向</w:t>
            </w:r>
          </w:p>
        </w:tc>
        <w:tc>
          <w:tcPr>
            <w:tcW w:type="dxa" w:w="3426"/>
            <w:shd w:fill="1F3864" w:val="clear"/>
            <w:tcMar>
              <w:top w:type="dxa" w:w="60"/>
              <w:left w:type="dxa" w:w="100"/>
              <w:bottom w:type="dxa" w:w="60"/>
              <w:right w:type="dxa" w:w="100"/>
            </w:tcMar>
          </w:tcPr>
          <w:p>
            <w:pPr>
              <w:jc w:val="left"/>
            </w:pPr>
            <w:r>
              <w:rPr>
                <w:b/>
                <w:bCs/>
                <w:color w:val="FFFFFF"/>
                <w:sz w:val="20"/>
                <w:szCs w:val="20"/>
              </w:rPr>
              <w:t xml:space="preserve">対策のポイント</w:t>
            </w:r>
          </w:p>
        </w:tc>
      </w:tr>
      <w:tr>
        <w:tc>
          <w:tcPr>
            <w:tcW w:type="dxa" w:w="1600"/>
            <w:tcMar>
              <w:top w:type="dxa" w:w="60"/>
              <w:left w:type="dxa" w:w="100"/>
              <w:bottom w:type="dxa" w:w="60"/>
              <w:right w:type="dxa" w:w="100"/>
            </w:tcMar>
          </w:tcPr>
          <w:p>
            <w:pPr>
              <w:jc w:val="left"/>
            </w:pPr>
            <w:r>
              <w:rPr>
                <w:b w:val="false"/>
                <w:bCs w:val="false"/>
                <w:color w:val="000000"/>
                <w:sz w:val="20"/>
                <w:szCs w:val="20"/>
              </w:rPr>
              <w:t xml:space="preserve">SIer / IT
（NTTデータ・CTC・日鉄ソリューションズ等）</w:t>
            </w:r>
          </w:p>
        </w:tc>
        <w:tc>
          <w:tcPr>
            <w:tcW w:type="dxa" w:w="2300"/>
            <w:tcMar>
              <w:top w:type="dxa" w:w="60"/>
              <w:left w:type="dxa" w:w="100"/>
              <w:bottom w:type="dxa" w:w="60"/>
              <w:right w:type="dxa" w:w="100"/>
            </w:tcMar>
          </w:tcPr>
          <w:p>
            <w:pPr>
              <w:jc w:val="left"/>
            </w:pPr>
            <w:r>
              <w:rPr>
                <w:b w:val="false"/>
                <w:bCs w:val="false"/>
                <w:color w:val="000000"/>
                <w:sz w:val="20"/>
                <w:szCs w:val="20"/>
              </w:rPr>
              <w:t xml:space="preserve">NTTデータの現場受入型は150倍超／CTCは約18倍</w:t>
            </w:r>
          </w:p>
        </w:tc>
        <w:tc>
          <w:tcPr>
            <w:tcW w:type="dxa" w:w="1700"/>
            <w:tcMar>
              <w:top w:type="dxa" w:w="60"/>
              <w:left w:type="dxa" w:w="100"/>
              <w:bottom w:type="dxa" w:w="60"/>
              <w:right w:type="dxa" w:w="100"/>
            </w:tcMar>
          </w:tcPr>
          <w:p>
            <w:pPr>
              <w:jc w:val="left"/>
            </w:pPr>
            <w:r>
              <w:rPr>
                <w:b w:val="false"/>
                <w:bCs w:val="false"/>
                <w:color w:val="000000"/>
                <w:sz w:val="20"/>
                <w:szCs w:val="20"/>
              </w:rPr>
              <w:t xml:space="preserve">参加者の中でも評価により早期選考ルートの有無が分かれる。参加＝優遇確定ではない</w:t>
            </w:r>
          </w:p>
        </w:tc>
        <w:tc>
          <w:tcPr>
            <w:tcW w:type="dxa" w:w="3426"/>
            <w:tcMar>
              <w:top w:type="dxa" w:w="60"/>
              <w:left w:type="dxa" w:w="100"/>
              <w:bottom w:type="dxa" w:w="60"/>
              <w:right w:type="dxa" w:w="100"/>
            </w:tcMar>
          </w:tcPr>
          <w:p>
            <w:pPr>
              <w:jc w:val="left"/>
            </w:pPr>
            <w:r>
              <w:rPr>
                <w:b w:val="false"/>
                <w:bCs w:val="false"/>
                <w:color w:val="000000"/>
                <w:sz w:val="20"/>
                <w:szCs w:val="20"/>
              </w:rPr>
              <w:t xml:space="preserve">インターン中の貢献度・評価が早期選考の可否を左右。技術理解力と、非専門家にも伝わる説明力の両方が鍵</w:t>
            </w:r>
          </w:p>
        </w:tc>
      </w:tr>
      <w:tr>
        <w:tc>
          <w:tcPr>
            <w:tcW w:type="dxa" w:w="1600"/>
            <w:shd w:fill="DCE6F1" w:val="clear"/>
            <w:tcMar>
              <w:top w:type="dxa" w:w="60"/>
              <w:left w:type="dxa" w:w="100"/>
              <w:bottom w:type="dxa" w:w="60"/>
              <w:right w:type="dxa" w:w="100"/>
            </w:tcMar>
          </w:tcPr>
          <w:p>
            <w:pPr>
              <w:jc w:val="left"/>
            </w:pPr>
            <w:r>
              <w:rPr>
                <w:b w:val="false"/>
                <w:bCs w:val="false"/>
                <w:color w:val="000000"/>
                <w:sz w:val="20"/>
                <w:szCs w:val="20"/>
              </w:rPr>
              <w:t xml:space="preserve">総合コンサル
（アビーム・EYコンサル等）</w:t>
            </w:r>
          </w:p>
        </w:tc>
        <w:tc>
          <w:tcPr>
            <w:tcW w:type="dxa" w:w="2300"/>
            <w:shd w:fill="DCE6F1" w:val="clear"/>
            <w:tcMar>
              <w:top w:type="dxa" w:w="60"/>
              <w:left w:type="dxa" w:w="100"/>
              <w:bottom w:type="dxa" w:w="60"/>
              <w:right w:type="dxa" w:w="100"/>
            </w:tcMar>
          </w:tcPr>
          <w:p>
            <w:pPr>
              <w:jc w:val="left"/>
            </w:pPr>
            <w:r>
              <w:rPr>
                <w:b w:val="false"/>
                <w:bCs w:val="false"/>
                <w:color w:val="000000"/>
                <w:sz w:val="20"/>
                <w:szCs w:val="20"/>
              </w:rPr>
              <w:t xml:space="preserve">アビームは約10〜12倍</w:t>
            </w:r>
          </w:p>
        </w:tc>
        <w:tc>
          <w:tcPr>
            <w:tcW w:type="dxa" w:w="1700"/>
            <w:shd w:fill="DCE6F1" w:val="clear"/>
            <w:tcMar>
              <w:top w:type="dxa" w:w="60"/>
              <w:left w:type="dxa" w:w="100"/>
              <w:bottom w:type="dxa" w:w="60"/>
              <w:right w:type="dxa" w:w="100"/>
            </w:tcMar>
          </w:tcPr>
          <w:p>
            <w:pPr>
              <w:jc w:val="left"/>
            </w:pPr>
            <w:r>
              <w:rPr>
                <w:b w:val="false"/>
                <w:bCs w:val="false"/>
                <w:color w:val="000000"/>
                <w:sz w:val="20"/>
                <w:szCs w:val="20"/>
              </w:rPr>
              <w:t xml:space="preserve">参加者に早期選考案内。優秀者は選考の一部免除される特別ルートもあり</w:t>
            </w:r>
          </w:p>
        </w:tc>
        <w:tc>
          <w:tcPr>
            <w:tcW w:type="dxa" w:w="3426"/>
            <w:shd w:fill="DCE6F1" w:val="clear"/>
            <w:tcMar>
              <w:top w:type="dxa" w:w="60"/>
              <w:left w:type="dxa" w:w="100"/>
              <w:bottom w:type="dxa" w:w="60"/>
              <w:right w:type="dxa" w:w="100"/>
            </w:tcMar>
          </w:tcPr>
          <w:p>
            <w:pPr>
              <w:jc w:val="left"/>
            </w:pPr>
            <w:r>
              <w:rPr>
                <w:b w:val="false"/>
                <w:bCs w:val="false"/>
                <w:color w:val="000000"/>
                <w:sz w:val="20"/>
                <w:szCs w:val="20"/>
              </w:rPr>
              <w:t xml:space="preserve">GD・フェルミ推定中心の選考。積極性と協働姿勢の両立が問われる</w:t>
            </w:r>
          </w:p>
        </w:tc>
      </w:tr>
      <w:tr>
        <w:tc>
          <w:tcPr>
            <w:tcW w:type="dxa" w:w="1600"/>
            <w:tcMar>
              <w:top w:type="dxa" w:w="60"/>
              <w:left w:type="dxa" w:w="100"/>
              <w:bottom w:type="dxa" w:w="60"/>
              <w:right w:type="dxa" w:w="100"/>
            </w:tcMar>
          </w:tcPr>
          <w:p>
            <w:pPr>
              <w:jc w:val="left"/>
            </w:pPr>
            <w:r>
              <w:rPr>
                <w:b w:val="false"/>
                <w:bCs w:val="false"/>
                <w:color w:val="000000"/>
                <w:sz w:val="20"/>
                <w:szCs w:val="20"/>
              </w:rPr>
              <w:t xml:space="preserve">シンクタンク
（NRI・日本総研等）</w:t>
            </w:r>
          </w:p>
        </w:tc>
        <w:tc>
          <w:tcPr>
            <w:tcW w:type="dxa" w:w="2300"/>
            <w:tcMar>
              <w:top w:type="dxa" w:w="60"/>
              <w:left w:type="dxa" w:w="100"/>
              <w:bottom w:type="dxa" w:w="60"/>
              <w:right w:type="dxa" w:w="100"/>
            </w:tcMar>
          </w:tcPr>
          <w:p>
            <w:pPr>
              <w:jc w:val="left"/>
            </w:pPr>
            <w:r>
              <w:rPr>
                <w:b w:val="false"/>
                <w:bCs w:val="false"/>
                <w:color w:val="000000"/>
                <w:sz w:val="20"/>
                <w:szCs w:val="20"/>
              </w:rPr>
              <w:t xml:space="preserve">NRIのインターン倍率は約24倍（本選考倍率100〜150倍よりは低い）</w:t>
            </w:r>
          </w:p>
        </w:tc>
        <w:tc>
          <w:tcPr>
            <w:tcW w:type="dxa" w:w="1700"/>
            <w:tcMar>
              <w:top w:type="dxa" w:w="60"/>
              <w:left w:type="dxa" w:w="100"/>
              <w:bottom w:type="dxa" w:w="60"/>
              <w:right w:type="dxa" w:w="100"/>
            </w:tcMar>
          </w:tcPr>
          <w:p>
            <w:pPr>
              <w:jc w:val="left"/>
            </w:pPr>
            <w:r>
              <w:rPr>
                <w:b w:val="false"/>
                <w:bCs w:val="false"/>
                <w:color w:val="000000"/>
                <w:sz w:val="20"/>
                <w:szCs w:val="20"/>
              </w:rPr>
              <w:t xml:space="preserve">サマーで結果を残すと秋冬・本選考の早期選考優遇につながりやすい</w:t>
            </w:r>
          </w:p>
        </w:tc>
        <w:tc>
          <w:tcPr>
            <w:tcW w:type="dxa" w:w="3426"/>
            <w:tcMar>
              <w:top w:type="dxa" w:w="60"/>
              <w:left w:type="dxa" w:w="100"/>
              <w:bottom w:type="dxa" w:w="60"/>
              <w:right w:type="dxa" w:w="100"/>
            </w:tcMar>
          </w:tcPr>
          <w:p>
            <w:pPr>
              <w:jc w:val="left"/>
            </w:pPr>
            <w:r>
              <w:rPr>
                <w:b w:val="false"/>
                <w:bCs w:val="false"/>
                <w:color w:val="000000"/>
                <w:sz w:val="20"/>
                <w:szCs w:val="20"/>
              </w:rPr>
              <w:t xml:space="preserve">論理的思考力・課題設定力・構造化力が評価軸。GD中心の選考</w:t>
            </w:r>
          </w:p>
        </w:tc>
      </w:tr>
      <w:tr>
        <w:tc>
          <w:tcPr>
            <w:tcW w:type="dxa" w:w="1600"/>
            <w:shd w:fill="DCE6F1" w:val="clear"/>
            <w:tcMar>
              <w:top w:type="dxa" w:w="60"/>
              <w:left w:type="dxa" w:w="100"/>
              <w:bottom w:type="dxa" w:w="60"/>
              <w:right w:type="dxa" w:w="100"/>
            </w:tcMar>
          </w:tcPr>
          <w:p>
            <w:pPr>
              <w:jc w:val="left"/>
            </w:pPr>
            <w:r>
              <w:rPr>
                <w:b w:val="false"/>
                <w:bCs w:val="false"/>
                <w:color w:val="000000"/>
                <w:sz w:val="20"/>
                <w:szCs w:val="20"/>
              </w:rPr>
              <w:t xml:space="preserve">通信キャリア
（NTTドコモ等）</w:t>
            </w:r>
          </w:p>
        </w:tc>
        <w:tc>
          <w:tcPr>
            <w:tcW w:type="dxa" w:w="2300"/>
            <w:shd w:fill="DCE6F1" w:val="clear"/>
            <w:tcMar>
              <w:top w:type="dxa" w:w="60"/>
              <w:left w:type="dxa" w:w="100"/>
              <w:bottom w:type="dxa" w:w="60"/>
              <w:right w:type="dxa" w:w="100"/>
            </w:tcMar>
          </w:tcPr>
          <w:p>
            <w:pPr>
              <w:jc w:val="left"/>
            </w:pPr>
            <w:r>
              <w:rPr>
                <w:b w:val="false"/>
                <w:bCs w:val="false"/>
                <w:color w:val="000000"/>
                <w:sz w:val="20"/>
                <w:szCs w:val="20"/>
              </w:rPr>
              <w:t xml:space="preserve">具体的な倍率データは限定的だが人気業界で高倍率傾向</w:t>
            </w:r>
          </w:p>
        </w:tc>
        <w:tc>
          <w:tcPr>
            <w:tcW w:type="dxa" w:w="1700"/>
            <w:shd w:fill="DCE6F1" w:val="clear"/>
            <w:tcMar>
              <w:top w:type="dxa" w:w="60"/>
              <w:left w:type="dxa" w:w="100"/>
              <w:bottom w:type="dxa" w:w="60"/>
              <w:right w:type="dxa" w:w="100"/>
            </w:tcMar>
          </w:tcPr>
          <w:p>
            <w:pPr>
              <w:jc w:val="left"/>
            </w:pPr>
            <w:r>
              <w:rPr>
                <w:b w:val="false"/>
                <w:bCs w:val="false"/>
                <w:color w:val="000000"/>
                <w:sz w:val="20"/>
                <w:szCs w:val="20"/>
              </w:rPr>
              <w:t xml:space="preserve">インターン参加者に優遇・早期選考あり。ただしコースにより早期選考で選べる配属先が変わる</w:t>
            </w:r>
          </w:p>
        </w:tc>
        <w:tc>
          <w:tcPr>
            <w:tcW w:type="dxa" w:w="3426"/>
            <w:shd w:fill="DCE6F1" w:val="clear"/>
            <w:tcMar>
              <w:top w:type="dxa" w:w="60"/>
              <w:left w:type="dxa" w:w="100"/>
              <w:bottom w:type="dxa" w:w="60"/>
              <w:right w:type="dxa" w:w="100"/>
            </w:tcMar>
          </w:tcPr>
          <w:p>
            <w:pPr>
              <w:jc w:val="left"/>
            </w:pPr>
            <w:r>
              <w:rPr>
                <w:b w:val="false"/>
                <w:bCs w:val="false"/>
                <w:color w:val="000000"/>
                <w:sz w:val="20"/>
                <w:szCs w:val="20"/>
              </w:rPr>
              <w:t xml:space="preserve">事業提案の完成度よりも協働のプロセスが評価軸になるコースもある（イノベーションコース等）</w:t>
            </w:r>
          </w:p>
        </w:tc>
      </w:tr>
    </w:tbl>
    <w:p>
      <w:pPr>
        <w:spacing w:after="120"/>
      </w:pPr>
    </w:p>
    <w:p>
      <w:pPr>
        <w:pStyle w:val="Heading2"/>
        <w:spacing w:after="120" w:before="240"/>
      </w:pPr>
      <w:r>
        <w:t xml:space="preserve">28卒 就活全体の傾向</w:t>
      </w:r>
    </w:p>
    <w:p>
      <w:pPr>
        <w:pStyle w:val="ListParagraph"/>
        <w:numPr>
          <w:ilvl w:val="0"/>
          <w:numId w:val="1"/>
        </w:numPr>
        <w:spacing w:after="60"/>
      </w:pPr>
      <w:r>
        <w:t xml:space="preserve">28卒生の4割以上が既にインターン・イベントで企業と接触しており、2年前（26卒）比で約1.5倍のペースで早期化が進行</w:t>
      </w:r>
    </w:p>
    <w:p>
      <w:pPr>
        <w:pStyle w:val="ListParagraph"/>
        <w:numPr>
          <w:ilvl w:val="0"/>
          <w:numId w:val="1"/>
        </w:numPr>
        <w:spacing w:after="60"/>
      </w:pPr>
      <w:r>
        <w:t xml:space="preserve">インターン経由の早期選考や、内定解禁日を待たない内々定出しが主流化し、実質的な採用スケジュールは1年以上前倒しで進行している</w:t>
      </w:r>
    </w:p>
    <w:p>
      <w:pPr>
        <w:pStyle w:val="ListParagraph"/>
        <w:numPr>
          <w:ilvl w:val="0"/>
          <w:numId w:val="1"/>
        </w:numPr>
        <w:spacing w:after="60"/>
      </w:pPr>
      <w:r>
        <w:t xml:space="preserve">学生がインターンを選ぶ基準は「志望業界であること」（62.3%）「本命企業であること」（51.5%）「本選考優遇が期待できること」（34.6%）の順。大貴の8社エントリーはこの傾向に沿った動き方ができている</w:t>
      </w:r>
    </w:p>
    <w:p>
      <w:pPr>
        <w:pStyle w:val="ListParagraph"/>
        <w:numPr>
          <w:ilvl w:val="0"/>
          <w:numId w:val="1"/>
        </w:numPr>
        <w:spacing w:after="60"/>
      </w:pPr>
      <w:r>
        <w:t xml:space="preserve">業界を問わず、サマーインターンでの評価がそのまま秋冬・本選考の早期選考優遇に直結する構造が強まっており、各社のインターン本番での立ち回り（特にGD）の重要性が増している</w:t>
      </w:r>
    </w:p>
    <w:p>
      <w:pPr>
        <w:pStyle w:val="Heading1"/>
        <w:spacing w:after="150" w:before="320"/>
      </w:pPr>
      <w:r>
        <w:t xml:space="preserve">出典</w:t>
      </w:r>
    </w:p>
    <w:p>
      <w:pPr>
        <w:spacing w:after="120"/>
      </w:pPr>
      <w:r>
        <w:rPr>
          <w:sz w:val="20"/>
          <w:szCs w:val="20"/>
        </w:rPr>
        <w:t xml:space="preserve">大貴のインターン.md、ドコモインターン_メンター評価と組織の実行力.md、ドコモ新事業_救急搬送たらい回し.md 等、vault内の記録</w:t>
      </w:r>
    </w:p>
    <w:p>
      <w:pPr>
        <w:spacing w:after="120"/>
      </w:pPr>
      <w:r>
        <w:rPr>
          <w:sz w:val="20"/>
          <w:szCs w:val="20"/>
        </w:rPr>
        <w:t xml:space="preserve">28卒向け就活スケジュール・早期選考動向（type就活、ワンキャリア、careerticket、理系ナビ等の検索結果経由）</w:t>
      </w:r>
    </w:p>
    <w:p>
      <w:pPr>
        <w:spacing w:after="120"/>
      </w:pPr>
      <w:r>
        <w:rPr>
          <w:sz w:val="20"/>
          <w:szCs w:val="20"/>
        </w:rPr>
        <w:t xml:space="preserve">SIer業界インターン動向（noahs-ark、就活の名人マガジン等の検索結果経由）</w:t>
      </w:r>
    </w:p>
    <w:p>
      <w:pPr>
        <w:spacing w:after="120"/>
      </w:pPr>
      <w:r>
        <w:rPr>
          <w:sz w:val="20"/>
          <w:szCs w:val="20"/>
        </w:rPr>
        <w:t xml:space="preserve">総合コンサル業界インターン動向（外資就活ドットコム、Renew Magazine、CaseMatch等の検索結果経由）</w:t>
      </w:r>
    </w:p>
    <w:p>
      <w:pPr>
        <w:spacing w:after="120"/>
      </w:pPr>
      <w:r>
        <w:rPr>
          <w:sz w:val="20"/>
          <w:szCs w:val="20"/>
        </w:rPr>
        <w:t xml:space="preserve">シンクタンク業界インターン動向（外資就活ドットコム、CaseMatch、noahs-ark等の検索結果経由）</w:t>
      </w:r>
    </w:p>
    <w:p>
      <w:pPr>
        <w:spacing w:after="120"/>
      </w:pPr>
      <w:r>
        <w:rPr>
          <w:sz w:val="20"/>
          <w:szCs w:val="20"/>
        </w:rPr>
        <w:t xml:space="preserve">通信キャリア業界インターン動向（外資就活ドットコム、Renew Magazine、noahs-ark等の検索結果経由）</w:t>
      </w:r>
    </w:p>
    <w:p>
      <w:pPr>
        <w:spacing w:after="120"/>
      </w:pPr>
      <w:r>
        <w:rPr>
          <w:i/>
          <w:iCs/>
          <w:color w:val="666666"/>
          <w:sz w:val="18"/>
          <w:szCs w:val="18"/>
        </w:rPr>
        <w:t xml:space="preserve">※本セッションはネットワーク制限により各社公式採用サイトへの直接アクセスがブロックされているため、業界動向・倍率はすべてWebSearchの検索結果スニペット経由の情報。最新の正確な数値は各社マイページ・公式サイトで確認することを推奨す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2026-09-02T07:22:51.887Z</dcterms:created>
  <dcterms:modified xsi:type="dcterms:W3CDTF">2026-09-02T07:22:51.914Z</dcterms:modified>
</cp:coreProperties>
</file>

<file path=docProps/custom.xml><?xml version="1.0" encoding="utf-8"?>
<Properties xmlns="http://schemas.openxmlformats.org/officeDocument/2006/custom-properties" xmlns:vt="http://schemas.openxmlformats.org/officeDocument/2006/docPropsVTypes"/>
</file>