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color w:val="808080"/>
          <w:sz w:val="22"/>
          <w:szCs w:val="22"/>
        </w:rPr>
        <w:t xml:space="preserve">企業研究</w:t>
      </w:r>
    </w:p>
    <w:p>
      <w:pPr>
        <w:spacing w:after="60"/>
        <w:jc w:val="center"/>
      </w:pPr>
      <w:r>
        <w:rPr>
          <w:rFonts w:ascii="游ゴシック" w:cs="游ゴシック" w:eastAsia="游ゴシック" w:hAnsi="游ゴシック"/>
          <w:b/>
          <w:bCs/>
          <w:color w:val="1F3864"/>
          <w:sz w:val="40"/>
          <w:szCs w:val="40"/>
        </w:rPr>
        <w:t xml:space="preserve">SBI新生銀行（旧・新生銀行）</w:t>
      </w:r>
    </w:p>
    <w:p>
      <w:pPr>
        <w:spacing w:after="400"/>
        <w:jc w:val="center"/>
      </w:pPr>
      <w:r>
        <w:rPr>
          <w:rFonts w:ascii="游ゴシック" w:cs="游ゴシック" w:eastAsia="游ゴシック" w:hAnsi="游ゴシック"/>
          <w:color w:val="595959"/>
          <w:sz w:val="20"/>
          <w:szCs w:val="20"/>
        </w:rPr>
        <w:t xml:space="preserve">証券コード 8303　東証プライム</w:t>
      </w:r>
    </w:p>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1. 概要</w:t>
      </w:r>
    </w:p>
    <w:p>
      <w:pPr>
        <w:spacing w:after="120"/>
      </w:pPr>
      <w:r>
        <w:rPr>
          <w:rFonts w:ascii="游ゴシック" w:cs="游ゴシック" w:eastAsia="游ゴシック" w:hAnsi="游ゴシック"/>
          <w:sz w:val="21"/>
          <w:szCs w:val="21"/>
        </w:rPr>
        <w:t xml:space="preserve">株式会社SBI新生銀行（証券コード8303、東証プライム市場）は、SBIホールディングス傘下の普通銀行。前身は1952年設立の日本長期信用銀行（長銀）で、1998年の経営破綻・一時国有化、2000年の外資（リップルウッド）による買収を経て「新生銀行」として再出発した特異な経歴を持つ。2019年からSBIグループが出資を進め、2023年9月に完全子会社化に近い形で上場廃止、2025年7月に公的資金（約3,500億円）を完済したのち、2025年12月17日に東証プライムへ再上場した。代表取締役社長は川島克哉氏。</w:t>
      </w:r>
    </w:p>
    <w:p>
      <w:pPr>
        <w:spacing w:after="120"/>
      </w:pPr>
      <w:r>
        <w:rPr>
          <w:rFonts w:ascii="游ゴシック" w:cs="游ゴシック" w:eastAsia="游ゴシック" w:hAnsi="游ゴシック"/>
          <w:sz w:val="21"/>
          <w:szCs w:val="21"/>
        </w:rPr>
        <w:t xml:space="preserve">連結総資産は約24.7兆円規模で、SBIグループが掲げる「第四のメガバンク構想」における中核会社と位置付けられている。個人向け（PowerFlex等）・法人向けの伝統的銀行業務に加え、アプラス・新生フィナンシャル（レイク）などの消費者金融、昭和リース・NECキャピタルソリューションなどのリース事業、不動産ノンリコースファイナンスまで幅広い金融機能を持つグループを形成している。</w:t>
      </w:r>
    </w:p>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2. 沿革</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年</w:t>
            </w:r>
          </w:p>
        </w:tc>
        <w:tc>
          <w:tcPr>
            <w:tcW w:type="dxa" w:w="73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出来事</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1952年</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長期信用銀行法に基づき日本長期信用銀行（長銀）設立</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1998年10月</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不良債権問題により経営破綻、金融再生法に基づき一時国有化（公的資金約7兆円が投入）</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2000年3月</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リップルウッド・ホールディングス主導の「ニューLTCBパートナーズ」に売却価格10億円で譲渡され、新生銀行として営業開始</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2004年</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東京証券取引所第一部に上場</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2019年</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SBIホールディングスが出資を開始（「第四のメガバンク構想」の一環）</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2021年</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SBIによる大規模TOBを実施（買収防衛策等を巡り攻防、完全子会社化には至らず）</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2023年5月</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SBIが2度目のTOBを実施（1株2,800円）、一般株主から株式を取得し株主をSBIグループと政府にほぼ限定</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2023年9月28日</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東証スタンダード市場での上場廃止（SBIによる実質的な完全子会社化）</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2025年3月</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優先株式への配当等により公的資金の一部（1,000億円）を返済する方針を決定</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2025年7月31日</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残る公的資金（約2,300億円）を完済し、総額約3,500億円の公的資金返済を完了</w:t>
            </w:r>
          </w:p>
        </w:tc>
      </w:tr>
      <w:tr>
        <w:tc>
          <w:tcPr>
            <w:tcW w:type="dxa" w:w="1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2025年12月17日</w:t>
            </w:r>
          </w:p>
        </w:tc>
        <w:tc>
          <w:tcPr>
            <w:tcW w:type="dxa" w:w="73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東証プライム市場に再上場（公開価格1,450円、初値1,586円、時価総額約1.3〜1.4兆円）。2025年最大規模のIPO</w:t>
            </w:r>
          </w:p>
        </w:tc>
      </w:tr>
    </w:tbl>
    <w:p>
      <w:pPr>
        <w:spacing w:after="200"/>
      </w:pPr>
      <w:r>
        <w:rPr>
          <w:rFonts w:ascii="游ゴシック" w:cs="游ゴシック" w:eastAsia="游ゴシック" w:hAnsi="游ゴシック"/>
          <w:i/>
          <w:iCs/>
          <w:color w:val="595959"/>
          <w:sz w:val="19"/>
          <w:szCs w:val="19"/>
        </w:rPr>
        <w:t xml:space="preserve">公的資金の返済は、上場廃止から約2年、旧長銀破綻からは四半世紀を要した長年の経営課題であった。上場を維持したままの返済には株価を当時の3倍近く（約7,450円）まで引き上げる必要があり、当時の収益力では困難だったことが非公開化の主因とされる。</w:t>
      </w:r>
    </w:p>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3. 中期経営計画「次世代の金融、共に築き切り拓く未来」（FY2025-2027）</w:t>
      </w:r>
    </w:p>
    <w:p>
      <w:pPr>
        <w:spacing w:after="120"/>
      </w:pPr>
      <w:r>
        <w:rPr>
          <w:rFonts w:ascii="游ゴシック" w:cs="游ゴシック" w:eastAsia="游ゴシック" w:hAnsi="游ゴシック"/>
          <w:sz w:val="21"/>
          <w:szCs w:val="21"/>
        </w:rPr>
        <w:t xml:space="preserve">2025年5月、2025〜2027年度を対象とする新中期経営計画を策定。以下の4要素から構成される新ビジョンを掲げる。</w:t>
      </w:r>
    </w:p>
    <w:p>
      <w:pPr>
        <w:pStyle w:val="ListParagraph"/>
        <w:numPr>
          <w:ilvl w:val="0"/>
          <w:numId w:val="2"/>
        </w:numPr>
        <w:spacing w:after="60"/>
      </w:pPr>
      <w:r>
        <w:rPr>
          <w:rFonts w:ascii="游ゴシック" w:cs="游ゴシック" w:eastAsia="游ゴシック" w:hAnsi="游ゴシック"/>
          <w:sz w:val="21"/>
          <w:szCs w:val="21"/>
        </w:rPr>
        <w:t xml:space="preserve">A. 次世代金融：SBIグループの「顧客中心主義」を体現する、より新しく高度な金融サービスをすべての顧客に提供</w:t>
      </w:r>
    </w:p>
    <w:p>
      <w:pPr>
        <w:pStyle w:val="ListParagraph"/>
        <w:numPr>
          <w:ilvl w:val="0"/>
          <w:numId w:val="2"/>
        </w:numPr>
        <w:spacing w:after="60"/>
      </w:pPr>
      <w:r>
        <w:rPr>
          <w:rFonts w:ascii="游ゴシック" w:cs="游ゴシック" w:eastAsia="游ゴシック" w:hAnsi="游ゴシック"/>
          <w:sz w:val="21"/>
          <w:szCs w:val="21"/>
        </w:rPr>
        <w:t xml:space="preserve">B. 第四のメガバンクの中核：SBIグループの地銀連合戦略における中核的機能を担う</w:t>
      </w:r>
    </w:p>
    <w:p>
      <w:pPr>
        <w:pStyle w:val="ListParagraph"/>
        <w:numPr>
          <w:ilvl w:val="0"/>
          <w:numId w:val="2"/>
        </w:numPr>
        <w:spacing w:after="60"/>
      </w:pPr>
      <w:r>
        <w:rPr>
          <w:rFonts w:ascii="游ゴシック" w:cs="游ゴシック" w:eastAsia="游ゴシック" w:hAnsi="游ゴシック"/>
          <w:sz w:val="21"/>
          <w:szCs w:val="21"/>
        </w:rPr>
        <w:t xml:space="preserve">C. 持続的成長の実現：グループシナジー・M&amp;Aを通じた事業ポートフォリオの拡大</w:t>
      </w:r>
    </w:p>
    <w:p>
      <w:pPr>
        <w:pStyle w:val="ListParagraph"/>
        <w:numPr>
          <w:ilvl w:val="0"/>
          <w:numId w:val="2"/>
        </w:numPr>
        <w:spacing w:after="60"/>
      </w:pPr>
      <w:r>
        <w:rPr>
          <w:rFonts w:ascii="游ゴシック" w:cs="游ゴシック" w:eastAsia="游ゴシック" w:hAnsi="游ゴシック"/>
          <w:sz w:val="21"/>
          <w:szCs w:val="21"/>
        </w:rPr>
        <w:t xml:space="preserve">D. 公的資金の早期返済：2025年7月に完済し、計画に先行して達成済み</w:t>
      </w:r>
    </w:p>
    <w:p>
      <w:pPr>
        <w:pStyle w:val="Heading3"/>
        <w:spacing w:after="100" w:before="200"/>
      </w:pPr>
      <w:r>
        <w:rPr>
          <w:rFonts w:ascii="游ゴシック" w:cs="游ゴシック" w:eastAsia="游ゴシック" w:hAnsi="游ゴシック"/>
          <w:b/>
          <w:bCs/>
          <w:color w:val="1F3864"/>
          <w:sz w:val="22"/>
          <w:szCs w:val="22"/>
        </w:rPr>
        <w:t xml:space="preserve">2027年度 数値目標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0"/>
        <w:gridCol w:w="4700"/>
      </w:tblGrid>
      <w:tr>
        <w:trPr>
          <w:tblHeader/>
        </w:trPr>
        <w:tc>
          <w:tcPr>
            <w:tcW w:type="dxa" w:w="42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指標</w:t>
            </w:r>
          </w:p>
        </w:tc>
        <w:tc>
          <w:tcPr>
            <w:tcW w:type="dxa" w:w="47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2027年度目標</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営業性資産残高</w:t>
            </w:r>
          </w:p>
        </w:tc>
        <w:tc>
          <w:tcPr>
            <w:tcW w:type="dxa" w:w="47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10兆円</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リテール預金残高</w:t>
            </w:r>
          </w:p>
        </w:tc>
        <w:tc>
          <w:tcPr>
            <w:tcW w:type="dxa" w:w="47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8兆円</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住宅ローン実行額（累計等）</w:t>
            </w:r>
          </w:p>
        </w:tc>
        <w:tc>
          <w:tcPr>
            <w:tcW w:type="dxa" w:w="47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4兆円</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証券投資残高</w:t>
            </w:r>
          </w:p>
        </w:tc>
        <w:tc>
          <w:tcPr>
            <w:tcW w:type="dxa" w:w="47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1兆円</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RORA（営業資産経常利益率）</w:t>
            </w:r>
          </w:p>
        </w:tc>
        <w:tc>
          <w:tcPr>
            <w:tcW w:type="dxa" w:w="47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1.15%（2025年度実績1.23%）</w:t>
            </w:r>
          </w:p>
        </w:tc>
      </w:tr>
    </w:tbl>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4. 「第四のメガバンク構想」と地銀連合</w:t>
      </w:r>
    </w:p>
    <w:p>
      <w:pPr>
        <w:spacing w:after="120"/>
      </w:pPr>
      <w:r>
        <w:rPr>
          <w:rFonts w:ascii="游ゴシック" w:cs="游ゴシック" w:eastAsia="游ゴシック" w:hAnsi="游ゴシック"/>
          <w:sz w:val="21"/>
          <w:szCs w:val="21"/>
        </w:rPr>
        <w:t xml:space="preserve">SBIグループが2019年の島根銀行への出資を皮切りに推進する構想で、SBIを核として全国の地方銀行と資本業務提携を結び、システムの共通化・業務効率化・IT活用支援を通じて広域の金融ネットワークを構築するもの。既存メガバンクのような中央集権型ではなく、各地銀の自律性を尊重する「分散型連合」を志向する点が特徴。</w:t>
      </w:r>
    </w:p>
    <w:p>
      <w:pPr>
        <w:pStyle w:val="ListParagraph"/>
        <w:numPr>
          <w:ilvl w:val="0"/>
          <w:numId w:val="2"/>
        </w:numPr>
        <w:spacing w:after="60"/>
      </w:pPr>
      <w:r>
        <w:rPr>
          <w:rFonts w:ascii="游ゴシック" w:cs="游ゴシック" w:eastAsia="游ゴシック" w:hAnsi="游ゴシック"/>
          <w:sz w:val="21"/>
          <w:szCs w:val="21"/>
        </w:rPr>
        <w:t xml:space="preserve">現在、島根銀行・福島銀行・清水銀行・東北銀行など全国の地方銀行9行程度と資本業務提携（一部離脱行の報道もあり）</w:t>
      </w:r>
    </w:p>
    <w:p>
      <w:pPr>
        <w:pStyle w:val="ListParagraph"/>
        <w:numPr>
          <w:ilvl w:val="0"/>
          <w:numId w:val="2"/>
        </w:numPr>
        <w:spacing w:after="60"/>
      </w:pPr>
      <w:r>
        <w:rPr>
          <w:rFonts w:ascii="游ゴシック" w:cs="游ゴシック" w:eastAsia="游ゴシック" w:hAnsi="游ゴシック"/>
          <w:sz w:val="21"/>
          <w:szCs w:val="21"/>
        </w:rPr>
        <w:t xml:space="preserve">提携地銀9行の総資産合計は約13.6兆円。SBI新生銀行（約24.7兆円）を含めると合計約40兆円規模となり、ふくおかフィナンシャルグループ（約34兆円）を上回る</w:t>
      </w:r>
    </w:p>
    <w:p>
      <w:pPr>
        <w:pStyle w:val="ListParagraph"/>
        <w:numPr>
          <w:ilvl w:val="0"/>
          <w:numId w:val="2"/>
        </w:numPr>
        <w:spacing w:after="60"/>
      </w:pPr>
      <w:r>
        <w:rPr>
          <w:rFonts w:ascii="游ゴシック" w:cs="游ゴシック" w:eastAsia="游ゴシック" w:hAnsi="游ゴシック"/>
          <w:sz w:val="21"/>
          <w:szCs w:val="21"/>
        </w:rPr>
        <w:t xml:space="preserve">2025年12月の再上場を機に、SBIグループは同構想と地銀との連携を一段と加速する方針を表明</w:t>
      </w:r>
    </w:p>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5. 事業ポートフォリオ・グループ会社</w:t>
      </w:r>
    </w:p>
    <w:p>
      <w:pPr>
        <w:pStyle w:val="Heading3"/>
        <w:spacing w:after="100" w:before="200"/>
      </w:pPr>
      <w:r>
        <w:rPr>
          <w:rFonts w:ascii="游ゴシック" w:cs="游ゴシック" w:eastAsia="游ゴシック" w:hAnsi="游ゴシック"/>
          <w:b/>
          <w:bCs/>
          <w:color w:val="1F3864"/>
          <w:sz w:val="22"/>
          <w:szCs w:val="22"/>
        </w:rPr>
        <w:t xml:space="preserve">リテールバンキング</w:t>
      </w:r>
    </w:p>
    <w:p>
      <w:pPr>
        <w:pStyle w:val="ListParagraph"/>
        <w:numPr>
          <w:ilvl w:val="0"/>
          <w:numId w:val="2"/>
        </w:numPr>
        <w:spacing w:after="60"/>
      </w:pPr>
      <w:r>
        <w:rPr>
          <w:rFonts w:ascii="游ゴシック" w:cs="游ゴシック" w:eastAsia="游ゴシック" w:hAnsi="游ゴシック"/>
          <w:sz w:val="21"/>
          <w:szCs w:val="21"/>
        </w:rPr>
        <w:t xml:space="preserve">総合口座「PowerFlex」を中心に、円建・外貨建預金、住宅ローン、インターネットバンキングを展開</w:t>
      </w:r>
    </w:p>
    <w:p>
      <w:pPr>
        <w:pStyle w:val="ListParagraph"/>
        <w:numPr>
          <w:ilvl w:val="0"/>
          <w:numId w:val="2"/>
        </w:numPr>
        <w:spacing w:after="60"/>
      </w:pPr>
      <w:r>
        <w:rPr>
          <w:rFonts w:ascii="游ゴシック" w:cs="游ゴシック" w:eastAsia="游ゴシック" w:hAnsi="游ゴシック"/>
          <w:sz w:val="21"/>
          <w:szCs w:val="21"/>
        </w:rPr>
        <w:t xml:space="preserve">中核店舗に個別ブースを設けた対面型の資産運用コンサルティングを提供する一方、コールセンター・ネットバンキングでの商品提供も強化</w:t>
      </w:r>
    </w:p>
    <w:p>
      <w:pPr>
        <w:pStyle w:val="ListParagraph"/>
        <w:numPr>
          <w:ilvl w:val="0"/>
          <w:numId w:val="2"/>
        </w:numPr>
        <w:spacing w:after="60"/>
      </w:pPr>
      <w:r>
        <w:rPr>
          <w:rFonts w:ascii="游ゴシック" w:cs="游ゴシック" w:eastAsia="游ゴシック" w:hAnsi="游ゴシック"/>
          <w:sz w:val="21"/>
          <w:szCs w:val="21"/>
        </w:rPr>
        <w:t xml:space="preserve">リアル店舗とリモートチャネルを組み合わせるリテールチャネル戦略「バーチャルSFC構想」を推進</w:t>
      </w:r>
    </w:p>
    <w:p>
      <w:pPr>
        <w:pStyle w:val="Heading3"/>
        <w:spacing w:after="100" w:before="200"/>
      </w:pPr>
      <w:r>
        <w:rPr>
          <w:rFonts w:ascii="游ゴシック" w:cs="游ゴシック" w:eastAsia="游ゴシック" w:hAnsi="游ゴシック"/>
          <w:b/>
          <w:bCs/>
          <w:color w:val="1F3864"/>
          <w:sz w:val="22"/>
          <w:szCs w:val="22"/>
        </w:rPr>
        <w:t xml:space="preserve">法人金融</w:t>
      </w:r>
    </w:p>
    <w:p>
      <w:pPr>
        <w:pStyle w:val="ListParagraph"/>
        <w:numPr>
          <w:ilvl w:val="0"/>
          <w:numId w:val="2"/>
        </w:numPr>
        <w:spacing w:after="60"/>
      </w:pPr>
      <w:r>
        <w:rPr>
          <w:rFonts w:ascii="游ゴシック" w:cs="游ゴシック" w:eastAsia="游ゴシック" w:hAnsi="游ゴシック"/>
          <w:sz w:val="21"/>
          <w:szCs w:val="21"/>
        </w:rPr>
        <w:t xml:space="preserve">シンジケートローン、ノンリコースローン、プロジェクトファイナンスなど事業金融分野で豊富な実績を持ち、SBIグループの各種金融ソリューションと連携</w:t>
      </w:r>
    </w:p>
    <w:p>
      <w:pPr>
        <w:pStyle w:val="Heading3"/>
        <w:spacing w:after="100" w:before="200"/>
      </w:pPr>
      <w:r>
        <w:rPr>
          <w:rFonts w:ascii="游ゴシック" w:cs="游ゴシック" w:eastAsia="游ゴシック" w:hAnsi="游ゴシック"/>
          <w:b/>
          <w:bCs/>
          <w:color w:val="1F3864"/>
          <w:sz w:val="22"/>
          <w:szCs w:val="22"/>
        </w:rPr>
        <w:t xml:space="preserve">消費者金融・リース等（グループ会社）</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会社</w:t>
            </w:r>
          </w:p>
        </w:tc>
        <w:tc>
          <w:tcPr>
            <w:tcW w:type="dxa" w:w="65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概要</w:t>
            </w:r>
          </w:p>
        </w:tc>
      </w:tr>
      <w:tr>
        <w:tc>
          <w:tcPr>
            <w:tcW w:type="dxa" w:w="24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アプラス</w:t>
            </w:r>
          </w:p>
        </w:tc>
        <w:tc>
          <w:tcPr>
            <w:tcW w:type="dxa" w:w="65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ショッピングクレジット・クレジットカード・決済事業を手がける消費者金融子会社</w:t>
            </w:r>
          </w:p>
        </w:tc>
      </w:tr>
      <w:tr>
        <w:tc>
          <w:tcPr>
            <w:tcW w:type="dxa" w:w="24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新生フィナンシャル（レイク）</w:t>
            </w:r>
          </w:p>
        </w:tc>
        <w:tc>
          <w:tcPr>
            <w:tcW w:type="dxa" w:w="65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カードローン「レイク」等のパーソナルローン事業</w:t>
            </w:r>
          </w:p>
        </w:tc>
      </w:tr>
      <w:tr>
        <w:tc>
          <w:tcPr>
            <w:tcW w:type="dxa" w:w="24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昭和リース</w:t>
            </w:r>
          </w:p>
        </w:tc>
        <w:tc>
          <w:tcPr>
            <w:tcW w:type="dxa" w:w="65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リース事業を担うグループ会社</w:t>
            </w:r>
          </w:p>
        </w:tc>
      </w:tr>
      <w:tr>
        <w:tc>
          <w:tcPr>
            <w:tcW w:type="dxa" w:w="24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NECキャピタルソリューション</w:t>
            </w:r>
          </w:p>
        </w:tc>
        <w:tc>
          <w:tcPr>
            <w:tcW w:type="dxa" w:w="65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2024年10月に持分法適用関連会社化、2025年5〜6月にTOB（1株3,750円）を実施し出資比率を43.48%に引き上げ。リース・ストラクチャードファイナンス・不動産・環境エネルギー事業での連携強化を企図</w:t>
            </w:r>
          </w:p>
        </w:tc>
      </w:tr>
      <w:tr>
        <w:tc>
          <w:tcPr>
            <w:tcW w:type="dxa" w:w="24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新生インベストメント&amp;ファイナンス 等</w:t>
            </w:r>
          </w:p>
        </w:tc>
        <w:tc>
          <w:tcPr>
            <w:tcW w:type="dxa" w:w="65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不動産ノンリコースファイナンス等のストラクチャードファイナンスを展開</w:t>
            </w:r>
          </w:p>
        </w:tc>
      </w:tr>
    </w:tbl>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6. 強み</w:t>
      </w:r>
    </w:p>
    <w:p>
      <w:pPr>
        <w:pStyle w:val="ListParagraph"/>
        <w:numPr>
          <w:ilvl w:val="0"/>
          <w:numId w:val="2"/>
        </w:numPr>
        <w:spacing w:after="60"/>
      </w:pPr>
      <w:r>
        <w:rPr>
          <w:rFonts w:ascii="游ゴシック" w:cs="游ゴシック" w:eastAsia="游ゴシック" w:hAnsi="游ゴシック"/>
          <w:sz w:val="21"/>
          <w:szCs w:val="21"/>
        </w:rPr>
        <w:t xml:space="preserve">SBIグループとの連携によるビジネス機会の拡大（証券・アセットマネジメント・地銀連合など幅広いSBIエコシステムとのシナジー）</w:t>
      </w:r>
    </w:p>
    <w:p>
      <w:pPr>
        <w:pStyle w:val="ListParagraph"/>
        <w:numPr>
          <w:ilvl w:val="0"/>
          <w:numId w:val="2"/>
        </w:numPr>
        <w:spacing w:after="60"/>
      </w:pPr>
      <w:r>
        <w:rPr>
          <w:rFonts w:ascii="游ゴシック" w:cs="游ゴシック" w:eastAsia="游ゴシック" w:hAnsi="游ゴシック"/>
          <w:sz w:val="21"/>
          <w:szCs w:val="21"/>
        </w:rPr>
        <w:t xml:space="preserve">プロジェクトファイナンス・ストラクチャードファイナンス等、特定分野における専門性の高さ</w:t>
      </w:r>
    </w:p>
    <w:p>
      <w:pPr>
        <w:pStyle w:val="ListParagraph"/>
        <w:numPr>
          <w:ilvl w:val="0"/>
          <w:numId w:val="2"/>
        </w:numPr>
        <w:spacing w:after="60"/>
      </w:pPr>
      <w:r>
        <w:rPr>
          <w:rFonts w:ascii="游ゴシック" w:cs="游ゴシック" w:eastAsia="游ゴシック" w:hAnsi="游ゴシック"/>
          <w:sz w:val="21"/>
          <w:szCs w:val="21"/>
        </w:rPr>
        <w:t xml:space="preserve">銀行本体に加えアプラス・レイクなど消費者金融機能を持つ、他のメガバンクにはないユニークな事業ポートフォリオ</w:t>
      </w:r>
    </w:p>
    <w:p>
      <w:pPr>
        <w:pStyle w:val="ListParagraph"/>
        <w:numPr>
          <w:ilvl w:val="0"/>
          <w:numId w:val="2"/>
        </w:numPr>
        <w:spacing w:after="60"/>
      </w:pPr>
      <w:r>
        <w:rPr>
          <w:rFonts w:ascii="游ゴシック" w:cs="游ゴシック" w:eastAsia="游ゴシック" w:hAnsi="游ゴシック"/>
          <w:sz w:val="21"/>
          <w:szCs w:val="21"/>
        </w:rPr>
        <w:t xml:space="preserve">「第四のメガバンク構想」の中核として、地方銀行への機能提供というオーガニックな成長機会を持つ</w:t>
      </w:r>
    </w:p>
    <w:p>
      <w:pPr>
        <w:pStyle w:val="ListParagraph"/>
        <w:numPr>
          <w:ilvl w:val="0"/>
          <w:numId w:val="2"/>
        </w:numPr>
        <w:spacing w:after="60"/>
      </w:pPr>
      <w:r>
        <w:rPr>
          <w:rFonts w:ascii="游ゴシック" w:cs="游ゴシック" w:eastAsia="游ゴシック" w:hAnsi="游ゴシック"/>
          <w:sz w:val="21"/>
          <w:szCs w:val="21"/>
        </w:rPr>
        <w:t xml:space="preserve">旧長銀由来の繰越欠損金の影響もあり、経常利益に対して実効税率が低く、当期純利益が押し上げられる収益構造（2026年3月期実績にも表れている）</w:t>
      </w:r>
    </w:p>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7. 直近の業績（2026年3月期・連結）</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100"/>
      </w:tblGrid>
      <w:tr>
        <w:trPr>
          <w:tblHeader/>
        </w:trPr>
        <w:tc>
          <w:tcPr>
            <w:tcW w:type="dxa" w:w="42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指標</w:t>
            </w:r>
          </w:p>
        </w:tc>
        <w:tc>
          <w:tcPr>
            <w:tcW w:type="dxa" w:w="26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金額</w:t>
            </w:r>
          </w:p>
        </w:tc>
        <w:tc>
          <w:tcPr>
            <w:tcW w:type="dxa" w:w="2100"/>
            <w:shd w:fill="D9E2F3" w:val="clear"/>
            <w:tcMar>
              <w:top w:type="dxa" w:w="80"/>
              <w:left w:type="dxa" w:w="100"/>
              <w:bottom w:type="dxa" w:w="80"/>
              <w:right w:type="dxa" w:w="100"/>
            </w:tcMar>
          </w:tcPr>
          <w:p>
            <w:r>
              <w:rPr>
                <w:rFonts w:ascii="游ゴシック" w:cs="游ゴシック" w:eastAsia="游ゴシック" w:hAnsi="游ゴシック"/>
                <w:b/>
                <w:bCs/>
                <w:sz w:val="20"/>
                <w:szCs w:val="20"/>
              </w:rPr>
              <w:t xml:space="preserve">前期比</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経常収益</w:t>
            </w:r>
          </w:p>
        </w:tc>
        <w:tc>
          <w:tcPr>
            <w:tcW w:type="dxa" w:w="2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7,740億58百万円</w:t>
            </w:r>
          </w:p>
        </w:tc>
        <w:tc>
          <w:tcPr>
            <w:tcW w:type="dxa" w:w="21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+26.1%</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経常利益</w:t>
            </w:r>
          </w:p>
        </w:tc>
        <w:tc>
          <w:tcPr>
            <w:tcW w:type="dxa" w:w="2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1,233億82百万円</w:t>
            </w:r>
          </w:p>
        </w:tc>
        <w:tc>
          <w:tcPr>
            <w:tcW w:type="dxa" w:w="21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+58.6%（25期ぶりの最高益更新）</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親会社株主に帰属する当期純利益</w:t>
            </w:r>
          </w:p>
        </w:tc>
        <w:tc>
          <w:tcPr>
            <w:tcW w:type="dxa" w:w="2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1,134億15百万円</w:t>
            </w:r>
          </w:p>
        </w:tc>
        <w:tc>
          <w:tcPr>
            <w:tcW w:type="dxa" w:w="21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+34.2%（4期連続増収・増益）</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純資産</w:t>
            </w:r>
          </w:p>
        </w:tc>
        <w:tc>
          <w:tcPr>
            <w:tcW w:type="dxa" w:w="2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1兆2,330億円</w:t>
            </w:r>
          </w:p>
        </w:tc>
        <w:tc>
          <w:tcPr>
            <w:tcW w:type="dxa" w:w="21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w:t>
            </w:r>
          </w:p>
        </w:tc>
      </w:tr>
      <w:tr>
        <w:tc>
          <w:tcPr>
            <w:tcW w:type="dxa" w:w="42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営業活動によるキャッシュ・フロー</w:t>
            </w:r>
          </w:p>
        </w:tc>
        <w:tc>
          <w:tcPr>
            <w:tcW w:type="dxa" w:w="26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1兆8,958億円の収入</w:t>
            </w:r>
          </w:p>
        </w:tc>
        <w:tc>
          <w:tcPr>
            <w:tcW w:type="dxa" w:w="2100"/>
            <w:tcMar>
              <w:top w:type="dxa" w:w="80"/>
              <w:left w:type="dxa" w:w="100"/>
              <w:bottom w:type="dxa" w:w="80"/>
              <w:right w:type="dxa" w:w="100"/>
            </w:tcMar>
          </w:tcPr>
          <w:p>
            <w:r>
              <w:rPr>
                <w:rFonts w:ascii="游ゴシック" w:cs="游ゴシック" w:eastAsia="游ゴシック" w:hAnsi="游ゴシック"/>
                <w:b w:val="false"/>
                <w:bCs w:val="false"/>
                <w:sz w:val="20"/>
                <w:szCs w:val="20"/>
              </w:rPr>
              <w:t xml:space="preserve">－</w:t>
            </w:r>
          </w:p>
        </w:tc>
      </w:tr>
    </w:tbl>
    <w:p>
      <w:pPr>
        <w:spacing w:after="200"/>
      </w:pPr>
      <w:r>
        <w:rPr>
          <w:rFonts w:ascii="游ゴシック" w:cs="游ゴシック" w:eastAsia="游ゴシック" w:hAnsi="游ゴシック"/>
          <w:i/>
          <w:iCs/>
          <w:color w:val="595959"/>
          <w:sz w:val="19"/>
          <w:szCs w:val="19"/>
        </w:rPr>
        <w:t xml:space="preserve">2025年12月の東証プライム上場に伴う公募増資や、非資金利益の増加・与信関連費用の減少が増益に寄与。上場・公的資金完済により財務基盤・経営の自由度が大きく改善した年度となった。</w:t>
      </w:r>
    </w:p>
    <w:p>
      <w:pPr>
        <w:pStyle w:val="Heading2"/>
        <w:pBdr>
          <w:bottom w:val="single" w:color="8EA9DB" w:sz="6" w:space="2"/>
        </w:pBdr>
        <w:spacing w:after="150" w:before="300"/>
      </w:pPr>
      <w:r>
        <w:rPr>
          <w:rFonts w:ascii="游ゴシック" w:cs="游ゴシック" w:eastAsia="游ゴシック" w:hAnsi="游ゴシック"/>
          <w:b/>
          <w:bCs/>
          <w:color w:val="2E4E8C"/>
          <w:sz w:val="26"/>
          <w:szCs w:val="26"/>
        </w:rPr>
        <w:t xml:space="preserve">8. 出典</w:t>
      </w:r>
    </w:p>
    <w:p>
      <w:pPr>
        <w:pStyle w:val="ListParagraph"/>
        <w:numPr>
          <w:ilvl w:val="0"/>
          <w:numId w:val="2"/>
        </w:numPr>
        <w:spacing w:after="60"/>
      </w:pPr>
      <w:r>
        <w:rPr>
          <w:rFonts w:ascii="游ゴシック" w:cs="游ゴシック" w:eastAsia="游ゴシック" w:hAnsi="游ゴシック"/>
          <w:sz w:val="21"/>
          <w:szCs w:val="21"/>
        </w:rPr>
        <w:t xml:space="preserve">SBI新生銀行「新中期経営計画（2025年度から2027年度）の策定について」（2025.5.9）</w:t>
      </w:r>
    </w:p>
    <w:p>
      <w:pPr>
        <w:pStyle w:val="ListParagraph"/>
        <w:numPr>
          <w:ilvl w:val="0"/>
          <w:numId w:val="2"/>
        </w:numPr>
        <w:spacing w:after="60"/>
      </w:pPr>
      <w:r>
        <w:rPr>
          <w:rFonts w:ascii="游ゴシック" w:cs="游ゴシック" w:eastAsia="游ゴシック" w:hAnsi="游ゴシック"/>
          <w:sz w:val="21"/>
          <w:szCs w:val="21"/>
        </w:rPr>
        <w:t xml:space="preserve">SBI新生銀行「次世代の金融、共に築き切り拓く未来 FY2025-2027 中期経営計画」説明資料（2025.5）</w:t>
      </w:r>
    </w:p>
    <w:p>
      <w:pPr>
        <w:pStyle w:val="ListParagraph"/>
        <w:numPr>
          <w:ilvl w:val="0"/>
          <w:numId w:val="2"/>
        </w:numPr>
        <w:spacing w:after="60"/>
      </w:pPr>
      <w:r>
        <w:rPr>
          <w:rFonts w:ascii="游ゴシック" w:cs="游ゴシック" w:eastAsia="游ゴシック" w:hAnsi="游ゴシック"/>
          <w:sz w:val="21"/>
          <w:szCs w:val="21"/>
        </w:rPr>
        <w:t xml:space="preserve">SBI新生銀行「2025年度通期決算 IR説明会資料」（2026.5.14）</w:t>
      </w:r>
    </w:p>
    <w:p>
      <w:pPr>
        <w:pStyle w:val="ListParagraph"/>
        <w:numPr>
          <w:ilvl w:val="0"/>
          <w:numId w:val="2"/>
        </w:numPr>
        <w:spacing w:after="60"/>
      </w:pPr>
      <w:r>
        <w:rPr>
          <w:rFonts w:ascii="游ゴシック" w:cs="游ゴシック" w:eastAsia="游ゴシック" w:hAnsi="游ゴシック"/>
          <w:sz w:val="21"/>
          <w:szCs w:val="21"/>
        </w:rPr>
        <w:t xml:space="preserve">SBI新生銀行「2026年3月期 決算短信〔日本基準〕（連結）」（2026.5.1）</w:t>
      </w:r>
    </w:p>
    <w:p>
      <w:pPr>
        <w:pStyle w:val="ListParagraph"/>
        <w:numPr>
          <w:ilvl w:val="0"/>
          <w:numId w:val="2"/>
        </w:numPr>
        <w:spacing w:after="60"/>
      </w:pPr>
      <w:r>
        <w:rPr>
          <w:rFonts w:ascii="游ゴシック" w:cs="游ゴシック" w:eastAsia="游ゴシック" w:hAnsi="游ゴシック"/>
          <w:sz w:val="21"/>
          <w:szCs w:val="21"/>
        </w:rPr>
        <w:t xml:space="preserve">SBIホールディングス ニュースリリース「株式会社SBI新生銀行の公的資金返済について」（2025.6.25）</w:t>
      </w:r>
    </w:p>
    <w:p>
      <w:pPr>
        <w:pStyle w:val="ListParagraph"/>
        <w:numPr>
          <w:ilvl w:val="0"/>
          <w:numId w:val="2"/>
        </w:numPr>
        <w:spacing w:after="60"/>
      </w:pPr>
      <w:r>
        <w:rPr>
          <w:rFonts w:ascii="游ゴシック" w:cs="游ゴシック" w:eastAsia="游ゴシック" w:hAnsi="游ゴシック"/>
          <w:sz w:val="21"/>
          <w:szCs w:val="21"/>
        </w:rPr>
        <w:t xml:space="preserve">SBI新生銀行「東京証券取引所プライム市場への新規上場承認のお知らせ」（2025.11.13）</w:t>
      </w:r>
    </w:p>
    <w:p>
      <w:pPr>
        <w:pStyle w:val="ListParagraph"/>
        <w:numPr>
          <w:ilvl w:val="0"/>
          <w:numId w:val="2"/>
        </w:numPr>
        <w:spacing w:after="60"/>
      </w:pPr>
      <w:r>
        <w:rPr>
          <w:rFonts w:ascii="游ゴシック" w:cs="游ゴシック" w:eastAsia="游ゴシック" w:hAnsi="游ゴシック"/>
          <w:sz w:val="21"/>
          <w:szCs w:val="21"/>
        </w:rPr>
        <w:t xml:space="preserve">日本経済新聞「SBI新生銀行、17日上場　地銀と連携する『第4のメガバンク』」</w:t>
      </w:r>
    </w:p>
    <w:p>
      <w:pPr>
        <w:pStyle w:val="ListParagraph"/>
        <w:numPr>
          <w:ilvl w:val="0"/>
          <w:numId w:val="2"/>
        </w:numPr>
        <w:spacing w:after="60"/>
      </w:pPr>
      <w:r>
        <w:rPr>
          <w:rFonts w:ascii="游ゴシック" w:cs="游ゴシック" w:eastAsia="游ゴシック" w:hAnsi="游ゴシック"/>
          <w:sz w:val="21"/>
          <w:szCs w:val="21"/>
        </w:rPr>
        <w:t xml:space="preserve">日本経済新聞「SBI新生銀行、12月17日に再上場　時価総額は1.3兆円を想定」</w:t>
      </w:r>
    </w:p>
    <w:p>
      <w:pPr>
        <w:pStyle w:val="ListParagraph"/>
        <w:numPr>
          <w:ilvl w:val="0"/>
          <w:numId w:val="2"/>
        </w:numPr>
        <w:spacing w:after="60"/>
      </w:pPr>
      <w:r>
        <w:rPr>
          <w:rFonts w:ascii="游ゴシック" w:cs="游ゴシック" w:eastAsia="游ゴシック" w:hAnsi="游ゴシック"/>
          <w:sz w:val="21"/>
          <w:szCs w:val="21"/>
        </w:rPr>
        <w:t xml:space="preserve">日本経済新聞「SBI、旧新生銀行の公的資金を完済　問われる『非上場』改革の果実」</w:t>
      </w:r>
    </w:p>
    <w:p>
      <w:pPr>
        <w:pStyle w:val="ListParagraph"/>
        <w:numPr>
          <w:ilvl w:val="0"/>
          <w:numId w:val="2"/>
        </w:numPr>
        <w:spacing w:after="60"/>
      </w:pPr>
      <w:r>
        <w:rPr>
          <w:rFonts w:ascii="游ゴシック" w:cs="游ゴシック" w:eastAsia="游ゴシック" w:hAnsi="游ゴシック"/>
          <w:sz w:val="21"/>
          <w:szCs w:val="21"/>
        </w:rPr>
        <w:t xml:space="preserve">SBI新生銀行「株式会社SBI新生銀行によるNECキャピタルソリューション株式会社の株式に対する公開買付けの開始に関するお知らせ」（2025.5.26）</w:t>
      </w:r>
    </w:p>
    <w:p>
      <w:pPr>
        <w:pStyle w:val="ListParagraph"/>
        <w:numPr>
          <w:ilvl w:val="0"/>
          <w:numId w:val="2"/>
        </w:numPr>
        <w:spacing w:after="60"/>
      </w:pPr>
      <w:r>
        <w:rPr>
          <w:rFonts w:ascii="游ゴシック" w:cs="游ゴシック" w:eastAsia="游ゴシック" w:hAnsi="游ゴシック"/>
          <w:sz w:val="21"/>
          <w:szCs w:val="21"/>
        </w:rPr>
        <w:t xml:space="preserve">Wikipedia「SBI新生銀行」「日本長期信用銀行」</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2026-08-13T23:36:48.475Z</dcterms:created>
  <dcterms:modified xsi:type="dcterms:W3CDTF">2026-08-13T23:36:48.475Z</dcterms:modified>
</cp:coreProperties>
</file>

<file path=docProps/custom.xml><?xml version="1.0" encoding="utf-8"?>
<Properties xmlns="http://schemas.openxmlformats.org/officeDocument/2006/custom-properties" xmlns:vt="http://schemas.openxmlformats.org/officeDocument/2006/docPropsVTypes"/>
</file>