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color w:val="2F5496"/>
          <w:sz w:val="22"/>
          <w:szCs w:val="22"/>
        </w:rPr>
        <w:t xml:space="preserve">まず押さえておきたい違い：フィデューシャリー・デューティー（受託者責任）の有無</w:t>
      </w:r>
    </w:p>
    <w:p>
      <w:pPr>
        <w:spacing w:after="100" w:line="264"/>
      </w:pPr>
      <w:r>
        <w:rPr>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bl>
    <w:p>
      <w:pPr>
        <w:spacing w:after="60" w:before="140"/>
      </w:pPr>
    </w:p>
    <w:p>
      <w:pPr>
        <w:spacing w:after="40" w:line="240"/>
        <w:ind w:left="260"/>
      </w:pPr>
      <w:r>
        <w:rPr>
          <w:b/>
          <w:bCs/>
          <w:sz w:val="19"/>
          <w:szCs w:val="19"/>
        </w:rPr>
        <w:t xml:space="preserve">・一言でまとめると：</w:t>
      </w:r>
    </w:p>
    <w:p>
      <w:pPr>
        <w:spacing w:after="40" w:line="240"/>
        <w:ind w:left="260"/>
      </w:pPr>
      <w:r>
        <w:rPr>
          <w:b w:val="false"/>
          <w:bCs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keepNext w:val="false"/>
        <w:spacing w:after="80" w:before="160"/>
      </w:pPr>
      <w:r>
        <w:rPr>
          <w:b/>
          <w:bCs/>
          <w:color w:val="2F5496"/>
          <w:sz w:val="22"/>
          <w:szCs w:val="22"/>
        </w:rPr>
        <w:t xml:space="preserve">比較表の見方</w:t>
      </w:r>
    </w:p>
    <w:p>
      <w:pPr>
        <w:spacing w:after="100" w:line="264"/>
      </w:pPr>
      <w:r>
        <w:rPr>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 等</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みずほ証券</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三菱UFJモルガン・スタンレー証券</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一部をゆうちょアセットマネジメントへ移管</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個人向け公募投信の自社設定は行っていない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p>
            <w:pPr>
              <w:spacing w:after="0" w:line="260"/>
            </w:pPr>
            <w:r>
              <w:rPr>
                <w:sz w:val="20"/>
                <w:szCs w:val="20"/>
              </w:rPr>
              <w:t xml:space="preserve">三井住友DSアセットマネジメント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w:t>
            </w:r>
          </w:p>
          <w:p>
            <w:pPr>
              <w:spacing w:after="0" w:line="260"/>
            </w:pPr>
            <w:r>
              <w:rPr>
                <w:sz w:val="20"/>
                <w:szCs w:val="20"/>
              </w:rPr>
              <w:t xml:space="preserve">大和アセットマネジメント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自己勘定運用が中心で対顧客セールスは限定的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SMBC日興証券</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国債等を中心とした自己運用が主要収益源</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b w:val="false"/>
          <w:bCs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ectPr>
          <w:pgSz w:w="16838" w:h="11906" w:orient="landscape"/>
          <w:pgMar w:top="700" w:right="700" w:bottom="700" w:left="70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7266"/>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資産運用業務（信託銀行本体が行う運用受託業務）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 金銭信託・年金信託の運用の意思決定業務（自家運用）</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 投資一任契約に基づく投資顧問業務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3. プライベートアセット（未上場株・インフラ・不動産private debt 等）の運用受託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アセットマネジメント業務（グループの資産運用会社による運用業務）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4. 公募投資信託の設定・運用（委託者）業務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5. 確定拠出年金（DC）向け運用商品の提供</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企業型・個人型（iDeCo）確定拠出年金の加入者向けに、投資信託等の運用商品ラインナップを提供する業務。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6. 機関投資家向け（年金基金・GPIF 等）運用受託業務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7. オルタナティブ投資運用（PE・不動産ファンド・ヘッジファンド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マーケット業務（市場部門・トレーディング・ALM）</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8. 資金繰り・ALM業務（円貨・外貨の調達・運用管理）</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9. 債券・為替・デリバティブのセールス＆トレーディング業務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国債・社債、外国為替、金利・為替デリバティブ等の市場性商品を、自己勘定および顧客向けに売買する業務。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10. 有価証券への自己勘定投資業務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自己の資金を用いて国債・社債・株式等の有価証券に投資し、運用収益を獲得する業務。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11. 法人向け為替・デリバティブ商品の提供（マーケティング）業務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事業法人の為替リスク・金利リスクのヘッジニーズに対応し、為替予約やデリバティブ商品を組成・販売する業務。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2026-08-22T14:56:36.139Z</dcterms:created>
  <dcterms:modified xsi:type="dcterms:W3CDTF">2026-08-22T14:56:36.139Z</dcterms:modified>
</cp:coreProperties>
</file>

<file path=docProps/custom.xml><?xml version="1.0" encoding="utf-8"?>
<Properties xmlns="http://schemas.openxmlformats.org/officeDocument/2006/custom-properties" xmlns:vt="http://schemas.openxmlformats.org/officeDocument/2006/docPropsVTypes"/>
</file>