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snapToGrid w:val="false"/>
          <w:color w:val="2F5496"/>
          <w:sz w:val="22"/>
          <w:szCs w:val="22"/>
        </w:rPr>
        <w:t xml:space="preserve">まず押さえておきたい違い：フィデューシャリー・デューティー（受託者責任）の有無</w:t>
      </w:r>
    </w:p>
    <w:p>
      <w:pPr>
        <w:spacing w:after="100" w:line="264"/>
      </w:pPr>
      <w:r>
        <w:rPr>
          <w:snapToGrid w:val="false"/>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マーケット業務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自己勘定取引＝principal（信認義務なし）</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銀行法10条2項（付随業務）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bl>
    <w:p>
      <w:pPr>
        <w:spacing w:after="60" w:before="140"/>
      </w:pPr>
    </w:p>
    <w:p>
      <w:pPr>
        <w:spacing w:after="40" w:line="240"/>
        <w:ind w:left="260"/>
      </w:pPr>
      <w:r>
        <w:rPr>
          <w:b/>
          <w:bCs/>
          <w:snapToGrid w:val="false"/>
          <w:sz w:val="19"/>
          <w:szCs w:val="19"/>
        </w:rPr>
        <w:t xml:space="preserve">・一言でまとめると：</w:t>
      </w:r>
    </w:p>
    <w:p>
      <w:pPr>
        <w:spacing w:after="40" w:line="240"/>
        <w:ind w:left="260"/>
      </w:pPr>
      <w:r>
        <w:rPr>
          <w:b w:val="false"/>
          <w:bCs w:val="false"/>
          <w:snapToGrid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napToGrid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napToGrid w:val="false"/>
          <w:sz w:val="19"/>
          <w:szCs w:val="19"/>
        </w:rPr>
        <w:t xml:space="preserve">・なお「資産運用業務」と「アセットマネジメント業務」の境界は、業務によって曖昧な部分と明確な部分がある：</w:t>
      </w:r>
    </w:p>
    <w:p>
      <w:pPr>
        <w:spacing w:after="40" w:line="240"/>
        <w:ind w:left="260"/>
      </w:pPr>
      <w:r>
        <w:rPr>
          <w:b w:val="false"/>
          <w:bCs w:val="false"/>
          <w:snapToGrid w:val="false"/>
          <w:sz w:val="19"/>
          <w:szCs w:val="19"/>
        </w:rPr>
        <w:t xml:space="preserve">・　投資一任業務（機関投資家向け一任運用）は、信託銀行本体・アセマネ会社のどちらが行っても法的に同じ「投資運用業」であり、実質的な違いはほぼない。</w:t>
      </w:r>
    </w:p>
    <w:p>
      <w:pPr>
        <w:spacing w:after="40" w:line="240"/>
        <w:ind w:left="260"/>
      </w:pPr>
      <w:r>
        <w:rPr>
          <w:b w:val="false"/>
          <w:bCs w:val="false"/>
          <w:snapToGrid w:val="false"/>
          <w:sz w:val="19"/>
          <w:szCs w:val="19"/>
        </w:rPr>
        <w:t xml:space="preserve">・　一方、公募投資信託の設定・運用は、投資信託及び投資法人に関する法律第3条により、委託者（アセマネ会社）と受託者（信託銀行）を別法人にすることが法定されており、明確に分離されている。</w:t>
      </w:r>
    </w:p>
    <w:p>
      <w:pPr>
        <w:spacing w:after="40" w:line="240"/>
        <w:ind w:left="260"/>
      </w:pPr>
      <w:r>
        <w:rPr>
          <w:b w:val="false"/>
          <w:bCs w:val="false"/>
          <w:snapToGrid w:val="false"/>
          <w:sz w:val="19"/>
          <w:szCs w:val="19"/>
        </w:rPr>
        <w:t xml:space="preserve">・　プライベートエクイティ（PE）は特に境界が曖昧：まず銀行自身の資金による「自己勘定投資」（下表10番、マーケット業務の一種）として存在し、そこで培った目利き力を外部の機関投資家向けサービスへ展開したのが「ゲートキーパー業務」（下表7番、アセットマネジメント業務の一種）である。両者は別物として併存しており、規模としては自己資金運用の方が圧倒的に大きいケースが多い。特にゆうちょ銀行は、国債中心の運用だけでなく自己資金によるPE・不動産投資でも国内最大級（2025年9月末時点でPE7.6兆円・不動産4.9兆円）であり、「自社の資金でPEをしている」という理解は正しい。</w:t>
      </w:r>
    </w:p>
    <w:p>
      <w:pPr>
        <w:pStyle w:val="Heading2"/>
        <w:keepNext w:val="false"/>
        <w:spacing w:after="80" w:before="160"/>
      </w:pPr>
      <w:r>
        <w:rPr>
          <w:b/>
          <w:bCs/>
          <w:snapToGrid w:val="false"/>
          <w:color w:val="2F5496"/>
          <w:sz w:val="22"/>
          <w:szCs w:val="22"/>
        </w:rPr>
        <w:t xml:space="preserve">「頭脳」と「金庫」で見る運用構造（商品・契約形態別）</w:t>
      </w:r>
    </w:p>
    <w:p>
      <w:pPr>
        <w:spacing w:after="100" w:line="264"/>
      </w:pPr>
      <w:r>
        <w:rPr>
          <w:snapToGrid w:val="false"/>
          <w:sz w:val="20"/>
          <w:szCs w:val="20"/>
        </w:rPr>
        <w:t xml:space="preserve">誰が投資判断をしているのかは、法律用語（委託者・受託者）で考えるより、「頭脳（何を買う・売るかを決める側）」と「金庫（資産を法的に保管し、指図どおりに執行する側）」に分けて考えると分かりやすくなります。信託銀行は、ほぼ全ての商品で「金庫」役を担いますが、「頭脳」役は商品によって全く別の主体に変わり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600"/>
        <w:gridCol w:w="6500"/>
        <w:gridCol w:w="4338"/>
      </w:tblGrid>
      <w:tr>
        <w:trPr>
          <w:tblHeader/>
        </w:trPr>
        <w:tc>
          <w:tcPr>
            <w:tcW w:type="dxa" w:w="4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商品・契約形態</w:t>
            </w:r>
          </w:p>
        </w:tc>
        <w:tc>
          <w:tcPr>
            <w:tcW w:type="dxa" w:w="65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頭脳（投資判断をする側）</w:t>
            </w:r>
          </w:p>
        </w:tc>
        <w:tc>
          <w:tcPr>
            <w:tcW w:type="dxa" w:w="43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金庫（保管・執行する側）</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公募投資信託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アセットマネジメント会社（委託者）</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信託銀行（受託者）</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金銭信託・特定金銭信託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顧客自身　※または顧客が依頼した外部の投資顧問</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年金信託（合同運用）</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信託銀行自身（自家運用）</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年金特定信託契約（特金）・単独運用指定信託（指定単）</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外部の資産運用会社　※グループ内外を問わずマルチマネージャー方式で選定</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マーケット業務</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銀行自身のトレーディング部門</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　※頭脳＝金庫が同一会社</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自己資金によるPE・不動産投資（オルタナティブ）</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グループの資産運用会社の専門チーム　※例：ゆうちょアセットマネジメント</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　※資金の出し手は銀行。運用会社は選定・助言を受任するのみで自らは出資していない</w:t>
            </w:r>
          </w:p>
        </w:tc>
      </w:tr>
    </w:tbl>
    <w:p>
      <w:pPr>
        <w:spacing w:after="60" w:before="100"/>
      </w:pPr>
    </w:p>
    <w:p>
      <w:pPr>
        <w:spacing w:after="40" w:line="240"/>
        <w:ind w:left="260"/>
      </w:pPr>
      <w:r>
        <w:rPr>
          <w:b w:val="false"/>
          <w:bCs w:val="false"/>
          <w:snapToGrid w:val="false"/>
          <w:sz w:val="19"/>
          <w:szCs w:val="19"/>
        </w:rPr>
        <w:t xml:space="preserve">・年金信託には「年金信託（合同運用）」「年金特定信託契約（特金）」「年金単独運用指定信託（指定単）」の3類型があり、特金・指定単では実際の運用指図を外部の資産運用会社（グループ内外を問わない）に委ねるのが一般的。下の比較表の「○」は信託銀行が受託者として関与していることを示すものであり、必ずしも自社のみで投資判断を行っていることを意味しない。</w:t>
      </w:r>
    </w:p>
    <w:p>
      <w:pPr>
        <w:spacing w:after="40" w:line="240"/>
        <w:ind w:left="260"/>
      </w:pPr>
      <w:r>
        <w:rPr>
          <w:b w:val="false"/>
          <w:bCs w:val="false"/>
          <w:snapToGrid w:val="false"/>
          <w:sz w:val="19"/>
          <w:szCs w:val="19"/>
        </w:rPr>
        <w:t xml:space="preserve">・大企業の年金基金は複数の運用会社を競争させて選ぶ「マルチマネージャー方式」が一般的で、グループのアセットマネジメント会社も外部の競合他社と並ぶ候補の一つに過ぎない。年金基金には加入者に対する受託者責任があるため、グループ内だからといって優先的に選ばれるわけではない。</w:t>
      </w:r>
    </w:p>
    <w:p>
      <w:pPr>
        <w:spacing w:after="40" w:line="240"/>
        <w:ind w:left="260"/>
      </w:pPr>
      <w:r>
        <w:rPr>
          <w:b w:val="false"/>
          <w:bCs w:val="false"/>
          <w:snapToGrid w:val="false"/>
          <w:sz w:val="19"/>
          <w:szCs w:val="19"/>
        </w:rPr>
        <w:t xml:space="preserve">・2000年前後からは、複数の運用会社に分散された年金資産を横断的に保管・記録・報告する「マスタートラスト業務」（下表D）が信託銀行の重要な役割になっている。</w:t>
      </w:r>
    </w:p>
    <w:p>
      <w:pPr>
        <w:spacing w:after="40" w:line="240"/>
        <w:ind w:left="260"/>
      </w:pPr>
      <w:r>
        <w:rPr>
          <w:b w:val="false"/>
          <w:bCs w:val="false"/>
          <w:snapToGrid w:val="false"/>
          <w:sz w:val="19"/>
          <w:szCs w:val="19"/>
        </w:rPr>
        <w:t xml:space="preserve">・最後の「自己資金によるPE・不動産投資」の行は、他の行とは性格が異なる点に注意：上4行は「顧客（第三者）の資産を、フィデューシャリー・デューティーを負って運用する」構造だが、この行は「銀行自身の資産を、グループ内の専門会社に運用判断を委ねて運用する」構造であり、対顧客の受託者責任は生じない。ゆうちょ銀行が好例で、頭脳（PE案件の選定・目利き）はゆうちょアセットマネジメント（旧ゆうちょ銀行プライベートエクイティ投資部）が担うが、投資資金の出し手＝金庫は一貫してゆうちょ銀行自身であり、ゆうちょアセットマネジメントは運用助言・一任契約に基づく報酬を得る立場にすぎない。</w:t>
      </w:r>
    </w:p>
    <w:p>
      <w:pPr>
        <w:spacing w:after="60" w:before="160"/>
      </w:pPr>
    </w:p>
    <w:p>
      <w:pPr>
        <w:pStyle w:val="Heading2"/>
        <w:keepNext w:val="false"/>
        <w:spacing w:after="80" w:before="160"/>
      </w:pPr>
      <w:r>
        <w:rPr>
          <w:b/>
          <w:bCs/>
          <w:snapToGrid w:val="false"/>
          <w:color w:val="2F5496"/>
          <w:sz w:val="22"/>
          <w:szCs w:val="22"/>
        </w:rPr>
        <w:t xml:space="preserve">比較表の見方</w:t>
      </w:r>
    </w:p>
    <w:p>
      <w:pPr>
        <w:spacing w:after="100" w:line="264"/>
      </w:pPr>
      <w:r>
        <w:rPr>
          <w:snapToGrid w:val="false"/>
          <w:sz w:val="20"/>
          <w:szCs w:val="20"/>
        </w:rPr>
        <w:t xml:space="preserve">以下は、主要な信託銀行グループを横軸に、業務種類を縦軸にとり、各業務の取扱い状況を1つの表に整理したものです。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60"/>
        <w:gridCol w:w="2010"/>
        <w:gridCol w:w="2010"/>
        <w:gridCol w:w="2010"/>
        <w:gridCol w:w="1610"/>
        <w:gridCol w:w="2420"/>
        <w:gridCol w:w="2118"/>
      </w:tblGrid>
      <w:tr>
        <w:trPr>
          <w:tblHeader/>
        </w:trPr>
        <w:tc>
          <w:tcPr>
            <w:tcW w:type="dxa" w:w="326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業務種類</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①みずほ</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②三菱UFJ</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③りそな</w:t>
            </w:r>
            <w:r>
              <w:rPr>
                <w:b/>
                <w:bCs/>
                <w:snapToGrid w:val="false"/>
                <w:color w:val="FFFFFF"/>
                <w:sz w:val="19"/>
                <w:szCs w:val="19"/>
              </w:rPr>
              <w:br/>
              <w:t xml:space="preserve">グループ</w:t>
            </w:r>
          </w:p>
        </w:tc>
        <w:tc>
          <w:tcPr>
            <w:tcW w:type="dxa" w:w="16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④ゆうちょ</w:t>
            </w:r>
          </w:p>
        </w:tc>
        <w:tc>
          <w:tcPr>
            <w:tcW w:type="dxa" w:w="242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⑤三井住友</w:t>
            </w:r>
            <w:r>
              <w:rPr>
                <w:b/>
                <w:bCs/>
                <w:snapToGrid w:val="false"/>
                <w:color w:val="FFFFFF"/>
                <w:sz w:val="19"/>
                <w:szCs w:val="19"/>
              </w:rPr>
              <w:br/>
              <w:t xml:space="preserve">グループ</w:t>
            </w:r>
          </w:p>
        </w:tc>
        <w:tc>
          <w:tcPr>
            <w:tcW w:type="dxa" w:w="2118"/>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⑦その他</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A. 資産運用業務（信託銀行本体が行う運用受託業務）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 金銭信託・年金信託の運用の意思決定業務（自家運用）</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一部をゆうちょアセットマネジメントへ移管</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 投資一任契約に基づく投資顧問業務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3. プライベートアセット（未上場株・インフラ・不動産private debt 等）の運用受託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 アセットマネジメント業務（グループの資産運用会社による運用業務）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4. 公募投資信託の設定・運用（委託者）業務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旧JP投信が「JP4資産バランスファンド」等を自社設定。ただし窓口で扱う投信の大半は外部運用会社の商品</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snapToGrid w:val="false"/>
                <w:sz w:val="15"/>
                <w:szCs w:val="15"/>
              </w:rPr>
              <w:br/>
              <w:t xml:space="preserve">三井住友DSアセットマネジメント</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w:t>
            </w:r>
            <w:r>
              <w:rPr>
                <w:snapToGrid w:val="false"/>
                <w:sz w:val="15"/>
                <w:szCs w:val="15"/>
              </w:rPr>
              <w:br/>
              <w:t xml:space="preserve">大和アセットマネジメント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5. 確定拠出年金（DC）向け運用商品の提供</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 等</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6. 機関投資家向け（年金基金・GPIF 等）運用受託業務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r>
              <w:rPr>
                <w:i/>
                <w:iCs/>
                <w:snapToGrid w:val="false"/>
                <w:color w:val="666666"/>
                <w:sz w:val="12"/>
                <w:szCs w:val="12"/>
              </w:rPr>
              <w:br/>
              <w:t xml:space="preserve">外部運用会社と競合するマルチマネージャー方式が前提</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i/>
                <w:iCs/>
                <w:snapToGrid w:val="false"/>
                <w:color w:val="666666"/>
                <w:sz w:val="12"/>
                <w:szCs w:val="12"/>
              </w:rPr>
              <w:br/>
              <w:t xml:space="preserve">同上</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7. PE・不動産等オルタナティブのゲートキーパー業務（外部機関投資家向け）</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アセットマネジメントOne 等</w:t>
            </w:r>
            <w:r>
              <w:rPr>
                <w:i/>
                <w:iCs/>
                <w:snapToGrid w:val="false"/>
                <w:color w:val="666666"/>
                <w:sz w:val="12"/>
                <w:szCs w:val="12"/>
              </w:rPr>
              <w:br/>
              <w:t xml:space="preserve">SMTBのような専業ゲートキーパー子会社は現時点で確認できず</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r>
              <w:rPr>
                <w:snapToGrid w:val="false"/>
                <w:sz w:val="15"/>
                <w:szCs w:val="15"/>
              </w:rPr>
              <w:br/>
              <w:t xml:space="preserve">三菱UFJアセットマネジメント</w:t>
            </w:r>
            <w:r>
              <w:rPr>
                <w:i/>
                <w:iCs/>
                <w:snapToGrid w:val="false"/>
                <w:color w:val="666666"/>
                <w:sz w:val="12"/>
                <w:szCs w:val="12"/>
              </w:rPr>
              <w:br/>
              <w:t xml:space="preserve">持株会社内の中立的専門部隊（IPAT）が商品ゲートキープを担う体制</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旧JPインベストメントは機関投資家向けビジネスも展開するが、原資は主にゆうちょ銀行・かんぽ生命自身の出資。PE投資の主軸は下表10番の自己資金運用</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三井住友トラスト・インベストメント</w:t>
            </w:r>
            <w:r>
              <w:rPr>
                <w:i/>
                <w:iCs/>
                <w:snapToGrid w:val="false"/>
                <w:color w:val="666666"/>
                <w:sz w:val="12"/>
                <w:szCs w:val="12"/>
              </w:rPr>
              <w:br/>
              <w:t xml:space="preserve">2025年10月にゲートキーパー機能を集約した専業子会社</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 マーケット業務（市場部門・トレーディング・ALM）</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8. 資金繰り・ALM業務（円貨・外貨の調達・運用管理）</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9. 債券・為替・デリバティブのセールス＆トレーディング業務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三菱UFJモルガン・スタンレー証券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自己勘定運用が中心で対顧客セールスは限定的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SMBC日興証券</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10. 有価証券・プライベートアセットへの自己勘定投資業務（自己資金によるPE・不動産投資を含む）</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国債等に加え、2025年9月末時点でPEに7.6兆円・不動産に4.9兆円を自己資金で投資（国内最大級）。自社のプライベートエクイティ投資部が主導し、2026年4月にこの機能をゆうちょアセットマネジメントへ移管したが、原資は引き続きゆうちょ銀行自身の資金</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r>
              <w:rPr>
                <w:i/>
                <w:iCs/>
                <w:snapToGrid w:val="false"/>
                <w:color w:val="666666"/>
                <w:sz w:val="12"/>
                <w:szCs w:val="12"/>
              </w:rPr>
              <w:br/>
              <w:t xml:space="preserve">三井住友信託銀行は1991年より自己勘定でPE投資を開始</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11. 法人向け為替・デリバティブ商品の提供（マーケティング）業務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D. 資産管理の統合管理業務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12. マスタートラスト業務（複数運用機関の資産管理統合）</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みずほ信託銀行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三菱UFJ信託銀行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りそな銀行</w:t>
            </w:r>
            <w:r>
              <w:rPr>
                <w:i/>
                <w:iCs/>
                <w:snapToGrid w:val="false"/>
                <w:color w:val="666666"/>
                <w:sz w:val="12"/>
                <w:szCs w:val="12"/>
              </w:rPr>
              <w:br/>
              <w:t xml:space="preserve">機能は日本カストディ銀行へ集約</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三井住友信託銀行</w:t>
            </w:r>
            <w:r>
              <w:rPr>
                <w:i/>
                <w:iCs/>
                <w:snapToGrid w:val="false"/>
                <w:color w:val="666666"/>
                <w:sz w:val="12"/>
                <w:szCs w:val="12"/>
              </w:rPr>
              <w:br/>
              <w:t xml:space="preserve">機能は日本カストディ銀行へ集約</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日本カストディ銀行（専業）</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b w:val="false"/>
          <w:bCs w:val="false"/>
          <w:snapToGrid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napToGrid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napToGrid w:val="false"/>
          <w:sz w:val="19"/>
          <w:szCs w:val="19"/>
        </w:rPr>
        <w:t xml:space="preserve">・③りそなグループ：資産運用業務はりそな銀行の資産運用部門、アセットマネジメント業務は2015年設立の「りそなアセットマネジメント」が担う。</w:t>
      </w:r>
    </w:p>
    <w:p>
      <w:pPr>
        <w:spacing w:after="40" w:line="240"/>
        <w:ind w:left="260"/>
      </w:pPr>
      <w:r>
        <w:rPr>
          <w:b w:val="false"/>
          <w:bCs w:val="false"/>
          <w:snapToGrid w:val="false"/>
          <w:sz w:val="19"/>
          <w:szCs w:val="19"/>
        </w:rPr>
        <w:t xml:space="preserve">・④ゆうちょ銀行：自己資金（貯金）の運用（マーケット業務＝自己勘定投資・ALM）が収益の中心。国債等の伝統的資産に加え、自社のプライベートエクイティ投資部が2016年頃から低金利下での収益多様化としてPE・不動産投資を拡大しており、2025年9月末時点でPEに7.6兆円・不動産に4.9兆円を自己資金で投資（国内機関投資家で最大級、GPIFに匹敵する規模）。2026年4月、傘下のJP投信（個人向け投信の設定・運用）とJPインベストメント（2018年設立、ゆうちょ銀行・かんぽ生命自身の出資によるバイアウト・ベンチャー直接投資会社）を統合し「ゆうちょアセットマネジメント」を設立、PE・不動産投資機能もここへ移管した。個人向け投信の一部自社設定（例：JP4資産バランスファンド）や機関投資家向けビジネスも行うが、原資の大半は引き続きゆうちょ銀行自身の資金であり、窓口で扱う投信の大半は外部運用会社（アセットマネジメントOne等）の商品である点は変わらない。</w:t>
      </w:r>
    </w:p>
    <w:p>
      <w:pPr>
        <w:spacing w:after="40" w:line="240"/>
        <w:ind w:left="260"/>
      </w:pPr>
      <w:r>
        <w:rPr>
          <w:b w:val="false"/>
          <w:bCs w:val="false"/>
          <w:snapToGrid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b w:val="false"/>
          <w:bCs w:val="false"/>
          <w:snapToGrid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日本カストディ銀行（三菱UFJ・みずほ・三井住友トラスト・りそな等が共同出資するマスタートラスト・資産管理専業の信託銀行）等。業務ごとに該当する代表例を例示しており、その他の全ての資産運用会社・信託兼営金融機関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snapToGrid w:val="false"/>
          <w:sz w:val="20"/>
          <w:szCs w:val="20"/>
        </w:rPr>
        <w:t xml:space="preserve">上表で用いた12の業務種類について、それぞれの業務内容を簡潔にまとめた一覧です。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資産運用業務（信託銀行本体が行う運用受託業務）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顧客（年金基金・機関投資家等）と投資一任契約を結び、資産配分や個別銘柄選定などの運用判断を代行するコンサルティング型の資産運用業務。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未上場株式やインフラ、プライベートデット、不動産等の非上場資産（オルタナティブ資産）を信託財産として受託し、専門的な運用を行う業務。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アセットマネジメント業務（グループの資産運用会社による運用業務）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公募投資信託の設定・運用（委託者）業務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グループの資産運用会社が投資信託（ファンド）を組成（設定）し、運用方針の決定や資産配分の実行など、実際の運用指図を行う業務。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確定拠出年金（DC）向け運用商品の提供</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企業型・個人型（iDeCo）確定拠出年金の加入者向けに、投資信託等の運用商品ラインナップを提供する業務。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機関投資家向け（年金基金・GPIF 等）運用受託業務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年金基金や政府系ファンド（GPIF 等）、保険会社等の機関投資家から資金の運用を直接受託し、専門的な運用サービスを提供する業務。グループのアセットマネジメント会社も、他社の運用会社と並ぶ選定候補の一つとして競争にさらされる（マルチマネージャー方式）。</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PE・不動産等オルタナティブのゲートキーパー業務（外部機関投資家向け）</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等の外部機関投資家に代わり、PE・インフラ・不動産ファンド等への投資機会を調査・選定・モニタリングする「ゲートキーパー業務」。多くのグループで、銀行自身の資金によるPE投資（自己勘定投資、1990年代からマーケット業務の一環として開始）で培った目利き力を、2000年代以降に外部投資家向けサービスへ展開した経緯があり、現在はSMBCトラストグループの三井住友トラスト・インベストメントのように専業子会社が担うケースもある。</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マーケット業務（市場部門・トレーディング・ALM）</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国債・社債、外国為替、金利・為替デリバティブ等の市場性商品を、自己勘定および顧客向けに売買する業務。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有価証券・プライベートアセットへの自己勘定投資業務（自己資金によるPE・不動産投資を含む）</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の資金を用いて国債・社債・株式等の有価証券に投資し、運用収益を獲得する業務。近年は低金利下での収益多様化のため、PE・不動産・インフラ等のオルタナティブ資産にも自己資金を配分する動きが広がっており、特にゆうちょ銀行は国内最大級の規模でこれを行ってい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事業法人の為替リスク・金利リスクのヘッジニーズに対応し、為替予約やデリバティブ商品を組成・販売する業務。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資産管理の統合管理業務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マスタートラスト業務（複数運用機関の資産管理統合）</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基金等が複数の資産運用会社に運用を分散委託している場合に、それら運用資産の保管・決済・時価評価・会計報告・パフォーマンス評価などを一元的に集約管理する業務。2000年前後に大手信託銀行等が共同出資して専業の資産管理銀行（現・日本カストディ銀行）を設立し、現在はその機能に集約されている。</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2026-08-23T00:21:04.785Z</dcterms:created>
  <dcterms:modified xsi:type="dcterms:W3CDTF">2026-08-23T00:21:04.785Z</dcterms:modified>
</cp:coreProperties>
</file>

<file path=docProps/custom.xml><?xml version="1.0" encoding="utf-8"?>
<Properties xmlns="http://schemas.openxmlformats.org/officeDocument/2006/custom-properties" xmlns:vt="http://schemas.openxmlformats.org/officeDocument/2006/docPropsVTypes"/>
</file>