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120"/>
      </w:pPr>
      <w:r>
        <w:rPr>
          <w:b/>
          <w:bCs/>
          <w:color w:val="1F3864"/>
          <w:sz w:val="30"/>
          <w:szCs w:val="30"/>
        </w:rPr>
        <w:t xml:space="preserve">信託銀行の業務比較表（主要グループ別）</w:t>
      </w:r>
    </w:p>
    <w:p>
      <w:pPr>
        <w:spacing w:after="100" w:line="264"/>
      </w:pPr>
      <w:r>
        <w:rPr>
          <w:i w:val="false"/>
          <w:iCs w:val="false"/>
          <w:sz w:val="20"/>
          <w:szCs w:val="20"/>
        </w:rPr>
        <w:t xml:space="preserve">信託銀行の業務は大きく「銀行業務」「信託業務（信託法・信託業法上の基本類型）」「併営業務（個人向け・法人向け）」の3つに整理できます。列数が多いと文字が読みにくくなるため、グループを①〜③（前半）と④〜⑦（後半）の2つの表に分けて掲載しています。</w:t>
      </w:r>
    </w:p>
    <w:p>
      <w:pPr>
        <w:spacing w:after="160"/>
      </w:pPr>
      <w:r>
        <w:rPr>
          <w:b/>
          <w:bCs/>
          <w:sz w:val="19"/>
          <w:szCs w:val="19"/>
        </w:rPr>
        <w:t xml:space="preserve">凡例：</w:t>
      </w:r>
      <w:r>
        <w:rPr>
          <w:color w:val="1F6F43"/>
          <w:sz w:val="19"/>
          <w:szCs w:val="19"/>
        </w:rPr>
        <w:t xml:space="preserve">○＝実施している（会社名を記載）　</w:t>
      </w:r>
      <w:r>
        <w:rPr>
          <w:color w:val="B36B00"/>
          <w:sz w:val="19"/>
          <w:szCs w:val="19"/>
        </w:rPr>
        <w:t xml:space="preserve">△＝一部・限定的に実施　</w:t>
      </w:r>
      <w:r>
        <w:rPr>
          <w:color w:val="999999"/>
          <w:sz w:val="19"/>
          <w:szCs w:val="19"/>
        </w:rPr>
        <w:t xml:space="preserve">×＝実施していない</w:t>
      </w:r>
    </w:p>
    <w:p>
      <w:pPr>
        <w:pStyle w:val="Heading2"/>
        <w:spacing w:after="80" w:before="160"/>
      </w:pPr>
      <w:r>
        <w:rPr>
          <w:b/>
          <w:bCs/>
          <w:color w:val="2F5496"/>
          <w:sz w:val="22"/>
          <w:szCs w:val="22"/>
        </w:rPr>
        <w:t xml:space="preserve">（1/2）①みずほ・②三菱UFJ・③りそな グループ</w:t>
      </w:r>
    </w:p>
    <w:tbl>
      <w:tblPr>
        <w:tblW w:type="dxa" w:w="15438"/>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4450"/>
        <w:gridCol w:w="3663"/>
        <w:gridCol w:w="3663"/>
        <w:gridCol w:w="3662"/>
      </w:tblGrid>
      <w:tr>
        <w:trPr>
          <w:tblHeader/>
        </w:trPr>
        <w:tc>
          <w:tcPr>
            <w:tcW w:type="dxa" w:w="4450"/>
            <w:shd w:fill="2F5496" w:val="clear"/>
            <w:tcMar>
              <w:top w:type="dxa" w:w="110"/>
              <w:left w:type="dxa" w:w="110"/>
              <w:bottom w:type="dxa" w:w="110"/>
              <w:right w:type="dxa" w:w="110"/>
            </w:tcMar>
            <w:vAlign w:val="center"/>
          </w:tcPr>
          <w:p>
            <w:pPr>
              <w:spacing w:after="0" w:line="260"/>
              <w:jc w:val="center"/>
            </w:pPr>
            <w:r>
              <w:rPr>
                <w:b/>
                <w:bCs/>
                <w:color w:val="FFFFFF"/>
                <w:sz w:val="24"/>
                <w:szCs w:val="24"/>
              </w:rPr>
              <w:t xml:space="preserve">業務種類</w:t>
            </w:r>
          </w:p>
        </w:tc>
        <w:tc>
          <w:tcPr>
            <w:tcW w:type="dxa" w:w="3663"/>
            <w:shd w:fill="2F5496" w:val="clear"/>
            <w:tcMar>
              <w:top w:type="dxa" w:w="110"/>
              <w:left w:type="dxa" w:w="110"/>
              <w:bottom w:type="dxa" w:w="110"/>
              <w:right w:type="dxa" w:w="110"/>
            </w:tcMar>
            <w:vAlign w:val="center"/>
          </w:tcPr>
          <w:p>
            <w:pPr>
              <w:spacing w:after="0" w:line="260"/>
              <w:jc w:val="center"/>
            </w:pPr>
            <w:r>
              <w:rPr>
                <w:b/>
                <w:bCs/>
                <w:color w:val="FFFFFF"/>
                <w:sz w:val="24"/>
                <w:szCs w:val="24"/>
              </w:rPr>
              <w:t xml:space="preserve">①みずほ</w:t>
            </w:r>
          </w:p>
          <w:p>
            <w:pPr>
              <w:spacing w:after="0" w:line="260"/>
              <w:jc w:val="center"/>
            </w:pPr>
            <w:r>
              <w:rPr>
                <w:b/>
                <w:bCs/>
                <w:color w:val="FFFFFF"/>
                <w:sz w:val="24"/>
                <w:szCs w:val="24"/>
              </w:rPr>
              <w:t xml:space="preserve">グループ</w:t>
            </w:r>
          </w:p>
        </w:tc>
        <w:tc>
          <w:tcPr>
            <w:tcW w:type="dxa" w:w="3663"/>
            <w:shd w:fill="2F5496" w:val="clear"/>
            <w:tcMar>
              <w:top w:type="dxa" w:w="110"/>
              <w:left w:type="dxa" w:w="110"/>
              <w:bottom w:type="dxa" w:w="110"/>
              <w:right w:type="dxa" w:w="110"/>
            </w:tcMar>
            <w:vAlign w:val="center"/>
          </w:tcPr>
          <w:p>
            <w:pPr>
              <w:spacing w:after="0" w:line="260"/>
              <w:jc w:val="center"/>
            </w:pPr>
            <w:r>
              <w:rPr>
                <w:b/>
                <w:bCs/>
                <w:color w:val="FFFFFF"/>
                <w:sz w:val="24"/>
                <w:szCs w:val="24"/>
              </w:rPr>
              <w:t xml:space="preserve">②三菱UFJ</w:t>
            </w:r>
          </w:p>
          <w:p>
            <w:pPr>
              <w:spacing w:after="0" w:line="260"/>
              <w:jc w:val="center"/>
            </w:pPr>
            <w:r>
              <w:rPr>
                <w:b/>
                <w:bCs/>
                <w:color w:val="FFFFFF"/>
                <w:sz w:val="24"/>
                <w:szCs w:val="24"/>
              </w:rPr>
              <w:t xml:space="preserve">グループ</w:t>
            </w:r>
          </w:p>
        </w:tc>
        <w:tc>
          <w:tcPr>
            <w:tcW w:type="dxa" w:w="3662"/>
            <w:shd w:fill="2F5496" w:val="clear"/>
            <w:tcMar>
              <w:top w:type="dxa" w:w="110"/>
              <w:left w:type="dxa" w:w="110"/>
              <w:bottom w:type="dxa" w:w="110"/>
              <w:right w:type="dxa" w:w="110"/>
            </w:tcMar>
            <w:vAlign w:val="center"/>
          </w:tcPr>
          <w:p>
            <w:pPr>
              <w:spacing w:after="0" w:line="260"/>
              <w:jc w:val="center"/>
            </w:pPr>
            <w:r>
              <w:rPr>
                <w:b/>
                <w:bCs/>
                <w:color w:val="FFFFFF"/>
                <w:sz w:val="24"/>
                <w:szCs w:val="24"/>
              </w:rPr>
              <w:t xml:space="preserve">③りそな</w:t>
            </w:r>
          </w:p>
          <w:p>
            <w:pPr>
              <w:spacing w:after="0" w:line="260"/>
              <w:jc w:val="center"/>
            </w:pPr>
            <w:r>
              <w:rPr>
                <w:b/>
                <w:bCs/>
                <w:color w:val="FFFFFF"/>
                <w:sz w:val="24"/>
                <w:szCs w:val="24"/>
              </w:rPr>
              <w:t xml:space="preserve">グループ</w:t>
            </w:r>
          </w:p>
        </w:tc>
      </w:tr>
      <w:tr>
        <w:trPr>
          <w:cantSplit/>
          <w:tblHeader w:val="false"/>
        </w:trPr>
        <w:tc>
          <w:tcPr>
            <w:tcW w:type="dxa" w:w="15438"/>
            <w:gridSpan w:val="4"/>
            <w:shd w:fill="D9E2F3" w:val="clear"/>
            <w:tcMar>
              <w:top w:type="dxa" w:w="100"/>
              <w:left w:type="dxa" w:w="130"/>
              <w:bottom w:type="dxa" w:w="100"/>
              <w:right w:type="dxa" w:w="110"/>
            </w:tcMar>
          </w:tcPr>
          <w:p>
            <w:pPr>
              <w:spacing w:after="0" w:line="260"/>
              <w:jc w:val="left"/>
            </w:pPr>
            <w:r>
              <w:rPr>
                <w:b/>
                <w:bCs/>
                <w:color w:val="1F3864"/>
                <w:sz w:val="22"/>
                <w:szCs w:val="22"/>
              </w:rPr>
              <w:t xml:space="preserve">A. 銀行業務（信託銀行が併営する普通銀行業務）</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 預金業務</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p>
            <w:pPr>
              <w:spacing w:after="0" w:line="260"/>
            </w:pPr>
            <w:r>
              <w:rPr>
                <w:sz w:val="20"/>
                <w:szCs w:val="20"/>
              </w:rPr>
              <w:t xml:space="preserve">埼玉りそな銀行</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2. 貸出業務（融資）</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p>
            <w:pPr>
              <w:spacing w:after="0" w:line="260"/>
            </w:pPr>
            <w:r>
              <w:rPr>
                <w:sz w:val="20"/>
                <w:szCs w:val="20"/>
              </w:rPr>
              <w:t xml:space="preserve">埼玉りそな銀行</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3. 為替業務（振込・振替）</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p>
            <w:pPr>
              <w:spacing w:after="0" w:line="260"/>
            </w:pPr>
            <w:r>
              <w:rPr>
                <w:sz w:val="20"/>
                <w:szCs w:val="20"/>
              </w:rPr>
              <w:t xml:space="preserve">埼玉りそな銀行</w:t>
            </w:r>
          </w:p>
        </w:tc>
      </w:tr>
      <w:tr>
        <w:trPr>
          <w:cantSplit/>
          <w:tblHeader w:val="false"/>
        </w:trPr>
        <w:tc>
          <w:tcPr>
            <w:tcW w:type="dxa" w:w="15438"/>
            <w:gridSpan w:val="4"/>
            <w:shd w:fill="D9E2F3" w:val="clear"/>
            <w:tcMar>
              <w:top w:type="dxa" w:w="100"/>
              <w:left w:type="dxa" w:w="130"/>
              <w:bottom w:type="dxa" w:w="100"/>
              <w:right w:type="dxa" w:w="110"/>
            </w:tcMar>
          </w:tcPr>
          <w:p>
            <w:pPr>
              <w:spacing w:after="0" w:line="260"/>
              <w:jc w:val="left"/>
            </w:pPr>
            <w:r>
              <w:rPr>
                <w:b/>
                <w:bCs/>
                <w:color w:val="1F3864"/>
                <w:sz w:val="22"/>
                <w:szCs w:val="22"/>
              </w:rPr>
              <w:t xml:space="preserve">B. 信託業務（信託法・信託業法上の基本類型）</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4. 金銭の信託（合同運用指定金銭信託 等）</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5. 金銭信託以外の金銭の信託（特定金銭信託 等）</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6. 有価証券の信託</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7. 金銭債権の信託</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8. 動産の信託</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B36B00"/>
                <w:sz w:val="26"/>
                <w:szCs w:val="26"/>
              </w:rPr>
              <w:t xml:space="preserve">△</w:t>
            </w:r>
          </w:p>
          <w:p>
            <w:pPr>
              <w:spacing w:after="0" w:line="240"/>
            </w:pPr>
            <w:r>
              <w:rPr>
                <w:i/>
                <w:iCs/>
                <w:color w:val="666666"/>
                <w:sz w:val="16"/>
                <w:szCs w:val="16"/>
              </w:rPr>
              <w:t xml:space="preserve">取扱いは限定的</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9. 不動産の信託</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10. 土地・土地の賃借権等の信託</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r>
        <w:trPr>
          <w:cantSplit/>
          <w:tblHeader w:val="false"/>
        </w:trPr>
        <w:tc>
          <w:tcPr>
            <w:tcW w:type="dxa" w:w="15438"/>
            <w:gridSpan w:val="4"/>
            <w:shd w:fill="D9E2F3" w:val="clear"/>
            <w:tcMar>
              <w:top w:type="dxa" w:w="100"/>
              <w:left w:type="dxa" w:w="130"/>
              <w:bottom w:type="dxa" w:w="100"/>
              <w:right w:type="dxa" w:w="110"/>
            </w:tcMar>
          </w:tcPr>
          <w:p>
            <w:pPr>
              <w:spacing w:after="0" w:line="260"/>
              <w:jc w:val="left"/>
            </w:pPr>
            <w:r>
              <w:rPr>
                <w:b/>
                <w:bCs/>
                <w:color w:val="1F3864"/>
                <w:sz w:val="22"/>
                <w:szCs w:val="22"/>
              </w:rPr>
              <w:t xml:space="preserve">C. 個人向け併営業務（財産管理・資産承継）</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11. 遺言信託（遺言書の保管・執行）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p>
            <w:pPr>
              <w:spacing w:after="0" w:line="260"/>
            </w:pPr>
            <w:r>
              <w:rPr>
                <w:sz w:val="20"/>
                <w:szCs w:val="20"/>
              </w:rPr>
              <w:t xml:space="preserve">埼玉りそな銀行</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12. 遺産整理業務</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13. 暦年贈与信託</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14. 教育資金贈与信託</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15. 後見制度支援信託</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16. 生命保険信託</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17. 家族信託（民事信託）関連コンサルティング</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r>
        <w:trPr>
          <w:cantSplit/>
          <w:tblHeader w:val="false"/>
        </w:trPr>
        <w:tc>
          <w:tcPr>
            <w:tcW w:type="dxa" w:w="15438"/>
            <w:gridSpan w:val="4"/>
            <w:shd w:fill="D9E2F3" w:val="clear"/>
            <w:tcMar>
              <w:top w:type="dxa" w:w="100"/>
              <w:left w:type="dxa" w:w="130"/>
              <w:bottom w:type="dxa" w:w="100"/>
              <w:right w:type="dxa" w:w="110"/>
            </w:tcMar>
          </w:tcPr>
          <w:p>
            <w:pPr>
              <w:spacing w:after="0" w:line="260"/>
              <w:jc w:val="left"/>
            </w:pPr>
            <w:r>
              <w:rPr>
                <w:b/>
                <w:bCs/>
                <w:color w:val="1F3864"/>
                <w:sz w:val="22"/>
                <w:szCs w:val="22"/>
              </w:rPr>
              <w:t xml:space="preserve">D. 法人向け併営業務</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18. 証券代行業務（株主名簿管理人）</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999999"/>
                <w:sz w:val="26"/>
                <w:szCs w:val="26"/>
              </w:rPr>
              <w:t xml:space="preserve">×</w:t>
            </w:r>
          </w:p>
          <w:p>
            <w:pPr>
              <w:spacing w:after="0" w:line="240"/>
            </w:pPr>
            <w:r>
              <w:rPr>
                <w:i/>
                <w:iCs/>
                <w:color w:val="666666"/>
                <w:sz w:val="16"/>
                <w:szCs w:val="16"/>
              </w:rPr>
              <w:t xml:space="preserve">※1 要確認</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19. 企業年金信託（DB・DC運営管理 等）</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20. 資産流動化・証券化業務</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21. 資産管理（カストディ）業務</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22. 証券投資信託の受託業務（信託財産の保管・管理）</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23. 不動産業務（仲介・鑑定評価・有効活用コンサル）</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24. 不動産投資顧問業務（私募REIT・J-REIT運用 等）</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B36B00"/>
                <w:sz w:val="26"/>
                <w:szCs w:val="26"/>
              </w:rPr>
              <w:t xml:space="preserve">△</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25. プライベートバンキング業務</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bl>
    <w:p>
      <w:r>
        <w:br w:type="page"/>
      </w:r>
    </w:p>
    <w:p>
      <w:pPr>
        <w:pStyle w:val="Heading2"/>
        <w:spacing w:after="80" w:before="160"/>
      </w:pPr>
      <w:r>
        <w:rPr>
          <w:b/>
          <w:bCs/>
          <w:color w:val="2F5496"/>
          <w:sz w:val="22"/>
          <w:szCs w:val="22"/>
        </w:rPr>
        <w:t xml:space="preserve">（2/2）④ゆうちょ・⑤三井住友グループ・⑦その他</w:t>
      </w:r>
    </w:p>
    <w:tbl>
      <w:tblPr>
        <w:tblW w:type="dxa" w:w="15438"/>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4450"/>
        <w:gridCol w:w="3050"/>
        <w:gridCol w:w="4300"/>
        <w:gridCol w:w="3638"/>
      </w:tblGrid>
      <w:tr>
        <w:trPr>
          <w:tblHeader/>
        </w:trPr>
        <w:tc>
          <w:tcPr>
            <w:tcW w:type="dxa" w:w="4450"/>
            <w:shd w:fill="2F5496" w:val="clear"/>
            <w:tcMar>
              <w:top w:type="dxa" w:w="110"/>
              <w:left w:type="dxa" w:w="110"/>
              <w:bottom w:type="dxa" w:w="110"/>
              <w:right w:type="dxa" w:w="110"/>
            </w:tcMar>
            <w:vAlign w:val="center"/>
          </w:tcPr>
          <w:p>
            <w:pPr>
              <w:spacing w:after="0" w:line="260"/>
              <w:jc w:val="center"/>
            </w:pPr>
            <w:r>
              <w:rPr>
                <w:b/>
                <w:bCs/>
                <w:color w:val="FFFFFF"/>
                <w:sz w:val="24"/>
                <w:szCs w:val="24"/>
              </w:rPr>
              <w:t xml:space="preserve">業務種類</w:t>
            </w:r>
          </w:p>
        </w:tc>
        <w:tc>
          <w:tcPr>
            <w:tcW w:type="dxa" w:w="3050"/>
            <w:shd w:fill="2F5496" w:val="clear"/>
            <w:tcMar>
              <w:top w:type="dxa" w:w="110"/>
              <w:left w:type="dxa" w:w="110"/>
              <w:bottom w:type="dxa" w:w="110"/>
              <w:right w:type="dxa" w:w="110"/>
            </w:tcMar>
            <w:vAlign w:val="center"/>
          </w:tcPr>
          <w:p>
            <w:pPr>
              <w:spacing w:after="0" w:line="260"/>
              <w:jc w:val="center"/>
            </w:pPr>
            <w:r>
              <w:rPr>
                <w:b/>
                <w:bCs/>
                <w:color w:val="FFFFFF"/>
                <w:sz w:val="24"/>
                <w:szCs w:val="24"/>
              </w:rPr>
              <w:t xml:space="preserve">④ゆうちょ</w:t>
            </w:r>
          </w:p>
        </w:tc>
        <w:tc>
          <w:tcPr>
            <w:tcW w:type="dxa" w:w="4300"/>
            <w:shd w:fill="2F5496" w:val="clear"/>
            <w:tcMar>
              <w:top w:type="dxa" w:w="110"/>
              <w:left w:type="dxa" w:w="110"/>
              <w:bottom w:type="dxa" w:w="110"/>
              <w:right w:type="dxa" w:w="110"/>
            </w:tcMar>
            <w:vAlign w:val="center"/>
          </w:tcPr>
          <w:p>
            <w:pPr>
              <w:spacing w:after="0" w:line="260"/>
              <w:jc w:val="center"/>
            </w:pPr>
            <w:r>
              <w:rPr>
                <w:b/>
                <w:bCs/>
                <w:color w:val="FFFFFF"/>
                <w:sz w:val="24"/>
                <w:szCs w:val="24"/>
              </w:rPr>
              <w:t xml:space="preserve">⑤三井住友</w:t>
            </w:r>
          </w:p>
          <w:p>
            <w:pPr>
              <w:spacing w:after="0" w:line="260"/>
              <w:jc w:val="center"/>
            </w:pPr>
            <w:r>
              <w:rPr>
                <w:b/>
                <w:bCs/>
                <w:color w:val="FFFFFF"/>
                <w:sz w:val="24"/>
                <w:szCs w:val="24"/>
              </w:rPr>
              <w:t xml:space="preserve">グループ</w:t>
            </w:r>
          </w:p>
        </w:tc>
        <w:tc>
          <w:tcPr>
            <w:tcW w:type="dxa" w:w="3638"/>
            <w:shd w:fill="2F5496" w:val="clear"/>
            <w:tcMar>
              <w:top w:type="dxa" w:w="110"/>
              <w:left w:type="dxa" w:w="110"/>
              <w:bottom w:type="dxa" w:w="110"/>
              <w:right w:type="dxa" w:w="110"/>
            </w:tcMar>
            <w:vAlign w:val="center"/>
          </w:tcPr>
          <w:p>
            <w:pPr>
              <w:spacing w:after="0" w:line="260"/>
              <w:jc w:val="center"/>
            </w:pPr>
            <w:r>
              <w:rPr>
                <w:b/>
                <w:bCs/>
                <w:color w:val="FFFFFF"/>
                <w:sz w:val="24"/>
                <w:szCs w:val="24"/>
              </w:rPr>
              <w:t xml:space="preserve">⑦その他</w:t>
            </w:r>
          </w:p>
        </w:tc>
      </w:tr>
      <w:tr>
        <w:trPr>
          <w:cantSplit/>
          <w:tblHeader w:val="false"/>
        </w:trPr>
        <w:tc>
          <w:tcPr>
            <w:tcW w:type="dxa" w:w="15438"/>
            <w:gridSpan w:val="4"/>
            <w:shd w:fill="D9E2F3" w:val="clear"/>
            <w:tcMar>
              <w:top w:type="dxa" w:w="100"/>
              <w:left w:type="dxa" w:w="130"/>
              <w:bottom w:type="dxa" w:w="100"/>
              <w:right w:type="dxa" w:w="110"/>
            </w:tcMar>
          </w:tcPr>
          <w:p>
            <w:pPr>
              <w:spacing w:after="0" w:line="260"/>
              <w:jc w:val="left"/>
            </w:pPr>
            <w:r>
              <w:rPr>
                <w:b/>
                <w:bCs/>
                <w:color w:val="1F3864"/>
                <w:sz w:val="22"/>
                <w:szCs w:val="22"/>
              </w:rPr>
              <w:t xml:space="preserve">A. 銀行業務（信託銀行が併営する普通銀行業務）</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 預金業務</w:t>
            </w:r>
          </w:p>
        </w:tc>
        <w:tc>
          <w:tcPr>
            <w:tcW w:type="dxa" w:w="305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ゆうちょ銀行</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p>
            <w:pPr>
              <w:spacing w:after="0" w:line="260"/>
            </w:pPr>
            <w:r>
              <w:rPr>
                <w:sz w:val="20"/>
                <w:szCs w:val="20"/>
              </w:rPr>
              <w:t xml:space="preserve">SMBC信託銀行</w:t>
            </w:r>
          </w:p>
        </w:tc>
        <w:tc>
          <w:tcPr>
            <w:tcW w:type="dxa" w:w="3638"/>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野村信託銀行 等</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2. 貸出業務（融資）</w:t>
            </w:r>
          </w:p>
        </w:tc>
        <w:tc>
          <w:tcPr>
            <w:tcW w:type="dxa" w:w="3050"/>
            <w:tcMar>
              <w:top w:type="dxa" w:w="90"/>
              <w:left w:type="dxa" w:w="90"/>
              <w:bottom w:type="dxa" w:w="90"/>
              <w:right w:type="dxa" w:w="90"/>
            </w:tcMar>
            <w:vAlign w:val="center"/>
          </w:tcPr>
          <w:p>
            <w:pPr>
              <w:spacing w:after="0" w:line="300"/>
            </w:pPr>
            <w:r>
              <w:rPr>
                <w:b/>
                <w:bCs/>
                <w:color w:val="B36B00"/>
                <w:sz w:val="26"/>
                <w:szCs w:val="26"/>
              </w:rPr>
              <w:t xml:space="preserve">△</w:t>
            </w:r>
          </w:p>
          <w:p>
            <w:pPr>
              <w:spacing w:after="0" w:line="260"/>
            </w:pPr>
            <w:r>
              <w:rPr>
                <w:sz w:val="20"/>
                <w:szCs w:val="20"/>
              </w:rPr>
              <w:t xml:space="preserve">ゆうちょ銀行</w:t>
            </w:r>
          </w:p>
          <w:p>
            <w:pPr>
              <w:spacing w:after="0" w:line="240"/>
            </w:pPr>
            <w:r>
              <w:rPr>
                <w:i/>
                <w:iCs/>
                <w:color w:val="666666"/>
                <w:sz w:val="16"/>
                <w:szCs w:val="16"/>
              </w:rPr>
              <w:t xml:space="preserve">直接融資は法制上限定的</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p>
            <w:pPr>
              <w:spacing w:after="0" w:line="260"/>
            </w:pPr>
            <w:r>
              <w:rPr>
                <w:sz w:val="20"/>
                <w:szCs w:val="20"/>
              </w:rPr>
              <w:t xml:space="preserve">SMBC信託銀行</w:t>
            </w:r>
          </w:p>
        </w:tc>
        <w:tc>
          <w:tcPr>
            <w:tcW w:type="dxa" w:w="3638"/>
            <w:tcMar>
              <w:top w:type="dxa" w:w="90"/>
              <w:left w:type="dxa" w:w="90"/>
              <w:bottom w:type="dxa" w:w="90"/>
              <w:right w:type="dxa" w:w="90"/>
            </w:tcMar>
            <w:vAlign w:val="center"/>
          </w:tcPr>
          <w:p>
            <w:pPr>
              <w:spacing w:after="0" w:line="300"/>
            </w:pPr>
            <w:r>
              <w:rPr>
                <w:b/>
                <w:bCs/>
                <w:color w:val="B36B00"/>
                <w:sz w:val="26"/>
                <w:szCs w:val="26"/>
              </w:rPr>
              <w:t xml:space="preserve">△</w:t>
            </w:r>
          </w:p>
          <w:p>
            <w:pPr>
              <w:spacing w:after="0" w:line="260"/>
            </w:pPr>
            <w:r>
              <w:rPr>
                <w:sz w:val="20"/>
                <w:szCs w:val="20"/>
              </w:rPr>
              <w:t xml:space="preserve">野村信託銀行 等</w:t>
            </w:r>
          </w:p>
          <w:p>
            <w:pPr>
              <w:spacing w:after="0" w:line="240"/>
            </w:pPr>
            <w:r>
              <w:rPr>
                <w:i/>
                <w:iCs/>
                <w:color w:val="666666"/>
                <w:sz w:val="16"/>
                <w:szCs w:val="16"/>
              </w:rPr>
              <w:t xml:space="preserve">会社により限定的</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3. 為替業務（振込・振替）</w:t>
            </w:r>
          </w:p>
        </w:tc>
        <w:tc>
          <w:tcPr>
            <w:tcW w:type="dxa" w:w="305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ゆうちょ銀行</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p>
            <w:pPr>
              <w:spacing w:after="0" w:line="260"/>
            </w:pPr>
            <w:r>
              <w:rPr>
                <w:sz w:val="20"/>
                <w:szCs w:val="20"/>
              </w:rPr>
              <w:t xml:space="preserve">SMBC信託銀行</w:t>
            </w:r>
          </w:p>
        </w:tc>
        <w:tc>
          <w:tcPr>
            <w:tcW w:type="dxa" w:w="3638"/>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野村信託銀行 等</w:t>
            </w:r>
          </w:p>
        </w:tc>
      </w:tr>
      <w:tr>
        <w:trPr>
          <w:cantSplit/>
          <w:tblHeader w:val="false"/>
        </w:trPr>
        <w:tc>
          <w:tcPr>
            <w:tcW w:type="dxa" w:w="15438"/>
            <w:gridSpan w:val="4"/>
            <w:shd w:fill="D9E2F3" w:val="clear"/>
            <w:tcMar>
              <w:top w:type="dxa" w:w="100"/>
              <w:left w:type="dxa" w:w="130"/>
              <w:bottom w:type="dxa" w:w="100"/>
              <w:right w:type="dxa" w:w="110"/>
            </w:tcMar>
          </w:tcPr>
          <w:p>
            <w:pPr>
              <w:spacing w:after="0" w:line="260"/>
              <w:jc w:val="left"/>
            </w:pPr>
            <w:r>
              <w:rPr>
                <w:b/>
                <w:bCs/>
                <w:color w:val="1F3864"/>
                <w:sz w:val="22"/>
                <w:szCs w:val="22"/>
              </w:rPr>
              <w:t xml:space="preserve">B. 信託業務（信託法・信託業法上の基本類型）</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4. 金銭の信託（合同運用指定金銭信託 等）</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p>
            <w:pPr>
              <w:spacing w:after="0" w:line="240"/>
            </w:pPr>
            <w:r>
              <w:rPr>
                <w:i/>
                <w:iCs/>
                <w:color w:val="666666"/>
                <w:sz w:val="16"/>
                <w:szCs w:val="16"/>
              </w:rPr>
              <w:t xml:space="preserve">信託業の免許なし</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農中信託銀行 等</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5. 金銭信託以外の金銭の信託（特定金銭信託 等）</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p>
            <w:pPr>
              <w:spacing w:after="0" w:line="260"/>
            </w:pPr>
            <w:r>
              <w:rPr>
                <w:sz w:val="20"/>
                <w:szCs w:val="20"/>
              </w:rPr>
              <w:t xml:space="preserve">SMBC信託銀行</w:t>
            </w:r>
          </w:p>
        </w:tc>
        <w:tc>
          <w:tcPr>
            <w:tcW w:type="dxa" w:w="3638"/>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日本カストディ銀行 等</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6. 有価証券の信託</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日本カストディ銀行 等</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7. 金銭債権の信託</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color w:val="B36B00"/>
                <w:sz w:val="26"/>
                <w:szCs w:val="26"/>
              </w:rPr>
              <w:t xml:space="preserve">△</w:t>
            </w:r>
          </w:p>
          <w:p>
            <w:pPr>
              <w:spacing w:after="0" w:line="240"/>
            </w:pPr>
            <w:r>
              <w:rPr>
                <w:i/>
                <w:iCs/>
                <w:color w:val="666666"/>
                <w:sz w:val="16"/>
                <w:szCs w:val="16"/>
              </w:rPr>
              <w:t xml:space="preserve">専業性の高い会社は限定的</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8. 動産の信託</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color w:val="999999"/>
                <w:sz w:val="26"/>
                <w:szCs w:val="26"/>
              </w:rPr>
              <w:t xml:space="preserve">×</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9. 不動産の信託</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color w:val="B36B00"/>
                <w:sz w:val="26"/>
                <w:szCs w:val="26"/>
              </w:rPr>
              <w:t xml:space="preserve">△</w:t>
            </w:r>
          </w:p>
          <w:p>
            <w:pPr>
              <w:spacing w:after="0" w:line="260"/>
            </w:pPr>
            <w:r>
              <w:rPr>
                <w:sz w:val="20"/>
                <w:szCs w:val="20"/>
              </w:rPr>
              <w:t xml:space="preserve">あおぞら信託銀行 等</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10. 土地・土地の賃借権等の信託</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color w:val="B36B00"/>
                <w:sz w:val="26"/>
                <w:szCs w:val="26"/>
              </w:rPr>
              <w:t xml:space="preserve">△</w:t>
            </w:r>
          </w:p>
        </w:tc>
      </w:tr>
      <w:tr>
        <w:trPr>
          <w:cantSplit/>
          <w:tblHeader w:val="false"/>
        </w:trPr>
        <w:tc>
          <w:tcPr>
            <w:tcW w:type="dxa" w:w="15438"/>
            <w:gridSpan w:val="4"/>
            <w:shd w:fill="D9E2F3" w:val="clear"/>
            <w:tcMar>
              <w:top w:type="dxa" w:w="100"/>
              <w:left w:type="dxa" w:w="130"/>
              <w:bottom w:type="dxa" w:w="100"/>
              <w:right w:type="dxa" w:w="110"/>
            </w:tcMar>
          </w:tcPr>
          <w:p>
            <w:pPr>
              <w:spacing w:after="0" w:line="260"/>
              <w:jc w:val="left"/>
            </w:pPr>
            <w:r>
              <w:rPr>
                <w:b/>
                <w:bCs/>
                <w:color w:val="1F3864"/>
                <w:sz w:val="22"/>
                <w:szCs w:val="22"/>
              </w:rPr>
              <w:t xml:space="preserve">C. 個人向け併営業務（財産管理・資産承継）</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11. 遺言信託（遺言書の保管・執行）</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p>
            <w:pPr>
              <w:spacing w:after="0" w:line="240"/>
            </w:pPr>
            <w:r>
              <w:rPr>
                <w:i/>
                <w:iCs/>
                <w:color w:val="666666"/>
                <w:sz w:val="16"/>
                <w:szCs w:val="16"/>
              </w:rPr>
              <w:t xml:space="preserve">相談窓口のみ・外部提携先紹介</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p>
            <w:pPr>
              <w:spacing w:after="0" w:line="260"/>
            </w:pPr>
            <w:r>
              <w:rPr>
                <w:sz w:val="20"/>
                <w:szCs w:val="20"/>
              </w:rPr>
              <w:t xml:space="preserve">SMBC信託銀行</w:t>
            </w:r>
          </w:p>
        </w:tc>
        <w:tc>
          <w:tcPr>
            <w:tcW w:type="dxa" w:w="3638"/>
            <w:tcMar>
              <w:top w:type="dxa" w:w="90"/>
              <w:left w:type="dxa" w:w="90"/>
              <w:bottom w:type="dxa" w:w="90"/>
              <w:right w:type="dxa" w:w="90"/>
            </w:tcMar>
            <w:vAlign w:val="center"/>
          </w:tcPr>
          <w:p>
            <w:pPr>
              <w:spacing w:after="0" w:line="300"/>
            </w:pPr>
            <w:r>
              <w:rPr>
                <w:b/>
                <w:bCs/>
                <w:color w:val="B36B00"/>
                <w:sz w:val="26"/>
                <w:szCs w:val="26"/>
              </w:rPr>
              <w:t xml:space="preserve">△</w:t>
            </w:r>
          </w:p>
          <w:p>
            <w:pPr>
              <w:spacing w:after="0" w:line="260"/>
            </w:pPr>
            <w:r>
              <w:rPr>
                <w:sz w:val="20"/>
                <w:szCs w:val="20"/>
              </w:rPr>
              <w:t xml:space="preserve">野村信託銀行 等</w:t>
            </w:r>
          </w:p>
          <w:p>
            <w:pPr>
              <w:spacing w:after="0" w:line="240"/>
            </w:pPr>
            <w:r>
              <w:rPr>
                <w:i/>
                <w:iCs/>
                <w:color w:val="666666"/>
                <w:sz w:val="16"/>
                <w:szCs w:val="16"/>
              </w:rPr>
              <w:t xml:space="preserve">取扱いは限定的</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12. 遺産整理業務</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color w:val="B36B00"/>
                <w:sz w:val="26"/>
                <w:szCs w:val="26"/>
              </w:rPr>
              <w:t xml:space="preserve">△</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13. 暦年贈与信託</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color w:val="999999"/>
                <w:sz w:val="26"/>
                <w:szCs w:val="26"/>
              </w:rPr>
              <w:t xml:space="preserve">×</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14. 教育資金贈与信託</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color w:val="999999"/>
                <w:sz w:val="26"/>
                <w:szCs w:val="26"/>
              </w:rPr>
              <w:t xml:space="preserve">×</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15. 後見制度支援信託</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color w:val="999999"/>
                <w:sz w:val="26"/>
                <w:szCs w:val="26"/>
              </w:rPr>
              <w:t xml:space="preserve">×</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16. 生命保険信託</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color w:val="999999"/>
                <w:sz w:val="26"/>
                <w:szCs w:val="26"/>
              </w:rPr>
              <w:t xml:space="preserve">×</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17. 家族信託（民事信託）関連コンサルティング</w:t>
            </w:r>
          </w:p>
        </w:tc>
        <w:tc>
          <w:tcPr>
            <w:tcW w:type="dxa" w:w="3050"/>
            <w:tcMar>
              <w:top w:type="dxa" w:w="90"/>
              <w:left w:type="dxa" w:w="90"/>
              <w:bottom w:type="dxa" w:w="90"/>
              <w:right w:type="dxa" w:w="90"/>
            </w:tcMar>
            <w:vAlign w:val="center"/>
          </w:tcPr>
          <w:p>
            <w:pPr>
              <w:spacing w:after="0" w:line="300"/>
            </w:pPr>
            <w:r>
              <w:rPr>
                <w:b/>
                <w:bCs/>
                <w:color w:val="B36B00"/>
                <w:sz w:val="26"/>
                <w:szCs w:val="26"/>
              </w:rPr>
              <w:t xml:space="preserve">△</w:t>
            </w:r>
          </w:p>
          <w:p>
            <w:pPr>
              <w:spacing w:after="0" w:line="240"/>
            </w:pPr>
            <w:r>
              <w:rPr>
                <w:i/>
                <w:iCs/>
                <w:color w:val="666666"/>
                <w:sz w:val="16"/>
                <w:szCs w:val="16"/>
              </w:rPr>
              <w:t xml:space="preserve">外部提携先の紹介にとどまる</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color w:val="999999"/>
                <w:sz w:val="26"/>
                <w:szCs w:val="26"/>
              </w:rPr>
              <w:t xml:space="preserve">×</w:t>
            </w:r>
          </w:p>
        </w:tc>
      </w:tr>
      <w:tr>
        <w:trPr>
          <w:cantSplit/>
          <w:tblHeader w:val="false"/>
        </w:trPr>
        <w:tc>
          <w:tcPr>
            <w:tcW w:type="dxa" w:w="15438"/>
            <w:gridSpan w:val="4"/>
            <w:shd w:fill="D9E2F3" w:val="clear"/>
            <w:tcMar>
              <w:top w:type="dxa" w:w="100"/>
              <w:left w:type="dxa" w:w="130"/>
              <w:bottom w:type="dxa" w:w="100"/>
              <w:right w:type="dxa" w:w="110"/>
            </w:tcMar>
          </w:tcPr>
          <w:p>
            <w:pPr>
              <w:spacing w:after="0" w:line="260"/>
              <w:jc w:val="left"/>
            </w:pPr>
            <w:r>
              <w:rPr>
                <w:b/>
                <w:bCs/>
                <w:color w:val="1F3864"/>
                <w:sz w:val="22"/>
                <w:szCs w:val="22"/>
              </w:rPr>
              <w:t xml:space="preserve">D. 法人向け併営業務</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18. 証券代行業務（株主名簿管理人）</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color w:val="999999"/>
                <w:sz w:val="26"/>
                <w:szCs w:val="26"/>
              </w:rPr>
              <w:t xml:space="preserve">×</w:t>
            </w:r>
          </w:p>
          <w:p>
            <w:pPr>
              <w:spacing w:after="0" w:line="240"/>
            </w:pPr>
            <w:r>
              <w:rPr>
                <w:i/>
                <w:iCs/>
                <w:color w:val="666666"/>
                <w:sz w:val="16"/>
                <w:szCs w:val="16"/>
              </w:rPr>
              <w:t xml:space="preserve">専業会社（東京証券代行 等）が中心</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19. 企業年金信託（DB・DC運営管理 等）</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p>
            <w:pPr>
              <w:spacing w:after="0" w:line="260"/>
            </w:pPr>
            <w:r>
              <w:rPr>
                <w:sz w:val="20"/>
                <w:szCs w:val="20"/>
              </w:rPr>
              <w:t xml:space="preserve">SMBC信託銀行</w:t>
            </w:r>
          </w:p>
        </w:tc>
        <w:tc>
          <w:tcPr>
            <w:tcW w:type="dxa" w:w="3638"/>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農中信託銀行 等</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20. 資産流動化・証券化業務</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あおぞら信託銀行 等</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21. 資産管理（カストディ）業務</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p>
            <w:pPr>
              <w:spacing w:after="0" w:line="260"/>
            </w:pPr>
            <w:r>
              <w:rPr>
                <w:sz w:val="20"/>
                <w:szCs w:val="20"/>
              </w:rPr>
              <w:t xml:space="preserve">SMBC信託銀行</w:t>
            </w:r>
          </w:p>
        </w:tc>
        <w:tc>
          <w:tcPr>
            <w:tcW w:type="dxa" w:w="3638"/>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日本カストディ銀行（専業）</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22. 証券投資信託の受託業務（信託財産の保管・管理）</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p>
            <w:pPr>
              <w:spacing w:after="0" w:line="260"/>
            </w:pPr>
            <w:r>
              <w:rPr>
                <w:sz w:val="20"/>
                <w:szCs w:val="20"/>
              </w:rPr>
              <w:t xml:space="preserve">SMBC信託銀行</w:t>
            </w:r>
          </w:p>
        </w:tc>
        <w:tc>
          <w:tcPr>
            <w:tcW w:type="dxa" w:w="3638"/>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野村信託銀行</w:t>
            </w:r>
          </w:p>
          <w:p>
            <w:pPr>
              <w:spacing w:after="0" w:line="260"/>
            </w:pPr>
            <w:r>
              <w:rPr>
                <w:sz w:val="20"/>
                <w:szCs w:val="20"/>
              </w:rPr>
              <w:t xml:space="preserve">日本カストディ銀行 等</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23. 不動産業務（仲介・鑑定評価・有効活用コンサル）</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color w:val="B36B00"/>
                <w:sz w:val="26"/>
                <w:szCs w:val="26"/>
              </w:rPr>
              <w:t xml:space="preserve">△</w:t>
            </w:r>
          </w:p>
          <w:p>
            <w:pPr>
              <w:spacing w:after="0" w:line="260"/>
            </w:pPr>
            <w:r>
              <w:rPr>
                <w:sz w:val="20"/>
                <w:szCs w:val="20"/>
              </w:rPr>
              <w:t xml:space="preserve">あおぞら信託銀行 等</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24. 不動産投資顧問業務（私募REIT・J-REIT運用 等）</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color w:val="B36B00"/>
                <w:sz w:val="26"/>
                <w:szCs w:val="26"/>
              </w:rPr>
              <w:t xml:space="preserve">△</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25. プライベートバンキング業務</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color w:val="B36B00"/>
                <w:sz w:val="26"/>
                <w:szCs w:val="26"/>
              </w:rPr>
              <w:t xml:space="preserve">△</w:t>
            </w:r>
          </w:p>
          <w:p>
            <w:pPr>
              <w:spacing w:after="0" w:line="260"/>
            </w:pPr>
            <w:r>
              <w:rPr>
                <w:sz w:val="20"/>
                <w:szCs w:val="20"/>
              </w:rPr>
              <w:t xml:space="preserve">野村信託銀行</w:t>
            </w:r>
          </w:p>
          <w:p>
            <w:pPr>
              <w:spacing w:after="0" w:line="240"/>
            </w:pPr>
            <w:r>
              <w:rPr>
                <w:i/>
                <w:iCs/>
                <w:color w:val="666666"/>
                <w:sz w:val="16"/>
                <w:szCs w:val="16"/>
              </w:rPr>
              <w:t xml:space="preserve">野村證券と連携</w:t>
            </w:r>
          </w:p>
        </w:tc>
      </w:tr>
    </w:tbl>
    <w:p>
      <w:pPr>
        <w:spacing w:before="200"/>
      </w:pPr>
    </w:p>
    <w:p>
      <w:pPr>
        <w:pStyle w:val="Heading2"/>
        <w:spacing w:after="80" w:before="160"/>
      </w:pPr>
      <w:r>
        <w:rPr>
          <w:b/>
          <w:bCs/>
          <w:color w:val="2F5496"/>
          <w:sz w:val="22"/>
          <w:szCs w:val="22"/>
        </w:rPr>
        <w:t xml:space="preserve">グループ区分について（注記）</w:t>
      </w:r>
    </w:p>
    <w:p>
      <w:pPr>
        <w:spacing w:after="40" w:line="240"/>
        <w:ind w:left="260"/>
      </w:pPr>
      <w:r>
        <w:rPr>
          <w:sz w:val="19"/>
          <w:szCs w:val="19"/>
        </w:rPr>
        <w:t xml:space="preserve">・①みずほグループ：みずほフィナンシャルグループ傘下の「みずほ信託銀行」が信託業務を担う。</w:t>
      </w:r>
    </w:p>
    <w:p>
      <w:pPr>
        <w:spacing w:after="40" w:line="240"/>
        <w:ind w:left="260"/>
      </w:pPr>
      <w:r>
        <w:rPr>
          <w:sz w:val="19"/>
          <w:szCs w:val="19"/>
        </w:rPr>
        <w:t xml:space="preserve">・②三菱UFJグループ：三菱UFJフィナンシャル・グループ傘下の「三菱UFJ信託銀行」が信託業務を担う。</w:t>
      </w:r>
    </w:p>
    <w:p>
      <w:pPr>
        <w:spacing w:after="40" w:line="240"/>
        <w:ind w:left="260"/>
      </w:pPr>
      <w:r>
        <w:rPr>
          <w:sz w:val="19"/>
          <w:szCs w:val="19"/>
        </w:rPr>
        <w:t xml:space="preserve">・③りそなグループ：普通銀行と信託銀行を兼営する「りそな銀行」「埼玉りそな銀行」が窓口。信託専業の別会社は持たない。</w:t>
      </w:r>
    </w:p>
    <w:p>
      <w:pPr>
        <w:spacing w:after="40" w:line="240"/>
        <w:ind w:left="260"/>
      </w:pPr>
      <w:r>
        <w:rPr>
          <w:sz w:val="19"/>
          <w:szCs w:val="19"/>
        </w:rPr>
        <w:t xml:space="preserve">・④ゆうちょ銀行：信託業の免許を保有しておらず、信託関連業務は行っていない（家族信託等は外部専門家の紹介にとどまる）。</w:t>
      </w:r>
    </w:p>
    <w:p>
      <w:pPr>
        <w:spacing w:after="40" w:line="240"/>
        <w:ind w:left="260"/>
      </w:pPr>
      <w:r>
        <w:rPr>
          <w:sz w:val="19"/>
          <w:szCs w:val="19"/>
        </w:rPr>
        <w:t xml:space="preserve">・⑤三井住友グループ：「三井住友信託銀行」（資本系列は三井住友トラスト・グループ）と「SMBC信託銀行」（資本系列は三井住友フィナンシャルグループ）は、いずれも『三井住友』を名乗るが資本系列の異なる別グループである。本表では便宜上、信託銀行として並記している。</w:t>
      </w:r>
    </w:p>
    <w:p>
      <w:pPr>
        <w:spacing w:after="40" w:line="240"/>
        <w:ind w:left="260"/>
      </w:pPr>
      <w:r>
        <w:rPr>
          <w:sz w:val="19"/>
          <w:szCs w:val="19"/>
        </w:rPr>
        <w:t xml:space="preserve">・⑦その他：野村信託銀行（野村證券グループ）、日本カストディ銀行（三菱UFJ・みずほ・三井住友トラスト・りそな等が共同出資する資産管理専業の信託銀行）、農中信託銀行（農林中央金庫グループ）、あおぞら信託銀行（あおぞら銀行グループ）等。業務ごとに該当する代表例を例示しており、その他の全ての信託兼営金融機関・信託専業会社を網羅するものではない。</w:t>
      </w:r>
    </w:p>
    <w:p>
      <w:pPr>
        <w:pStyle w:val="Heading2"/>
        <w:spacing w:after="80" w:before="160"/>
      </w:pPr>
      <w:r>
        <w:rPr>
          <w:b/>
          <w:bCs/>
          <w:color w:val="2F5496"/>
          <w:sz w:val="22"/>
          <w:szCs w:val="22"/>
        </w:rPr>
        <w:t xml:space="preserve">注釈</w:t>
      </w:r>
    </w:p>
    <w:p>
      <w:pPr>
        <w:spacing w:after="40" w:line="220"/>
      </w:pPr>
      <w:r>
        <w:rPr>
          <w:color w:val="555555"/>
          <w:sz w:val="15"/>
          <w:szCs w:val="15"/>
        </w:rPr>
        <w:t xml:space="preserve">※1　りそな銀行の証券代行（株主名簿管理人）業務については、大手信託銀行3社および専業会社が中心的な担い手となっており、りそなグループでの現在の実施状況を一次情報で確認できなかったため「×」としています。最新の取扱いは同行公式サイト等でご確認ください。</w:t>
      </w:r>
    </w:p>
    <w:p>
      <w:pPr>
        <w:spacing w:after="40" w:line="220"/>
      </w:pPr>
      <w:r>
        <w:rPr>
          <w:color w:val="555555"/>
          <w:sz w:val="15"/>
          <w:szCs w:val="15"/>
        </w:rPr>
        <w:t xml:space="preserve">本表は2026年8月時点で入手可能な各社公式サイト・信託協会ウェブサイト等の公開情報に基づき作成した概要であり、取扱商品・最低金額・取扱店舗の範囲などの詳細は各社の最新情報で確認してください。組織再編や子会社の名称・出資構成は変更される場合があります。</w:t>
      </w:r>
    </w:p>
    <w:p>
      <w:pPr>
        <w:sectPr>
          <w:pgSz w:w="16838" w:h="11906" w:orient="landscape"/>
          <w:pgMar w:top="700" w:right="700" w:bottom="700" w:left="700" w:header="708" w:footer="708" w:gutter="0"/>
          <w:pgNumType/>
          <w:docGrid w:linePitch="360"/>
        </w:sectPr>
      </w:pPr>
    </w:p>
    <w:p>
      <w:pPr>
        <w:pStyle w:val="Heading1"/>
        <w:spacing w:after="120" w:before="120"/>
      </w:pPr>
      <w:r>
        <w:rPr>
          <w:b/>
          <w:bCs/>
          <w:color w:val="1F3864"/>
          <w:sz w:val="30"/>
          <w:szCs w:val="30"/>
        </w:rPr>
        <w:t xml:space="preserve">業務内容の説明</w:t>
      </w:r>
    </w:p>
    <w:p>
      <w:pPr>
        <w:spacing w:after="100" w:line="264"/>
      </w:pPr>
      <w:r>
        <w:rPr>
          <w:i w:val="false"/>
          <w:iCs w:val="false"/>
          <w:sz w:val="20"/>
          <w:szCs w:val="20"/>
        </w:rPr>
        <w:t xml:space="preserve">上表で用いた25の業務種類について、それぞれの業務内容を簡潔にまとめた一覧です。</w:t>
      </w:r>
    </w:p>
    <w:tbl>
      <w:tblPr>
        <w:tblW w:type="dxa" w:w="10466"/>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3200"/>
        <w:gridCol w:w="7266"/>
      </w:tblGrid>
      <w:tr>
        <w:trPr>
          <w:tblHeader/>
        </w:trPr>
        <w:tc>
          <w:tcPr>
            <w:tcW w:type="dxa" w:w="3200"/>
            <w:shd w:fill="2F5496" w:val="clear"/>
            <w:tcMar>
              <w:top w:type="dxa" w:w="110"/>
              <w:left w:type="dxa" w:w="110"/>
              <w:bottom w:type="dxa" w:w="110"/>
              <w:right w:type="dxa" w:w="110"/>
            </w:tcMar>
            <w:vAlign w:val="center"/>
          </w:tcPr>
          <w:p>
            <w:pPr>
              <w:spacing w:after="0" w:line="260"/>
              <w:jc w:val="center"/>
            </w:pPr>
            <w:r>
              <w:rPr>
                <w:b/>
                <w:bCs/>
                <w:color w:val="FFFFFF"/>
                <w:sz w:val="18"/>
                <w:szCs w:val="18"/>
              </w:rPr>
              <w:t xml:space="preserve">業務種類</w:t>
            </w:r>
          </w:p>
        </w:tc>
        <w:tc>
          <w:tcPr>
            <w:tcW w:type="dxa" w:w="7266"/>
            <w:shd w:fill="2F5496" w:val="clear"/>
            <w:tcMar>
              <w:top w:type="dxa" w:w="110"/>
              <w:left w:type="dxa" w:w="110"/>
              <w:bottom w:type="dxa" w:w="110"/>
              <w:right w:type="dxa" w:w="110"/>
            </w:tcMar>
            <w:vAlign w:val="center"/>
          </w:tcPr>
          <w:p>
            <w:pPr>
              <w:spacing w:after="0" w:line="260"/>
              <w:jc w:val="center"/>
            </w:pPr>
            <w:r>
              <w:rPr>
                <w:b/>
                <w:bCs/>
                <w:color w:val="FFFFFF"/>
                <w:sz w:val="18"/>
                <w:szCs w:val="18"/>
              </w:rPr>
              <w:t xml:space="preserve">業務内容</w:t>
            </w:r>
          </w:p>
        </w:tc>
      </w:tr>
      <w:tr>
        <w:trPr>
          <w:cantSplit/>
        </w:trPr>
        <w:tc>
          <w:tcPr>
            <w:tcW w:type="dxa" w:w="10466"/>
            <w:gridSpan w:val="2"/>
            <w:shd w:fill="D9E2F3" w:val="clear"/>
            <w:tcMar>
              <w:top w:type="dxa" w:w="60"/>
              <w:left w:type="dxa" w:w="100"/>
              <w:bottom w:type="dxa" w:w="60"/>
              <w:right w:type="dxa" w:w="80"/>
            </w:tcMar>
          </w:tcPr>
          <w:p>
            <w:pPr>
              <w:spacing w:after="0" w:line="260"/>
              <w:jc w:val="left"/>
            </w:pPr>
            <w:r>
              <w:rPr>
                <w:b/>
                <w:bCs/>
                <w:color w:val="1F3864"/>
                <w:sz w:val="16"/>
                <w:szCs w:val="16"/>
              </w:rPr>
              <w:t xml:space="preserve">A. 銀行業務（信託銀行が併営する普通銀行業務）</w:t>
            </w:r>
          </w:p>
        </w:tc>
      </w:tr>
      <w:tr>
        <w:trPr>
          <w:cantSplit/>
        </w:trPr>
        <w:tc>
          <w:tcPr>
            <w:tcW w:type="dxa" w:w="3200"/>
            <w:tcMar>
              <w:top w:type="dxa" w:w="60"/>
              <w:left w:type="dxa" w:w="80"/>
              <w:bottom w:type="dxa" w:w="60"/>
              <w:right w:type="dxa" w:w="80"/>
            </w:tcMar>
            <w:vAlign w:val="center"/>
          </w:tcPr>
          <w:p>
            <w:pPr>
              <w:spacing w:after="0" w:line="260"/>
              <w:jc w:val="left"/>
            </w:pPr>
            <w:r>
              <w:rPr>
                <w:b/>
                <w:bCs/>
                <w:sz w:val="16"/>
                <w:szCs w:val="16"/>
              </w:rPr>
              <w:t xml:space="preserve">1. 預金業務</w:t>
            </w:r>
          </w:p>
        </w:tc>
        <w:tc>
          <w:tcPr>
            <w:tcW w:type="dxa" w:w="7266"/>
            <w:tcMar>
              <w:top w:type="dxa" w:w="60"/>
              <w:left w:type="dxa" w:w="100"/>
              <w:bottom w:type="dxa" w:w="60"/>
              <w:right w:type="dxa" w:w="100"/>
            </w:tcMar>
            <w:vAlign w:val="center"/>
          </w:tcPr>
          <w:p>
            <w:pPr>
              <w:spacing w:after="0" w:line="260"/>
              <w:jc w:val="left"/>
            </w:pPr>
            <w:r>
              <w:rPr>
                <w:b w:val="false"/>
                <w:bCs w:val="false"/>
                <w:sz w:val="17"/>
                <w:szCs w:val="17"/>
              </w:rPr>
              <w:t xml:space="preserve">普通預金・定期預金など、顧客から資金を預かり管理する業務。信託銀行は信託業務と兼営する形で、銀行法に基づく預金業務を行う。</w:t>
            </w:r>
          </w:p>
        </w:tc>
      </w:tr>
      <w:tr>
        <w:trPr>
          <w:cantSplit/>
        </w:trPr>
        <w:tc>
          <w:tcPr>
            <w:tcW w:type="dxa" w:w="3200"/>
            <w:tcMar>
              <w:top w:type="dxa" w:w="60"/>
              <w:left w:type="dxa" w:w="80"/>
              <w:bottom w:type="dxa" w:w="60"/>
              <w:right w:type="dxa" w:w="80"/>
            </w:tcMar>
            <w:vAlign w:val="center"/>
          </w:tcPr>
          <w:p>
            <w:pPr>
              <w:spacing w:after="0" w:line="260"/>
              <w:jc w:val="left"/>
            </w:pPr>
            <w:r>
              <w:rPr>
                <w:b/>
                <w:bCs/>
                <w:sz w:val="16"/>
                <w:szCs w:val="16"/>
              </w:rPr>
              <w:t xml:space="preserve">2. 貸出業務（融資）</w:t>
            </w:r>
          </w:p>
        </w:tc>
        <w:tc>
          <w:tcPr>
            <w:tcW w:type="dxa" w:w="7266"/>
            <w:tcMar>
              <w:top w:type="dxa" w:w="60"/>
              <w:left w:type="dxa" w:w="100"/>
              <w:bottom w:type="dxa" w:w="60"/>
              <w:right w:type="dxa" w:w="100"/>
            </w:tcMar>
            <w:vAlign w:val="center"/>
          </w:tcPr>
          <w:p>
            <w:pPr>
              <w:spacing w:after="0" w:line="260"/>
              <w:jc w:val="left"/>
            </w:pPr>
            <w:r>
              <w:rPr>
                <w:b w:val="false"/>
                <w:bCs w:val="false"/>
                <w:sz w:val="17"/>
                <w:szCs w:val="17"/>
              </w:rPr>
              <w:t xml:space="preserve">個人・法人向けの融資業務。住宅ローンや事業性融資、コミットメントラインなどを通じて資金を貸し付ける。</w:t>
            </w:r>
          </w:p>
        </w:tc>
      </w:tr>
      <w:tr>
        <w:trPr>
          <w:cantSplit/>
        </w:trPr>
        <w:tc>
          <w:tcPr>
            <w:tcW w:type="dxa" w:w="3200"/>
            <w:tcMar>
              <w:top w:type="dxa" w:w="60"/>
              <w:left w:type="dxa" w:w="80"/>
              <w:bottom w:type="dxa" w:w="60"/>
              <w:right w:type="dxa" w:w="80"/>
            </w:tcMar>
            <w:vAlign w:val="center"/>
          </w:tcPr>
          <w:p>
            <w:pPr>
              <w:spacing w:after="0" w:line="260"/>
              <w:jc w:val="left"/>
            </w:pPr>
            <w:r>
              <w:rPr>
                <w:b/>
                <w:bCs/>
                <w:sz w:val="16"/>
                <w:szCs w:val="16"/>
              </w:rPr>
              <w:t xml:space="preserve">3. 為替業務（振込・振替）</w:t>
            </w:r>
          </w:p>
        </w:tc>
        <w:tc>
          <w:tcPr>
            <w:tcW w:type="dxa" w:w="7266"/>
            <w:tcMar>
              <w:top w:type="dxa" w:w="60"/>
              <w:left w:type="dxa" w:w="100"/>
              <w:bottom w:type="dxa" w:w="60"/>
              <w:right w:type="dxa" w:w="100"/>
            </w:tcMar>
            <w:vAlign w:val="center"/>
          </w:tcPr>
          <w:p>
            <w:pPr>
              <w:spacing w:after="0" w:line="260"/>
              <w:jc w:val="left"/>
            </w:pPr>
            <w:r>
              <w:rPr>
                <w:b w:val="false"/>
                <w:bCs w:val="false"/>
                <w:sz w:val="17"/>
                <w:szCs w:val="17"/>
              </w:rPr>
              <w:t xml:space="preserve">国内外への送金、口座振替、手形・小切手の取立など、資金移動に関する決済業務。</w:t>
            </w:r>
          </w:p>
        </w:tc>
      </w:tr>
      <w:tr>
        <w:trPr>
          <w:cantSplit/>
        </w:trPr>
        <w:tc>
          <w:tcPr>
            <w:tcW w:type="dxa" w:w="10466"/>
            <w:gridSpan w:val="2"/>
            <w:shd w:fill="D9E2F3" w:val="clear"/>
            <w:tcMar>
              <w:top w:type="dxa" w:w="60"/>
              <w:left w:type="dxa" w:w="100"/>
              <w:bottom w:type="dxa" w:w="60"/>
              <w:right w:type="dxa" w:w="80"/>
            </w:tcMar>
          </w:tcPr>
          <w:p>
            <w:pPr>
              <w:spacing w:after="0" w:line="260"/>
              <w:jc w:val="left"/>
            </w:pPr>
            <w:r>
              <w:rPr>
                <w:b/>
                <w:bCs/>
                <w:color w:val="1F3864"/>
                <w:sz w:val="16"/>
                <w:szCs w:val="16"/>
              </w:rPr>
              <w:t xml:space="preserve">B. 信託業務（信託法・信託業法上の基本類型）</w:t>
            </w:r>
          </w:p>
        </w:tc>
      </w:tr>
      <w:tr>
        <w:trPr>
          <w:cantSplit/>
        </w:trPr>
        <w:tc>
          <w:tcPr>
            <w:tcW w:type="dxa" w:w="3200"/>
            <w:tcMar>
              <w:top w:type="dxa" w:w="60"/>
              <w:left w:type="dxa" w:w="80"/>
              <w:bottom w:type="dxa" w:w="60"/>
              <w:right w:type="dxa" w:w="80"/>
            </w:tcMar>
            <w:vAlign w:val="center"/>
          </w:tcPr>
          <w:p>
            <w:pPr>
              <w:spacing w:after="0" w:line="260"/>
              <w:jc w:val="left"/>
            </w:pPr>
            <w:r>
              <w:rPr>
                <w:b/>
                <w:bCs/>
                <w:sz w:val="16"/>
                <w:szCs w:val="16"/>
              </w:rPr>
              <w:t xml:space="preserve">4. 金銭の信託（合同運用指定金銭信託 等）</w:t>
            </w:r>
          </w:p>
        </w:tc>
        <w:tc>
          <w:tcPr>
            <w:tcW w:type="dxa" w:w="7266"/>
            <w:tcMar>
              <w:top w:type="dxa" w:w="60"/>
              <w:left w:type="dxa" w:w="100"/>
              <w:bottom w:type="dxa" w:w="60"/>
              <w:right w:type="dxa" w:w="100"/>
            </w:tcMar>
            <w:vAlign w:val="center"/>
          </w:tcPr>
          <w:p>
            <w:pPr>
              <w:spacing w:after="0" w:line="260"/>
              <w:jc w:val="left"/>
            </w:pPr>
            <w:r>
              <w:rPr>
                <w:b w:val="false"/>
                <w:bCs w:val="false"/>
                <w:sz w:val="17"/>
                <w:szCs w:val="17"/>
              </w:rPr>
              <w:t xml:space="preserve">複数の委託者から集めた金銭を信託銀行がまとめて運用し、収益を分配する仕組み。かつての貸付信託などが代表例。</w:t>
            </w:r>
          </w:p>
        </w:tc>
      </w:tr>
      <w:tr>
        <w:trPr>
          <w:cantSplit/>
        </w:trPr>
        <w:tc>
          <w:tcPr>
            <w:tcW w:type="dxa" w:w="3200"/>
            <w:tcMar>
              <w:top w:type="dxa" w:w="60"/>
              <w:left w:type="dxa" w:w="80"/>
              <w:bottom w:type="dxa" w:w="60"/>
              <w:right w:type="dxa" w:w="80"/>
            </w:tcMar>
            <w:vAlign w:val="center"/>
          </w:tcPr>
          <w:p>
            <w:pPr>
              <w:spacing w:after="0" w:line="260"/>
              <w:jc w:val="left"/>
            </w:pPr>
            <w:r>
              <w:rPr>
                <w:b/>
                <w:bCs/>
                <w:sz w:val="16"/>
                <w:szCs w:val="16"/>
              </w:rPr>
              <w:t xml:space="preserve">5. 金銭信託以外の金銭の信託（特定金銭信託 等）</w:t>
            </w:r>
          </w:p>
        </w:tc>
        <w:tc>
          <w:tcPr>
            <w:tcW w:type="dxa" w:w="7266"/>
            <w:tcMar>
              <w:top w:type="dxa" w:w="60"/>
              <w:left w:type="dxa" w:w="100"/>
              <w:bottom w:type="dxa" w:w="60"/>
              <w:right w:type="dxa" w:w="100"/>
            </w:tcMar>
            <w:vAlign w:val="center"/>
          </w:tcPr>
          <w:p>
            <w:pPr>
              <w:spacing w:after="0" w:line="260"/>
              <w:jc w:val="left"/>
            </w:pPr>
            <w:r>
              <w:rPr>
                <w:b w:val="false"/>
                <w:bCs w:val="false"/>
                <w:sz w:val="17"/>
                <w:szCs w:val="17"/>
              </w:rPr>
              <w:t xml:space="preserve">委託者が運用対象や運用方法を指定する金銭の信託。ファンドトラストや特定金銭信託など、機関投資家の資産運用等に用いられる。</w:t>
            </w:r>
          </w:p>
        </w:tc>
      </w:tr>
      <w:tr>
        <w:trPr>
          <w:cantSplit/>
        </w:trPr>
        <w:tc>
          <w:tcPr>
            <w:tcW w:type="dxa" w:w="3200"/>
            <w:tcMar>
              <w:top w:type="dxa" w:w="60"/>
              <w:left w:type="dxa" w:w="80"/>
              <w:bottom w:type="dxa" w:w="60"/>
              <w:right w:type="dxa" w:w="80"/>
            </w:tcMar>
            <w:vAlign w:val="center"/>
          </w:tcPr>
          <w:p>
            <w:pPr>
              <w:spacing w:after="0" w:line="260"/>
              <w:jc w:val="left"/>
            </w:pPr>
            <w:r>
              <w:rPr>
                <w:b/>
                <w:bCs/>
                <w:sz w:val="16"/>
                <w:szCs w:val="16"/>
              </w:rPr>
              <w:t xml:space="preserve">6. 有価証券の信託</w:t>
            </w:r>
          </w:p>
        </w:tc>
        <w:tc>
          <w:tcPr>
            <w:tcW w:type="dxa" w:w="7266"/>
            <w:tcMar>
              <w:top w:type="dxa" w:w="60"/>
              <w:left w:type="dxa" w:w="100"/>
              <w:bottom w:type="dxa" w:w="60"/>
              <w:right w:type="dxa" w:w="100"/>
            </w:tcMar>
            <w:vAlign w:val="center"/>
          </w:tcPr>
          <w:p>
            <w:pPr>
              <w:spacing w:after="0" w:line="260"/>
              <w:jc w:val="left"/>
            </w:pPr>
            <w:r>
              <w:rPr>
                <w:b w:val="false"/>
                <w:bCs w:val="false"/>
                <w:sz w:val="17"/>
                <w:szCs w:val="17"/>
              </w:rPr>
              <w:t xml:space="preserve">株式・債券などの有価証券を信託財産として受託し、管理・運用・議決権行使などを行う業務。</w:t>
            </w:r>
          </w:p>
        </w:tc>
      </w:tr>
      <w:tr>
        <w:trPr>
          <w:cantSplit/>
        </w:trPr>
        <w:tc>
          <w:tcPr>
            <w:tcW w:type="dxa" w:w="3200"/>
            <w:tcMar>
              <w:top w:type="dxa" w:w="60"/>
              <w:left w:type="dxa" w:w="80"/>
              <w:bottom w:type="dxa" w:w="60"/>
              <w:right w:type="dxa" w:w="80"/>
            </w:tcMar>
            <w:vAlign w:val="center"/>
          </w:tcPr>
          <w:p>
            <w:pPr>
              <w:spacing w:after="0" w:line="260"/>
              <w:jc w:val="left"/>
            </w:pPr>
            <w:r>
              <w:rPr>
                <w:b/>
                <w:bCs/>
                <w:sz w:val="16"/>
                <w:szCs w:val="16"/>
              </w:rPr>
              <w:t xml:space="preserve">7. 金銭債権の信託</w:t>
            </w:r>
          </w:p>
        </w:tc>
        <w:tc>
          <w:tcPr>
            <w:tcW w:type="dxa" w:w="7266"/>
            <w:tcMar>
              <w:top w:type="dxa" w:w="60"/>
              <w:left w:type="dxa" w:w="100"/>
              <w:bottom w:type="dxa" w:w="60"/>
              <w:right w:type="dxa" w:w="100"/>
            </w:tcMar>
            <w:vAlign w:val="center"/>
          </w:tcPr>
          <w:p>
            <w:pPr>
              <w:spacing w:after="0" w:line="260"/>
              <w:jc w:val="left"/>
            </w:pPr>
            <w:r>
              <w:rPr>
                <w:b w:val="false"/>
                <w:bCs w:val="false"/>
                <w:sz w:val="17"/>
                <w:szCs w:val="17"/>
              </w:rPr>
              <w:t xml:space="preserve">売掛金やローン債権などの金銭債権を信託し、資産流動化（証券化）の基礎とする業務。</w:t>
            </w:r>
          </w:p>
        </w:tc>
      </w:tr>
      <w:tr>
        <w:trPr>
          <w:cantSplit/>
        </w:trPr>
        <w:tc>
          <w:tcPr>
            <w:tcW w:type="dxa" w:w="3200"/>
            <w:tcMar>
              <w:top w:type="dxa" w:w="60"/>
              <w:left w:type="dxa" w:w="80"/>
              <w:bottom w:type="dxa" w:w="60"/>
              <w:right w:type="dxa" w:w="80"/>
            </w:tcMar>
            <w:vAlign w:val="center"/>
          </w:tcPr>
          <w:p>
            <w:pPr>
              <w:spacing w:after="0" w:line="260"/>
              <w:jc w:val="left"/>
            </w:pPr>
            <w:r>
              <w:rPr>
                <w:b/>
                <w:bCs/>
                <w:sz w:val="16"/>
                <w:szCs w:val="16"/>
              </w:rPr>
              <w:t xml:space="preserve">8. 動産の信託</w:t>
            </w:r>
          </w:p>
        </w:tc>
        <w:tc>
          <w:tcPr>
            <w:tcW w:type="dxa" w:w="7266"/>
            <w:tcMar>
              <w:top w:type="dxa" w:w="60"/>
              <w:left w:type="dxa" w:w="100"/>
              <w:bottom w:type="dxa" w:w="60"/>
              <w:right w:type="dxa" w:w="100"/>
            </w:tcMar>
            <w:vAlign w:val="center"/>
          </w:tcPr>
          <w:p>
            <w:pPr>
              <w:spacing w:after="0" w:line="260"/>
              <w:jc w:val="left"/>
            </w:pPr>
            <w:r>
              <w:rPr>
                <w:b w:val="false"/>
                <w:bCs w:val="false"/>
                <w:sz w:val="17"/>
                <w:szCs w:val="17"/>
              </w:rPr>
              <w:t xml:space="preserve">機械設備や航空機、コンテナなど、動産を信託財産として受託し管理・処分する業務。</w:t>
            </w:r>
          </w:p>
        </w:tc>
      </w:tr>
      <w:tr>
        <w:trPr>
          <w:cantSplit/>
        </w:trPr>
        <w:tc>
          <w:tcPr>
            <w:tcW w:type="dxa" w:w="3200"/>
            <w:tcMar>
              <w:top w:type="dxa" w:w="60"/>
              <w:left w:type="dxa" w:w="80"/>
              <w:bottom w:type="dxa" w:w="60"/>
              <w:right w:type="dxa" w:w="80"/>
            </w:tcMar>
            <w:vAlign w:val="center"/>
          </w:tcPr>
          <w:p>
            <w:pPr>
              <w:spacing w:after="0" w:line="260"/>
              <w:jc w:val="left"/>
            </w:pPr>
            <w:r>
              <w:rPr>
                <w:b/>
                <w:bCs/>
                <w:sz w:val="16"/>
                <w:szCs w:val="16"/>
              </w:rPr>
              <w:t xml:space="preserve">9. 不動産の信託</w:t>
            </w:r>
          </w:p>
        </w:tc>
        <w:tc>
          <w:tcPr>
            <w:tcW w:type="dxa" w:w="7266"/>
            <w:tcMar>
              <w:top w:type="dxa" w:w="60"/>
              <w:left w:type="dxa" w:w="100"/>
              <w:bottom w:type="dxa" w:w="60"/>
              <w:right w:type="dxa" w:w="100"/>
            </w:tcMar>
            <w:vAlign w:val="center"/>
          </w:tcPr>
          <w:p>
            <w:pPr>
              <w:spacing w:after="0" w:line="260"/>
              <w:jc w:val="left"/>
            </w:pPr>
            <w:r>
              <w:rPr>
                <w:b w:val="false"/>
                <w:bCs w:val="false"/>
                <w:sz w:val="17"/>
                <w:szCs w:val="17"/>
              </w:rPr>
              <w:t xml:space="preserve">オフィスビルや商業施設等の不動産を信託財産として受託し、賃貸管理や処分を行う業務。不動産の証券化にも活用される。</w:t>
            </w:r>
          </w:p>
        </w:tc>
      </w:tr>
      <w:tr>
        <w:trPr>
          <w:cantSplit/>
        </w:trPr>
        <w:tc>
          <w:tcPr>
            <w:tcW w:type="dxa" w:w="3200"/>
            <w:tcMar>
              <w:top w:type="dxa" w:w="60"/>
              <w:left w:type="dxa" w:w="80"/>
              <w:bottom w:type="dxa" w:w="60"/>
              <w:right w:type="dxa" w:w="80"/>
            </w:tcMar>
            <w:vAlign w:val="center"/>
          </w:tcPr>
          <w:p>
            <w:pPr>
              <w:spacing w:after="0" w:line="260"/>
              <w:jc w:val="left"/>
            </w:pPr>
            <w:r>
              <w:rPr>
                <w:b/>
                <w:bCs/>
                <w:sz w:val="16"/>
                <w:szCs w:val="16"/>
              </w:rPr>
              <w:t xml:space="preserve">10. 土地・土地の賃借権等の信託</w:t>
            </w:r>
          </w:p>
        </w:tc>
        <w:tc>
          <w:tcPr>
            <w:tcW w:type="dxa" w:w="7266"/>
            <w:tcMar>
              <w:top w:type="dxa" w:w="60"/>
              <w:left w:type="dxa" w:w="100"/>
              <w:bottom w:type="dxa" w:w="60"/>
              <w:right w:type="dxa" w:w="100"/>
            </w:tcMar>
            <w:vAlign w:val="center"/>
          </w:tcPr>
          <w:p>
            <w:pPr>
              <w:spacing w:after="0" w:line="260"/>
              <w:jc w:val="left"/>
            </w:pPr>
            <w:r>
              <w:rPr>
                <w:b w:val="false"/>
                <w:bCs w:val="false"/>
                <w:sz w:val="17"/>
                <w:szCs w:val="17"/>
              </w:rPr>
              <w:t xml:space="preserve">土地そのものや借地権を信託財産として受託し、有効活用や処分を支援する業務。</w:t>
            </w:r>
          </w:p>
        </w:tc>
      </w:tr>
      <w:tr>
        <w:trPr>
          <w:cantSplit/>
        </w:trPr>
        <w:tc>
          <w:tcPr>
            <w:tcW w:type="dxa" w:w="10466"/>
            <w:gridSpan w:val="2"/>
            <w:shd w:fill="D9E2F3" w:val="clear"/>
            <w:tcMar>
              <w:top w:type="dxa" w:w="60"/>
              <w:left w:type="dxa" w:w="100"/>
              <w:bottom w:type="dxa" w:w="60"/>
              <w:right w:type="dxa" w:w="80"/>
            </w:tcMar>
          </w:tcPr>
          <w:p>
            <w:pPr>
              <w:spacing w:after="0" w:line="260"/>
              <w:jc w:val="left"/>
            </w:pPr>
            <w:r>
              <w:rPr>
                <w:b/>
                <w:bCs/>
                <w:color w:val="1F3864"/>
                <w:sz w:val="16"/>
                <w:szCs w:val="16"/>
              </w:rPr>
              <w:t xml:space="preserve">C. 個人向け併営業務（財産管理・資産承継）</w:t>
            </w:r>
          </w:p>
        </w:tc>
      </w:tr>
      <w:tr>
        <w:trPr>
          <w:cantSplit/>
        </w:trPr>
        <w:tc>
          <w:tcPr>
            <w:tcW w:type="dxa" w:w="3200"/>
            <w:tcMar>
              <w:top w:type="dxa" w:w="60"/>
              <w:left w:type="dxa" w:w="80"/>
              <w:bottom w:type="dxa" w:w="60"/>
              <w:right w:type="dxa" w:w="80"/>
            </w:tcMar>
            <w:vAlign w:val="center"/>
          </w:tcPr>
          <w:p>
            <w:pPr>
              <w:spacing w:after="0" w:line="260"/>
              <w:jc w:val="left"/>
            </w:pPr>
            <w:r>
              <w:rPr>
                <w:b/>
                <w:bCs/>
                <w:sz w:val="16"/>
                <w:szCs w:val="16"/>
              </w:rPr>
              <w:t xml:space="preserve">11. 遺言信託（遺言書の保管・執行）</w:t>
            </w:r>
          </w:p>
        </w:tc>
        <w:tc>
          <w:tcPr>
            <w:tcW w:type="dxa" w:w="7266"/>
            <w:tcMar>
              <w:top w:type="dxa" w:w="60"/>
              <w:left w:type="dxa" w:w="100"/>
              <w:bottom w:type="dxa" w:w="60"/>
              <w:right w:type="dxa" w:w="100"/>
            </w:tcMar>
            <w:vAlign w:val="center"/>
          </w:tcPr>
          <w:p>
            <w:pPr>
              <w:spacing w:after="0" w:line="260"/>
              <w:jc w:val="left"/>
            </w:pPr>
            <w:r>
              <w:rPr>
                <w:b w:val="false"/>
                <w:bCs w:val="false"/>
                <w:sz w:val="17"/>
                <w:szCs w:val="17"/>
              </w:rPr>
              <w:t xml:space="preserve">遺言書の作成支援・保管、および遺言者死亡後の遺言執行（財産の分配手続き）までを一貫してサポートする業務。</w:t>
            </w:r>
          </w:p>
        </w:tc>
      </w:tr>
      <w:tr>
        <w:trPr>
          <w:cantSplit/>
        </w:trPr>
        <w:tc>
          <w:tcPr>
            <w:tcW w:type="dxa" w:w="3200"/>
            <w:tcMar>
              <w:top w:type="dxa" w:w="60"/>
              <w:left w:type="dxa" w:w="80"/>
              <w:bottom w:type="dxa" w:w="60"/>
              <w:right w:type="dxa" w:w="80"/>
            </w:tcMar>
            <w:vAlign w:val="center"/>
          </w:tcPr>
          <w:p>
            <w:pPr>
              <w:spacing w:after="0" w:line="260"/>
              <w:jc w:val="left"/>
            </w:pPr>
            <w:r>
              <w:rPr>
                <w:b/>
                <w:bCs/>
                <w:sz w:val="16"/>
                <w:szCs w:val="16"/>
              </w:rPr>
              <w:t xml:space="preserve">12. 遺産整理業務</w:t>
            </w:r>
          </w:p>
        </w:tc>
        <w:tc>
          <w:tcPr>
            <w:tcW w:type="dxa" w:w="7266"/>
            <w:tcMar>
              <w:top w:type="dxa" w:w="60"/>
              <w:left w:type="dxa" w:w="100"/>
              <w:bottom w:type="dxa" w:w="60"/>
              <w:right w:type="dxa" w:w="100"/>
            </w:tcMar>
            <w:vAlign w:val="center"/>
          </w:tcPr>
          <w:p>
            <w:pPr>
              <w:spacing w:after="0" w:line="260"/>
              <w:jc w:val="left"/>
            </w:pPr>
            <w:r>
              <w:rPr>
                <w:b w:val="false"/>
                <w:bCs w:val="false"/>
                <w:sz w:val="17"/>
                <w:szCs w:val="17"/>
              </w:rPr>
              <w:t xml:space="preserve">遺言書がない場合等に、相続人の確定、相続財産の調査・評価、遺産分割協議のサポート、名義変更等の相続手続き全般を代行する業務。</w:t>
            </w:r>
          </w:p>
        </w:tc>
      </w:tr>
      <w:tr>
        <w:trPr>
          <w:cantSplit/>
        </w:trPr>
        <w:tc>
          <w:tcPr>
            <w:tcW w:type="dxa" w:w="3200"/>
            <w:tcMar>
              <w:top w:type="dxa" w:w="60"/>
              <w:left w:type="dxa" w:w="80"/>
              <w:bottom w:type="dxa" w:w="60"/>
              <w:right w:type="dxa" w:w="80"/>
            </w:tcMar>
            <w:vAlign w:val="center"/>
          </w:tcPr>
          <w:p>
            <w:pPr>
              <w:spacing w:after="0" w:line="260"/>
              <w:jc w:val="left"/>
            </w:pPr>
            <w:r>
              <w:rPr>
                <w:b/>
                <w:bCs/>
                <w:sz w:val="16"/>
                <w:szCs w:val="16"/>
              </w:rPr>
              <w:t xml:space="preserve">13. 暦年贈与信託</w:t>
            </w:r>
          </w:p>
        </w:tc>
        <w:tc>
          <w:tcPr>
            <w:tcW w:type="dxa" w:w="7266"/>
            <w:tcMar>
              <w:top w:type="dxa" w:w="60"/>
              <w:left w:type="dxa" w:w="100"/>
              <w:bottom w:type="dxa" w:w="60"/>
              <w:right w:type="dxa" w:w="100"/>
            </w:tcMar>
            <w:vAlign w:val="center"/>
          </w:tcPr>
          <w:p>
            <w:pPr>
              <w:spacing w:after="0" w:line="260"/>
              <w:jc w:val="left"/>
            </w:pPr>
            <w:r>
              <w:rPr>
                <w:b w:val="false"/>
                <w:bCs w:val="false"/>
                <w:sz w:val="17"/>
                <w:szCs w:val="17"/>
              </w:rPr>
              <w:t xml:space="preserve">毎年の贈与税非課税枠内で計画的に贈与を行うことを支援する信託商品。贈与契約書の作成や資金管理を信託銀行がサポートする。</w:t>
            </w:r>
          </w:p>
        </w:tc>
      </w:tr>
      <w:tr>
        <w:trPr>
          <w:cantSplit/>
        </w:trPr>
        <w:tc>
          <w:tcPr>
            <w:tcW w:type="dxa" w:w="3200"/>
            <w:tcMar>
              <w:top w:type="dxa" w:w="60"/>
              <w:left w:type="dxa" w:w="80"/>
              <w:bottom w:type="dxa" w:w="60"/>
              <w:right w:type="dxa" w:w="80"/>
            </w:tcMar>
            <w:vAlign w:val="center"/>
          </w:tcPr>
          <w:p>
            <w:pPr>
              <w:spacing w:after="0" w:line="260"/>
              <w:jc w:val="left"/>
            </w:pPr>
            <w:r>
              <w:rPr>
                <w:b/>
                <w:bCs/>
                <w:sz w:val="16"/>
                <w:szCs w:val="16"/>
              </w:rPr>
              <w:t xml:space="preserve">14. 教育資金贈与信託</w:t>
            </w:r>
          </w:p>
        </w:tc>
        <w:tc>
          <w:tcPr>
            <w:tcW w:type="dxa" w:w="7266"/>
            <w:tcMar>
              <w:top w:type="dxa" w:w="60"/>
              <w:left w:type="dxa" w:w="100"/>
              <w:bottom w:type="dxa" w:w="60"/>
              <w:right w:type="dxa" w:w="100"/>
            </w:tcMar>
            <w:vAlign w:val="center"/>
          </w:tcPr>
          <w:p>
            <w:pPr>
              <w:spacing w:after="0" w:line="260"/>
              <w:jc w:val="left"/>
            </w:pPr>
            <w:r>
              <w:rPr>
                <w:b w:val="false"/>
                <w:bCs w:val="false"/>
                <w:sz w:val="17"/>
                <w:szCs w:val="17"/>
              </w:rPr>
              <w:t xml:space="preserve">祖父母等から孫等への教育資金の一括贈与を、非課税制度を活用しながら管理する信託商品。</w:t>
            </w:r>
          </w:p>
        </w:tc>
      </w:tr>
      <w:tr>
        <w:trPr>
          <w:cantSplit/>
        </w:trPr>
        <w:tc>
          <w:tcPr>
            <w:tcW w:type="dxa" w:w="3200"/>
            <w:tcMar>
              <w:top w:type="dxa" w:w="60"/>
              <w:left w:type="dxa" w:w="80"/>
              <w:bottom w:type="dxa" w:w="60"/>
              <w:right w:type="dxa" w:w="80"/>
            </w:tcMar>
            <w:vAlign w:val="center"/>
          </w:tcPr>
          <w:p>
            <w:pPr>
              <w:spacing w:after="0" w:line="260"/>
              <w:jc w:val="left"/>
            </w:pPr>
            <w:r>
              <w:rPr>
                <w:b/>
                <w:bCs/>
                <w:sz w:val="16"/>
                <w:szCs w:val="16"/>
              </w:rPr>
              <w:t xml:space="preserve">15. 後見制度支援信託</w:t>
            </w:r>
          </w:p>
        </w:tc>
        <w:tc>
          <w:tcPr>
            <w:tcW w:type="dxa" w:w="7266"/>
            <w:tcMar>
              <w:top w:type="dxa" w:w="60"/>
              <w:left w:type="dxa" w:w="100"/>
              <w:bottom w:type="dxa" w:w="60"/>
              <w:right w:type="dxa" w:w="100"/>
            </w:tcMar>
            <w:vAlign w:val="center"/>
          </w:tcPr>
          <w:p>
            <w:pPr>
              <w:spacing w:after="0" w:line="260"/>
              <w:jc w:val="left"/>
            </w:pPr>
            <w:r>
              <w:rPr>
                <w:b w:val="false"/>
                <w:bCs w:val="false"/>
                <w:sz w:val="17"/>
                <w:szCs w:val="17"/>
              </w:rPr>
              <w:t xml:space="preserve">成年後見制度を利用する被後見人の財産のうち日常生活で使わない金銭を信託銀行に信託し、家庭裁判所の関与のもと不正な引き出しを防止する仕組み。</w:t>
            </w:r>
          </w:p>
        </w:tc>
      </w:tr>
      <w:tr>
        <w:trPr>
          <w:cantSplit/>
        </w:trPr>
        <w:tc>
          <w:tcPr>
            <w:tcW w:type="dxa" w:w="3200"/>
            <w:tcMar>
              <w:top w:type="dxa" w:w="60"/>
              <w:left w:type="dxa" w:w="80"/>
              <w:bottom w:type="dxa" w:w="60"/>
              <w:right w:type="dxa" w:w="80"/>
            </w:tcMar>
            <w:vAlign w:val="center"/>
          </w:tcPr>
          <w:p>
            <w:pPr>
              <w:spacing w:after="0" w:line="260"/>
              <w:jc w:val="left"/>
            </w:pPr>
            <w:r>
              <w:rPr>
                <w:b/>
                <w:bCs/>
                <w:sz w:val="16"/>
                <w:szCs w:val="16"/>
              </w:rPr>
              <w:t xml:space="preserve">16. 生命保険信託</w:t>
            </w:r>
          </w:p>
        </w:tc>
        <w:tc>
          <w:tcPr>
            <w:tcW w:type="dxa" w:w="7266"/>
            <w:tcMar>
              <w:top w:type="dxa" w:w="60"/>
              <w:left w:type="dxa" w:w="100"/>
              <w:bottom w:type="dxa" w:w="60"/>
              <w:right w:type="dxa" w:w="100"/>
            </w:tcMar>
            <w:vAlign w:val="center"/>
          </w:tcPr>
          <w:p>
            <w:pPr>
              <w:spacing w:after="0" w:line="260"/>
              <w:jc w:val="left"/>
            </w:pPr>
            <w:r>
              <w:rPr>
                <w:b w:val="false"/>
                <w:bCs w:val="false"/>
                <w:sz w:val="17"/>
                <w:szCs w:val="17"/>
              </w:rPr>
              <w:t xml:space="preserve">生命保険金の受取人を信託銀行とし、遺族（受益者）へ分割交付するなど、保険金の管理・給付方法を柔軟に設計できる仕組み。</w:t>
            </w:r>
          </w:p>
        </w:tc>
      </w:tr>
      <w:tr>
        <w:trPr>
          <w:cantSplit/>
        </w:trPr>
        <w:tc>
          <w:tcPr>
            <w:tcW w:type="dxa" w:w="3200"/>
            <w:tcMar>
              <w:top w:type="dxa" w:w="60"/>
              <w:left w:type="dxa" w:w="80"/>
              <w:bottom w:type="dxa" w:w="60"/>
              <w:right w:type="dxa" w:w="80"/>
            </w:tcMar>
            <w:vAlign w:val="center"/>
          </w:tcPr>
          <w:p>
            <w:pPr>
              <w:spacing w:after="0" w:line="260"/>
              <w:jc w:val="left"/>
            </w:pPr>
            <w:r>
              <w:rPr>
                <w:b/>
                <w:bCs/>
                <w:sz w:val="16"/>
                <w:szCs w:val="16"/>
              </w:rPr>
              <w:t xml:space="preserve">17. 家族信託（民事信託）関連コンサルティング</w:t>
            </w:r>
          </w:p>
        </w:tc>
        <w:tc>
          <w:tcPr>
            <w:tcW w:type="dxa" w:w="7266"/>
            <w:tcMar>
              <w:top w:type="dxa" w:w="60"/>
              <w:left w:type="dxa" w:w="100"/>
              <w:bottom w:type="dxa" w:w="60"/>
              <w:right w:type="dxa" w:w="100"/>
            </w:tcMar>
            <w:vAlign w:val="center"/>
          </w:tcPr>
          <w:p>
            <w:pPr>
              <w:spacing w:after="0" w:line="260"/>
              <w:jc w:val="left"/>
            </w:pPr>
            <w:r>
              <w:rPr>
                <w:b w:val="false"/>
                <w:bCs w:val="false"/>
                <w:sz w:val="17"/>
                <w:szCs w:val="17"/>
              </w:rPr>
              <w:t xml:space="preserve">認知症対策や資産承継のために家族間で信託契約を結ぶ「家族信託（民事信託）」について、契約設計の支援や専門家紹介等を行う業務。</w:t>
            </w:r>
          </w:p>
        </w:tc>
      </w:tr>
      <w:tr>
        <w:trPr>
          <w:cantSplit/>
        </w:trPr>
        <w:tc>
          <w:tcPr>
            <w:tcW w:type="dxa" w:w="10466"/>
            <w:gridSpan w:val="2"/>
            <w:shd w:fill="D9E2F3" w:val="clear"/>
            <w:tcMar>
              <w:top w:type="dxa" w:w="60"/>
              <w:left w:type="dxa" w:w="100"/>
              <w:bottom w:type="dxa" w:w="60"/>
              <w:right w:type="dxa" w:w="80"/>
            </w:tcMar>
          </w:tcPr>
          <w:p>
            <w:pPr>
              <w:spacing w:after="0" w:line="260"/>
              <w:jc w:val="left"/>
            </w:pPr>
            <w:r>
              <w:rPr>
                <w:b/>
                <w:bCs/>
                <w:color w:val="1F3864"/>
                <w:sz w:val="16"/>
                <w:szCs w:val="16"/>
              </w:rPr>
              <w:t xml:space="preserve">D. 法人向け併営業務</w:t>
            </w:r>
          </w:p>
        </w:tc>
      </w:tr>
      <w:tr>
        <w:trPr>
          <w:cantSplit/>
        </w:trPr>
        <w:tc>
          <w:tcPr>
            <w:tcW w:type="dxa" w:w="3200"/>
            <w:tcMar>
              <w:top w:type="dxa" w:w="60"/>
              <w:left w:type="dxa" w:w="80"/>
              <w:bottom w:type="dxa" w:w="60"/>
              <w:right w:type="dxa" w:w="80"/>
            </w:tcMar>
            <w:vAlign w:val="center"/>
          </w:tcPr>
          <w:p>
            <w:pPr>
              <w:spacing w:after="0" w:line="260"/>
              <w:jc w:val="left"/>
            </w:pPr>
            <w:r>
              <w:rPr>
                <w:b/>
                <w:bCs/>
                <w:sz w:val="16"/>
                <w:szCs w:val="16"/>
              </w:rPr>
              <w:t xml:space="preserve">18. 証券代行業務（株主名簿管理人）</w:t>
            </w:r>
          </w:p>
        </w:tc>
        <w:tc>
          <w:tcPr>
            <w:tcW w:type="dxa" w:w="7266"/>
            <w:tcMar>
              <w:top w:type="dxa" w:w="60"/>
              <w:left w:type="dxa" w:w="100"/>
              <w:bottom w:type="dxa" w:w="60"/>
              <w:right w:type="dxa" w:w="100"/>
            </w:tcMar>
            <w:vAlign w:val="center"/>
          </w:tcPr>
          <w:p>
            <w:pPr>
              <w:spacing w:after="0" w:line="260"/>
              <w:jc w:val="left"/>
            </w:pPr>
            <w:r>
              <w:rPr>
                <w:b w:val="false"/>
                <w:bCs w:val="false"/>
                <w:sz w:val="17"/>
                <w:szCs w:val="17"/>
              </w:rPr>
              <w:t xml:space="preserve">上場企業に代わり株主名簿の管理、株主総会招集通知の発送、配当金の支払いなどの事務を代行する業務（株主名簿管理人）。</w:t>
            </w:r>
          </w:p>
        </w:tc>
      </w:tr>
      <w:tr>
        <w:trPr>
          <w:cantSplit/>
        </w:trPr>
        <w:tc>
          <w:tcPr>
            <w:tcW w:type="dxa" w:w="3200"/>
            <w:tcMar>
              <w:top w:type="dxa" w:w="60"/>
              <w:left w:type="dxa" w:w="80"/>
              <w:bottom w:type="dxa" w:w="60"/>
              <w:right w:type="dxa" w:w="80"/>
            </w:tcMar>
            <w:vAlign w:val="center"/>
          </w:tcPr>
          <w:p>
            <w:pPr>
              <w:spacing w:after="0" w:line="260"/>
              <w:jc w:val="left"/>
            </w:pPr>
            <w:r>
              <w:rPr>
                <w:b/>
                <w:bCs/>
                <w:sz w:val="16"/>
                <w:szCs w:val="16"/>
              </w:rPr>
              <w:t xml:space="preserve">19. 企業年金信託（DB・DC運営管理 等）</w:t>
            </w:r>
          </w:p>
        </w:tc>
        <w:tc>
          <w:tcPr>
            <w:tcW w:type="dxa" w:w="7266"/>
            <w:tcMar>
              <w:top w:type="dxa" w:w="60"/>
              <w:left w:type="dxa" w:w="100"/>
              <w:bottom w:type="dxa" w:w="60"/>
              <w:right w:type="dxa" w:w="100"/>
            </w:tcMar>
            <w:vAlign w:val="center"/>
          </w:tcPr>
          <w:p>
            <w:pPr>
              <w:spacing w:after="0" w:line="260"/>
              <w:jc w:val="left"/>
            </w:pPr>
            <w:r>
              <w:rPr>
                <w:b w:val="false"/>
                <w:bCs w:val="false"/>
                <w:sz w:val="17"/>
                <w:szCs w:val="17"/>
              </w:rPr>
              <w:t xml:space="preserve">企業年金（確定給付企業年金・確定拠出年金）の資産を受託し、年金資産の管理・運用、給付事務、確定拠出年金の運営管理業務等を行う。</w:t>
            </w:r>
          </w:p>
        </w:tc>
      </w:tr>
      <w:tr>
        <w:trPr>
          <w:cantSplit/>
        </w:trPr>
        <w:tc>
          <w:tcPr>
            <w:tcW w:type="dxa" w:w="3200"/>
            <w:tcMar>
              <w:top w:type="dxa" w:w="60"/>
              <w:left w:type="dxa" w:w="80"/>
              <w:bottom w:type="dxa" w:w="60"/>
              <w:right w:type="dxa" w:w="80"/>
            </w:tcMar>
            <w:vAlign w:val="center"/>
          </w:tcPr>
          <w:p>
            <w:pPr>
              <w:spacing w:after="0" w:line="260"/>
              <w:jc w:val="left"/>
            </w:pPr>
            <w:r>
              <w:rPr>
                <w:b/>
                <w:bCs/>
                <w:sz w:val="16"/>
                <w:szCs w:val="16"/>
              </w:rPr>
              <w:t xml:space="preserve">20. 資産流動化・証券化業務</w:t>
            </w:r>
          </w:p>
        </w:tc>
        <w:tc>
          <w:tcPr>
            <w:tcW w:type="dxa" w:w="7266"/>
            <w:tcMar>
              <w:top w:type="dxa" w:w="60"/>
              <w:left w:type="dxa" w:w="100"/>
              <w:bottom w:type="dxa" w:w="60"/>
              <w:right w:type="dxa" w:w="100"/>
            </w:tcMar>
            <w:vAlign w:val="center"/>
          </w:tcPr>
          <w:p>
            <w:pPr>
              <w:spacing w:after="0" w:line="260"/>
              <w:jc w:val="left"/>
            </w:pPr>
            <w:r>
              <w:rPr>
                <w:b w:val="false"/>
                <w:bCs w:val="false"/>
                <w:sz w:val="17"/>
                <w:szCs w:val="17"/>
              </w:rPr>
              <w:t xml:space="preserve">不動産や金銭債権を信託の仕組みで証券化し、資金調達や投資商品として組成する業務（SPCスキームやREIT等の基盤となる）。</w:t>
            </w:r>
          </w:p>
        </w:tc>
      </w:tr>
      <w:tr>
        <w:trPr>
          <w:cantSplit/>
        </w:trPr>
        <w:tc>
          <w:tcPr>
            <w:tcW w:type="dxa" w:w="3200"/>
            <w:tcMar>
              <w:top w:type="dxa" w:w="60"/>
              <w:left w:type="dxa" w:w="80"/>
              <w:bottom w:type="dxa" w:w="60"/>
              <w:right w:type="dxa" w:w="80"/>
            </w:tcMar>
            <w:vAlign w:val="center"/>
          </w:tcPr>
          <w:p>
            <w:pPr>
              <w:spacing w:after="0" w:line="260"/>
              <w:jc w:val="left"/>
            </w:pPr>
            <w:r>
              <w:rPr>
                <w:b/>
                <w:bCs/>
                <w:sz w:val="16"/>
                <w:szCs w:val="16"/>
              </w:rPr>
              <w:t xml:space="preserve">21. 資産管理（カストディ）業務</w:t>
            </w:r>
          </w:p>
        </w:tc>
        <w:tc>
          <w:tcPr>
            <w:tcW w:type="dxa" w:w="7266"/>
            <w:tcMar>
              <w:top w:type="dxa" w:w="60"/>
              <w:left w:type="dxa" w:w="100"/>
              <w:bottom w:type="dxa" w:w="60"/>
              <w:right w:type="dxa" w:w="100"/>
            </w:tcMar>
            <w:vAlign w:val="center"/>
          </w:tcPr>
          <w:p>
            <w:pPr>
              <w:spacing w:after="0" w:line="260"/>
              <w:jc w:val="left"/>
            </w:pPr>
            <w:r>
              <w:rPr>
                <w:b w:val="false"/>
                <w:bCs w:val="false"/>
                <w:sz w:val="17"/>
                <w:szCs w:val="17"/>
              </w:rPr>
              <w:t xml:space="preserve">機関投資家等に代わり、有価証券の保管・決済・残高管理・議決権行使の事務代行などを行う業務。</w:t>
            </w:r>
          </w:p>
        </w:tc>
      </w:tr>
      <w:tr>
        <w:trPr>
          <w:cantSplit/>
        </w:trPr>
        <w:tc>
          <w:tcPr>
            <w:tcW w:type="dxa" w:w="3200"/>
            <w:tcMar>
              <w:top w:type="dxa" w:w="60"/>
              <w:left w:type="dxa" w:w="80"/>
              <w:bottom w:type="dxa" w:w="60"/>
              <w:right w:type="dxa" w:w="80"/>
            </w:tcMar>
            <w:vAlign w:val="center"/>
          </w:tcPr>
          <w:p>
            <w:pPr>
              <w:spacing w:after="0" w:line="260"/>
              <w:jc w:val="left"/>
            </w:pPr>
            <w:r>
              <w:rPr>
                <w:b/>
                <w:bCs/>
                <w:sz w:val="16"/>
                <w:szCs w:val="16"/>
              </w:rPr>
              <w:t xml:space="preserve">22. 証券投資信託の受託業務（信託財産の保管・管理）</w:t>
            </w:r>
          </w:p>
        </w:tc>
        <w:tc>
          <w:tcPr>
            <w:tcW w:type="dxa" w:w="7266"/>
            <w:tcMar>
              <w:top w:type="dxa" w:w="60"/>
              <w:left w:type="dxa" w:w="100"/>
              <w:bottom w:type="dxa" w:w="60"/>
              <w:right w:type="dxa" w:w="100"/>
            </w:tcMar>
            <w:vAlign w:val="center"/>
          </w:tcPr>
          <w:p>
            <w:pPr>
              <w:spacing w:after="0" w:line="260"/>
              <w:jc w:val="left"/>
            </w:pPr>
            <w:r>
              <w:rPr>
                <w:b w:val="false"/>
                <w:bCs w:val="false"/>
                <w:sz w:val="17"/>
                <w:szCs w:val="17"/>
              </w:rPr>
              <w:t xml:space="preserve">投資信託（ファンド）の信託財産を保管し、資産運用会社の指図に基づき売買執行・計理・基準価額算出等を行う業務。</w:t>
            </w:r>
          </w:p>
        </w:tc>
      </w:tr>
      <w:tr>
        <w:trPr>
          <w:cantSplit/>
        </w:trPr>
        <w:tc>
          <w:tcPr>
            <w:tcW w:type="dxa" w:w="3200"/>
            <w:tcMar>
              <w:top w:type="dxa" w:w="60"/>
              <w:left w:type="dxa" w:w="80"/>
              <w:bottom w:type="dxa" w:w="60"/>
              <w:right w:type="dxa" w:w="80"/>
            </w:tcMar>
            <w:vAlign w:val="center"/>
          </w:tcPr>
          <w:p>
            <w:pPr>
              <w:spacing w:after="0" w:line="260"/>
              <w:jc w:val="left"/>
            </w:pPr>
            <w:r>
              <w:rPr>
                <w:b/>
                <w:bCs/>
                <w:sz w:val="16"/>
                <w:szCs w:val="16"/>
              </w:rPr>
              <w:t xml:space="preserve">23. 不動産業務（仲介・鑑定評価・有効活用コンサル）</w:t>
            </w:r>
          </w:p>
        </w:tc>
        <w:tc>
          <w:tcPr>
            <w:tcW w:type="dxa" w:w="7266"/>
            <w:tcMar>
              <w:top w:type="dxa" w:w="60"/>
              <w:left w:type="dxa" w:w="100"/>
              <w:bottom w:type="dxa" w:w="60"/>
              <w:right w:type="dxa" w:w="100"/>
            </w:tcMar>
            <w:vAlign w:val="center"/>
          </w:tcPr>
          <w:p>
            <w:pPr>
              <w:spacing w:after="0" w:line="260"/>
              <w:jc w:val="left"/>
            </w:pPr>
            <w:r>
              <w:rPr>
                <w:b w:val="false"/>
                <w:bCs w:val="false"/>
                <w:sz w:val="17"/>
                <w:szCs w:val="17"/>
              </w:rPr>
              <w:t xml:space="preserve">不動産の売買仲介、鑑定評価、有効活用に関するコンサルティングなど、信託機能を活かした総合不動産サービス。</w:t>
            </w:r>
          </w:p>
        </w:tc>
      </w:tr>
      <w:tr>
        <w:trPr>
          <w:cantSplit/>
        </w:trPr>
        <w:tc>
          <w:tcPr>
            <w:tcW w:type="dxa" w:w="3200"/>
            <w:tcMar>
              <w:top w:type="dxa" w:w="60"/>
              <w:left w:type="dxa" w:w="80"/>
              <w:bottom w:type="dxa" w:w="60"/>
              <w:right w:type="dxa" w:w="80"/>
            </w:tcMar>
            <w:vAlign w:val="center"/>
          </w:tcPr>
          <w:p>
            <w:pPr>
              <w:spacing w:after="0" w:line="260"/>
              <w:jc w:val="left"/>
            </w:pPr>
            <w:r>
              <w:rPr>
                <w:b/>
                <w:bCs/>
                <w:sz w:val="16"/>
                <w:szCs w:val="16"/>
              </w:rPr>
              <w:t xml:space="preserve">24. 不動産投資顧問業務（私募REIT・J-REIT運用 等）</w:t>
            </w:r>
          </w:p>
        </w:tc>
        <w:tc>
          <w:tcPr>
            <w:tcW w:type="dxa" w:w="7266"/>
            <w:tcMar>
              <w:top w:type="dxa" w:w="60"/>
              <w:left w:type="dxa" w:w="100"/>
              <w:bottom w:type="dxa" w:w="60"/>
              <w:right w:type="dxa" w:w="100"/>
            </w:tcMar>
            <w:vAlign w:val="center"/>
          </w:tcPr>
          <w:p>
            <w:pPr>
              <w:spacing w:after="0" w:line="260"/>
              <w:jc w:val="left"/>
            </w:pPr>
            <w:r>
              <w:rPr>
                <w:b w:val="false"/>
                <w:bCs w:val="false"/>
                <w:sz w:val="17"/>
                <w:szCs w:val="17"/>
              </w:rPr>
              <w:t xml:space="preserve">私募REITやJ-REIT等の不動産投資法人・ファンドの資産運用会社として、物件の取得・運用・売却の意思決定を行う業務。</w:t>
            </w:r>
          </w:p>
        </w:tc>
      </w:tr>
      <w:tr>
        <w:trPr>
          <w:cantSplit/>
        </w:trPr>
        <w:tc>
          <w:tcPr>
            <w:tcW w:type="dxa" w:w="3200"/>
            <w:tcMar>
              <w:top w:type="dxa" w:w="60"/>
              <w:left w:type="dxa" w:w="80"/>
              <w:bottom w:type="dxa" w:w="60"/>
              <w:right w:type="dxa" w:w="80"/>
            </w:tcMar>
            <w:vAlign w:val="center"/>
          </w:tcPr>
          <w:p>
            <w:pPr>
              <w:spacing w:after="0" w:line="260"/>
              <w:jc w:val="left"/>
            </w:pPr>
            <w:r>
              <w:rPr>
                <w:b/>
                <w:bCs/>
                <w:sz w:val="16"/>
                <w:szCs w:val="16"/>
              </w:rPr>
              <w:t xml:space="preserve">25. プライベートバンキング業務</w:t>
            </w:r>
          </w:p>
        </w:tc>
        <w:tc>
          <w:tcPr>
            <w:tcW w:type="dxa" w:w="7266"/>
            <w:tcMar>
              <w:top w:type="dxa" w:w="60"/>
              <w:left w:type="dxa" w:w="100"/>
              <w:bottom w:type="dxa" w:w="60"/>
              <w:right w:type="dxa" w:w="100"/>
            </w:tcMar>
            <w:vAlign w:val="center"/>
          </w:tcPr>
          <w:p>
            <w:pPr>
              <w:spacing w:after="0" w:line="260"/>
              <w:jc w:val="left"/>
            </w:pPr>
            <w:r>
              <w:rPr>
                <w:b w:val="false"/>
                <w:bCs w:val="false"/>
                <w:sz w:val="17"/>
                <w:szCs w:val="17"/>
              </w:rPr>
              <w:t xml:space="preserve">富裕層向けに、資産運用・資産承継・税務相談等を組み合わせた総合的な資産管理サービスを提供する業務。</w:t>
            </w:r>
          </w:p>
        </w:tc>
      </w:tr>
    </w:tbl>
    <w:sectPr>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2026-08-22T14:50:46.972Z</dcterms:created>
  <dcterms:modified xsi:type="dcterms:W3CDTF">2026-08-22T14:50:46.972Z</dcterms:modified>
</cp:coreProperties>
</file>

<file path=docProps/custom.xml><?xml version="1.0" encoding="utf-8"?>
<Properties xmlns="http://schemas.openxmlformats.org/officeDocument/2006/custom-properties" xmlns:vt="http://schemas.openxmlformats.org/officeDocument/2006/docPropsVTypes"/>
</file>