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snapToGrid w:val="false"/>
          <w:color w:val="2F5496"/>
          <w:sz w:val="22"/>
          <w:szCs w:val="22"/>
        </w:rPr>
        <w:t xml:space="preserve">まず押さえておきたい違い：フィデューシャリー・デューティー（受託者責任）の有無</w:t>
      </w:r>
    </w:p>
    <w:p>
      <w:pPr>
        <w:spacing w:after="100" w:line="264"/>
      </w:pPr>
      <w:r>
        <w:rPr>
          <w:snapToGrid w:val="false"/>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資産運用業務（Section A）</w:t>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アセットマネジメント業務（Section B）</w:t>
            </w:r>
          </w:p>
        </w:tc>
        <w:tc>
          <w:tcPr>
            <w:tcW w:type="dxa" w:w="4312"/>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マーケット業務（Section C・D）</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自己勘定取引＝principal（信認義務なし）</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銀行法10条2項（付随業務）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bl>
    <w:p>
      <w:pPr>
        <w:spacing w:after="60" w:before="140"/>
      </w:pPr>
    </w:p>
    <w:p>
      <w:pPr>
        <w:spacing w:after="40" w:line="240"/>
        <w:ind w:left="260"/>
      </w:pPr>
      <w:r>
        <w:rPr>
          <w:b w:val="false"/>
          <w:bCs w:val="false"/>
          <w:snapToGrid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napToGrid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pStyle w:val="Heading2"/>
        <w:keepNext w:val="false"/>
        <w:pageBreakBefore/>
        <w:spacing w:after="80" w:before="160"/>
      </w:pPr>
      <w:r>
        <w:rPr>
          <w:b/>
          <w:bCs/>
          <w:snapToGrid w:val="false"/>
          <w:color w:val="2F5496"/>
          <w:sz w:val="22"/>
          <w:szCs w:val="22"/>
        </w:rPr>
        <w:t xml:space="preserve">全体像：「資金の出どころ」×「頭脳の所在」のマトリックス</w:t>
      </w:r>
    </w:p>
    <w:p>
      <w:pPr>
        <w:spacing w:after="100" w:line="264"/>
      </w:pPr>
      <w:r>
        <w:rPr>
          <w:snapToGrid w:val="false"/>
          <w:sz w:val="20"/>
          <w:szCs w:val="20"/>
        </w:rPr>
        <w:t xml:space="preserve">業務を分類する軸は2つあります。軸①＝資金の出どころ（顧客の信託資産か、銀行自身の資産か）と、軸②＝頭脳の所在（投資判断を行う頭脳が、資産を保管する金庫と同一法人か、別法人か）。この2軸の組み合わせが、そのまま下の比較表のSection A〜Dに対応します。もう1つ、資産クラス（伝統的市場性資産かオルタナティブ資産か）という軸もありますが、これは各Sectionの中で行を分けることで表現しています。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000"/>
        <w:gridCol w:w="6219"/>
        <w:gridCol w:w="6219"/>
      </w:tblGrid>
      <w:tr>
        <w:trPr>
          <w:tblHeader/>
        </w:trPr>
        <w:tc>
          <w:tcPr>
            <w:tcW w:type="dxa" w:w="3000"/>
            <w:shd w:fill="F2F2F2" w:val="clear"/>
            <w:tcMar>
              <w:top w:type="dxa" w:w="90"/>
              <w:left w:type="dxa" w:w="90"/>
              <w:bottom w:type="dxa" w:w="90"/>
              <w:right w:type="dxa" w:w="90"/>
            </w:tcMar>
            <w:vAlign w:val="center"/>
          </w:tcPr>
          <w:p>
            <w:pPr>
              <w:spacing w:after="0" w:line="260"/>
              <w:jc w:val="left"/>
            </w:pPr>
            <w:r>
              <w:rPr>
                <w:b/>
                <w:bCs/>
                <w:snapToGrid w:val="false"/>
                <w:color w:val="555555"/>
                <w:sz w:val="14"/>
                <w:szCs w:val="14"/>
              </w:rPr>
              <w:t xml:space="preserve">軸②（行）＼軸①（列）</w:t>
            </w:r>
          </w:p>
        </w:tc>
        <w:tc>
          <w:tcPr>
            <w:tcW w:type="dxa" w:w="6219"/>
            <w:shd w:fill="2F5496" w:val="clear"/>
            <w:tcMar>
              <w:top w:type="dxa" w:w="90"/>
              <w:left w:type="dxa" w:w="90"/>
              <w:bottom w:type="dxa" w:w="90"/>
              <w:right w:type="dxa" w:w="90"/>
            </w:tcMar>
            <w:vAlign w:val="center"/>
          </w:tcPr>
          <w:p>
            <w:pPr>
              <w:spacing w:after="0" w:line="260"/>
              <w:jc w:val="center"/>
            </w:pPr>
            <w:r>
              <w:rPr>
                <w:b/>
                <w:bCs/>
                <w:snapToGrid w:val="false"/>
                <w:color w:val="FFFFFF"/>
                <w:sz w:val="17"/>
                <w:szCs w:val="17"/>
              </w:rPr>
              <w:t xml:space="preserve">①顧客の信託資産</w:t>
            </w:r>
          </w:p>
        </w:tc>
        <w:tc>
          <w:tcPr>
            <w:tcW w:type="dxa" w:w="6219"/>
            <w:shd w:fill="2F5496" w:val="clear"/>
            <w:tcMar>
              <w:top w:type="dxa" w:w="90"/>
              <w:left w:type="dxa" w:w="90"/>
              <w:bottom w:type="dxa" w:w="90"/>
              <w:right w:type="dxa" w:w="90"/>
            </w:tcMar>
            <w:vAlign w:val="center"/>
          </w:tcPr>
          <w:p>
            <w:pPr>
              <w:spacing w:after="0" w:line="260"/>
              <w:jc w:val="center"/>
            </w:pPr>
            <w:r>
              <w:rPr>
                <w:b/>
                <w:bCs/>
                <w:snapToGrid w:val="false"/>
                <w:color w:val="FFFFFF"/>
                <w:sz w:val="17"/>
                <w:szCs w:val="17"/>
              </w:rPr>
              <w:t xml:space="preserve">②銀行自身の資産（自己資金）</w:t>
            </w:r>
          </w:p>
        </w:tc>
      </w:tr>
      <w:tr>
        <w:trPr>
          <w:cantSplit/>
        </w:trPr>
        <w:tc>
          <w:tcPr>
            <w:tcW w:type="dxa" w:w="3000"/>
            <w:shd w:fill="F2F2F2" w:val="clear"/>
            <w:tcMar>
              <w:top w:type="dxa" w:w="90"/>
              <w:left w:type="dxa" w:w="90"/>
              <w:bottom w:type="dxa" w:w="90"/>
              <w:right w:type="dxa" w:w="90"/>
            </w:tcMar>
            <w:vAlign w:val="center"/>
          </w:tcPr>
          <w:p>
            <w:pPr>
              <w:spacing w:after="0" w:line="260"/>
              <w:jc w:val="left"/>
            </w:pPr>
            <w:r>
              <w:rPr>
                <w:b/>
                <w:bCs/>
                <w:snapToGrid w:val="false"/>
                <w:sz w:val="16"/>
                <w:szCs w:val="16"/>
              </w:rPr>
              <w:t xml:space="preserve">頭脳＝自社</w:t>
            </w:r>
            <w:r>
              <w:rPr>
                <w:b/>
                <w:bCs/>
                <w:snapToGrid w:val="false"/>
                <w:sz w:val="16"/>
                <w:szCs w:val="16"/>
              </w:rPr>
              <w:br/>
              <w:t xml:space="preserve">（金庫と同一法人）</w:t>
            </w:r>
          </w:p>
        </w:tc>
        <w:tc>
          <w:tcPr>
            <w:tcW w:type="dxa" w:w="6219"/>
            <w:tcMar>
              <w:top w:type="dxa" w:w="90"/>
              <w:left w:type="dxa" w:w="110"/>
              <w:bottom w:type="dxa" w:w="90"/>
              <w:right w:type="dxa" w:w="110"/>
            </w:tcMar>
            <w:vAlign w:val="center"/>
          </w:tcPr>
          <w:p>
            <w:pPr>
              <w:spacing w:after="0" w:line="260"/>
              <w:jc w:val="left"/>
            </w:pPr>
            <w:r>
              <w:rPr>
                <w:b w:val="false"/>
                <w:bCs w:val="false"/>
                <w:snapToGrid w:val="false"/>
                <w:sz w:val="15"/>
                <w:szCs w:val="15"/>
              </w:rPr>
              <w:t xml:space="preserve">Section A：信託銀行本体が単独で完結</w:t>
            </w:r>
            <w:r>
              <w:rPr>
                <w:b w:val="false"/>
                <w:bCs w:val="false"/>
                <w:snapToGrid w:val="false"/>
                <w:sz w:val="15"/>
                <w:szCs w:val="15"/>
              </w:rPr>
              <w:br/>
              <w:t xml:space="preserve">（1-3番：自家運用、プライベートアセット受託）</w:t>
            </w:r>
            <w:r>
              <w:rPr>
                <w:b w:val="false"/>
                <w:bCs w:val="false"/>
                <w:snapToGrid w:val="false"/>
                <w:sz w:val="15"/>
                <w:szCs w:val="15"/>
              </w:rPr>
              <w:br/>
              <w:t xml:space="preserve">主体：信託銀行（本体）</w:t>
            </w:r>
          </w:p>
        </w:tc>
        <w:tc>
          <w:tcPr>
            <w:tcW w:type="dxa" w:w="6219"/>
            <w:tcMar>
              <w:top w:type="dxa" w:w="90"/>
              <w:left w:type="dxa" w:w="110"/>
              <w:bottom w:type="dxa" w:w="90"/>
              <w:right w:type="dxa" w:w="110"/>
            </w:tcMar>
            <w:vAlign w:val="center"/>
          </w:tcPr>
          <w:p>
            <w:pPr>
              <w:spacing w:after="0" w:line="260"/>
              <w:jc w:val="left"/>
            </w:pPr>
            <w:r>
              <w:rPr>
                <w:b w:val="false"/>
                <w:bCs w:val="false"/>
                <w:snapToGrid w:val="false"/>
                <w:sz w:val="15"/>
                <w:szCs w:val="15"/>
              </w:rPr>
              <w:t xml:space="preserve">Section C：銀行・信託銀行が自己勘定で完結</w:t>
            </w:r>
            <w:r>
              <w:rPr>
                <w:b w:val="false"/>
                <w:bCs w:val="false"/>
                <w:snapToGrid w:val="false"/>
                <w:sz w:val="15"/>
                <w:szCs w:val="15"/>
              </w:rPr>
              <w:br/>
              <w:t xml:space="preserve">（8-16番：ALM・トレーディング・伝統資産・オルタナティブ）</w:t>
            </w:r>
            <w:r>
              <w:rPr>
                <w:b w:val="false"/>
                <w:bCs w:val="false"/>
                <w:snapToGrid w:val="false"/>
                <w:sz w:val="15"/>
                <w:szCs w:val="15"/>
              </w:rPr>
              <w:br/>
              <w:t xml:space="preserve">主体：銀行／信託銀行（市場部門）</w:t>
            </w:r>
          </w:p>
        </w:tc>
      </w:tr>
      <w:tr>
        <w:trPr>
          <w:cantSplit/>
        </w:trPr>
        <w:tc>
          <w:tcPr>
            <w:tcW w:type="dxa" w:w="3000"/>
            <w:shd w:fill="F2F2F2" w:val="clear"/>
            <w:tcMar>
              <w:top w:type="dxa" w:w="90"/>
              <w:left w:type="dxa" w:w="90"/>
              <w:bottom w:type="dxa" w:w="90"/>
              <w:right w:type="dxa" w:w="90"/>
            </w:tcMar>
            <w:vAlign w:val="center"/>
          </w:tcPr>
          <w:p>
            <w:pPr>
              <w:spacing w:after="0" w:line="260"/>
              <w:jc w:val="left"/>
            </w:pPr>
            <w:r>
              <w:rPr>
                <w:b/>
                <w:bCs/>
                <w:snapToGrid w:val="false"/>
                <w:sz w:val="16"/>
                <w:szCs w:val="16"/>
              </w:rPr>
              <w:t xml:space="preserve">頭脳＝別法人</w:t>
            </w:r>
            <w:r>
              <w:rPr>
                <w:b/>
                <w:bCs/>
                <w:snapToGrid w:val="false"/>
                <w:sz w:val="16"/>
                <w:szCs w:val="16"/>
              </w:rPr>
              <w:br/>
              <w:t xml:space="preserve">（アセットマネジメント会社等）</w:t>
            </w:r>
          </w:p>
        </w:tc>
        <w:tc>
          <w:tcPr>
            <w:tcW w:type="dxa" w:w="6219"/>
            <w:tcMar>
              <w:top w:type="dxa" w:w="90"/>
              <w:left w:type="dxa" w:w="110"/>
              <w:bottom w:type="dxa" w:w="90"/>
              <w:right w:type="dxa" w:w="110"/>
            </w:tcMar>
            <w:vAlign w:val="center"/>
          </w:tcPr>
          <w:p>
            <w:pPr>
              <w:spacing w:after="0" w:line="260"/>
              <w:jc w:val="left"/>
            </w:pPr>
            <w:r>
              <w:rPr>
                <w:b w:val="false"/>
                <w:bCs w:val="false"/>
                <w:snapToGrid w:val="false"/>
                <w:sz w:val="15"/>
                <w:szCs w:val="15"/>
              </w:rPr>
              <w:t xml:space="preserve">Section B：信託銀行（金庫）＋AM会社等（頭脳）</w:t>
            </w:r>
            <w:r>
              <w:rPr>
                <w:b w:val="false"/>
                <w:bCs w:val="false"/>
                <w:snapToGrid w:val="false"/>
                <w:sz w:val="15"/>
                <w:szCs w:val="15"/>
              </w:rPr>
              <w:br/>
              <w:t xml:space="preserve">（4-7番：公募投信・DC・機関投資家向け・PEゲートキーパー）</w:t>
            </w:r>
            <w:r>
              <w:rPr>
                <w:b w:val="false"/>
                <w:bCs w:val="false"/>
                <w:snapToGrid w:val="false"/>
                <w:sz w:val="15"/>
                <w:szCs w:val="15"/>
              </w:rPr>
              <w:br/>
              <w:t xml:space="preserve">主体：信託銀行＋グループAM会社／専業ゲートキーパー子会社</w:t>
            </w:r>
          </w:p>
        </w:tc>
        <w:tc>
          <w:tcPr>
            <w:tcW w:type="dxa" w:w="6219"/>
            <w:tcMar>
              <w:top w:type="dxa" w:w="90"/>
              <w:left w:type="dxa" w:w="110"/>
              <w:bottom w:type="dxa" w:w="90"/>
              <w:right w:type="dxa" w:w="110"/>
            </w:tcMar>
            <w:vAlign w:val="center"/>
          </w:tcPr>
          <w:p>
            <w:pPr>
              <w:spacing w:after="0" w:line="260"/>
              <w:jc w:val="left"/>
            </w:pPr>
            <w:r>
              <w:rPr>
                <w:b w:val="false"/>
                <w:bCs w:val="false"/>
                <w:snapToGrid w:val="false"/>
                <w:sz w:val="15"/>
                <w:szCs w:val="15"/>
              </w:rPr>
              <w:t xml:space="preserve">Section D：銀行（金庫・出資者）＋専業投資子会社（頭脳）</w:t>
            </w:r>
            <w:r>
              <w:rPr>
                <w:b w:val="false"/>
                <w:bCs w:val="false"/>
                <w:snapToGrid w:val="false"/>
                <w:sz w:val="15"/>
                <w:szCs w:val="15"/>
              </w:rPr>
              <w:br/>
              <w:t xml:space="preserve">（17番：例）JPインベストメント。規模は限定的）</w:t>
            </w:r>
            <w:r>
              <w:rPr>
                <w:b w:val="false"/>
                <w:bCs w:val="false"/>
                <w:snapToGrid w:val="false"/>
                <w:sz w:val="15"/>
                <w:szCs w:val="15"/>
              </w:rPr>
              <w:br/>
              <w:t xml:space="preserve">主体：銀行＋専業投資子会社</w:t>
            </w:r>
          </w:p>
        </w:tc>
      </w:tr>
    </w:tbl>
    <w:p>
      <w:pPr>
        <w:spacing w:after="60" w:before="100"/>
      </w:pPr>
    </w:p>
    <w:p>
      <w:pPr>
        <w:spacing w:after="40" w:line="240"/>
        <w:ind w:left="260"/>
      </w:pPr>
      <w:r>
        <w:rPr>
          <w:b w:val="false"/>
          <w:bCs w:val="false"/>
          <w:snapToGrid w:val="false"/>
          <w:sz w:val="19"/>
          <w:szCs w:val="19"/>
        </w:rPr>
        <w:t xml:space="preserve">・軸②は「頭脳が金庫と同一法人か、別法人か」の1本の軸で、資金が誰のものか（軸①）とは独立している。Section BとDはどちらも「頭脳＝別法人」という同じパターンで、違いは資金の出どころだけ。Section AとCも同様に「頭脳＝自社」という同じパターンの違いにすぎない。</w:t>
      </w:r>
    </w:p>
    <w:p>
      <w:pPr>
        <w:spacing w:after="40" w:line="240"/>
        <w:ind w:left="260"/>
      </w:pPr>
      <w:r>
        <w:rPr>
          <w:b w:val="false"/>
          <w:bCs w:val="false"/>
          <w:snapToGrid w:val="false"/>
          <w:sz w:val="19"/>
          <w:szCs w:val="19"/>
        </w:rPr>
        <w:t xml:space="preserve">・マトリックスに当てはまらない業務：18番（法人向け為替・デリバティブ提供）は資産運用の受任関係ではなく対顧客の相対取引（principal）。19番（マスタートラスト業務）は単一の頭脳と組むのではなく、複数の頭脳を横断的に扱う金庫側のメタ業務。</w:t>
      </w:r>
    </w:p>
    <w:p>
      <w:pPr>
        <w:spacing w:after="60" w:before="160"/>
      </w:pPr>
    </w:p>
    <w:p>
      <w:pPr>
        <w:pStyle w:val="Heading2"/>
        <w:keepNext w:val="false"/>
        <w:spacing w:after="80" w:before="160"/>
      </w:pPr>
      <w:r>
        <w:rPr>
          <w:b/>
          <w:bCs/>
          <w:snapToGrid w:val="false"/>
          <w:color w:val="2F5496"/>
          <w:sz w:val="22"/>
          <w:szCs w:val="22"/>
        </w:rPr>
        <w:t xml:space="preserve">比較表の見方</w:t>
      </w:r>
    </w:p>
    <w:p>
      <w:pPr>
        <w:spacing w:after="100" w:line="264"/>
      </w:pPr>
      <w:r>
        <w:rPr>
          <w:snapToGrid w:val="false"/>
          <w:sz w:val="20"/>
          <w:szCs w:val="20"/>
        </w:rPr>
        <w:t xml:space="preserve">以下は、主要な信託銀行グループを横軸に、業務種類を縦軸にとり、各業務の取扱い状況を1つの表に整理したものです。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60"/>
        <w:gridCol w:w="2010"/>
        <w:gridCol w:w="2010"/>
        <w:gridCol w:w="2010"/>
        <w:gridCol w:w="1610"/>
        <w:gridCol w:w="2420"/>
        <w:gridCol w:w="2118"/>
      </w:tblGrid>
      <w:tr>
        <w:trPr>
          <w:tblHeader/>
        </w:trPr>
        <w:tc>
          <w:tcPr>
            <w:tcW w:type="dxa" w:w="326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業務種類</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①みずほ</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②三菱UFJ</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③りそな</w:t>
            </w:r>
            <w:r>
              <w:rPr>
                <w:b/>
                <w:bCs/>
                <w:snapToGrid w:val="false"/>
                <w:color w:val="FFFFFF"/>
                <w:sz w:val="19"/>
                <w:szCs w:val="19"/>
              </w:rPr>
              <w:br/>
              <w:t xml:space="preserve">グループ</w:t>
            </w:r>
          </w:p>
        </w:tc>
        <w:tc>
          <w:tcPr>
            <w:tcW w:type="dxa" w:w="16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④ゆうちょ</w:t>
            </w:r>
          </w:p>
        </w:tc>
        <w:tc>
          <w:tcPr>
            <w:tcW w:type="dxa" w:w="242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⑤三井住友</w:t>
            </w:r>
            <w:r>
              <w:rPr>
                <w:b/>
                <w:bCs/>
                <w:snapToGrid w:val="false"/>
                <w:color w:val="FFFFFF"/>
                <w:sz w:val="19"/>
                <w:szCs w:val="19"/>
              </w:rPr>
              <w:br/>
              <w:t xml:space="preserve">グループ</w:t>
            </w:r>
          </w:p>
        </w:tc>
        <w:tc>
          <w:tcPr>
            <w:tcW w:type="dxa" w:w="2118"/>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⑦その他</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A. 顧客資金・頭脳＝自社（信託銀行本体が単独で完結）</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 金銭信託・年金信託の運用の意思決定業務（自家運用）</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ゆうちょ銀行は信託免許を持たないため、金銭信託・年金信託そのものを取り扱えない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 投資一任契約に基づく投資顧問業務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3. プライベートアセット（未上場株・インフラ・不動産private debt 等）の運用受託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i/>
                <w:iCs/>
                <w:snapToGrid w:val="false"/>
                <w:color w:val="666666"/>
                <w:sz w:val="12"/>
                <w:szCs w:val="12"/>
              </w:rPr>
              <w:br/>
              <w:t xml:space="preserve">信託財産運用部インベストメントマネジメント室が担当</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信託免許を持たないため成立しない（自己資金でのPE・不動産投資はSection C・10-12番を参照）</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i/>
                <w:iCs/>
                <w:snapToGrid w:val="false"/>
                <w:color w:val="666666"/>
                <w:sz w:val="12"/>
                <w:szCs w:val="12"/>
              </w:rPr>
              <w:br/>
              <w:t xml:space="preserve">オルタナティブ運用部が担当</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 顧客資金・頭脳＝別法人（信託銀行＝金庫、アセットマネジメント会社等＝頭脳）</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4. 公募投資信託の設定・運用（委託者）業務（法定分離）</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r>
              <w:rPr>
                <w:i/>
                <w:iCs/>
                <w:snapToGrid w:val="false"/>
                <w:color w:val="666666"/>
                <w:sz w:val="12"/>
                <w:szCs w:val="12"/>
              </w:rPr>
              <w:br/>
              <w:t xml:space="preserve">旧JP投信が「JP4資産バランスファンド」等を自社設定。窓口で扱う投信の大半は外部運用会社の商品</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snapToGrid w:val="false"/>
                <w:sz w:val="15"/>
                <w:szCs w:val="15"/>
              </w:rPr>
              <w:br/>
              <w:t xml:space="preserve">三井住友DSアセットマネジメント</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w:t>
            </w:r>
            <w:r>
              <w:rPr>
                <w:snapToGrid w:val="false"/>
                <w:sz w:val="15"/>
                <w:szCs w:val="15"/>
              </w:rPr>
              <w:br/>
              <w:t xml:space="preserve">大和アセットマネジメント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5. 確定拠出年金（DC）向け運用商品の提供（法定分離）</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 等</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6. 機関投資家向け（年金基金・GPIF 等）運用受託業務（任意）</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r>
              <w:rPr>
                <w:i/>
                <w:iCs/>
                <w:snapToGrid w:val="false"/>
                <w:color w:val="666666"/>
                <w:sz w:val="12"/>
                <w:szCs w:val="12"/>
              </w:rPr>
              <w:br/>
              <w:t xml:space="preserve">外部運用会社と競合するマルチマネージャー方式が前提</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i/>
                <w:iCs/>
                <w:snapToGrid w:val="false"/>
                <w:color w:val="666666"/>
                <w:sz w:val="12"/>
                <w:szCs w:val="12"/>
              </w:rPr>
              <w:br/>
              <w:t xml:space="preserve">同上</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7. PE・不動産等オルタナティブのゲートキーパー業務（任意）</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アセットマネジメントOne 等</w:t>
            </w:r>
            <w:r>
              <w:rPr>
                <w:i/>
                <w:iCs/>
                <w:snapToGrid w:val="false"/>
                <w:color w:val="666666"/>
                <w:sz w:val="12"/>
                <w:szCs w:val="12"/>
              </w:rPr>
              <w:br/>
              <w:t xml:space="preserve">SMTBのような専業ゲートキーパー子会社は現時点で確認できず</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r>
              <w:rPr>
                <w:snapToGrid w:val="false"/>
                <w:sz w:val="15"/>
                <w:szCs w:val="15"/>
              </w:rPr>
              <w:br/>
              <w:t xml:space="preserve">三菱UFJアセットマネジメント</w:t>
            </w:r>
            <w:r>
              <w:rPr>
                <w:i/>
                <w:iCs/>
                <w:snapToGrid w:val="false"/>
                <w:color w:val="666666"/>
                <w:sz w:val="12"/>
                <w:szCs w:val="12"/>
              </w:rPr>
              <w:br/>
              <w:t xml:space="preserve">持株会社内の中立的専門部隊（IPAT）が商品ゲートキープを担う体制</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r>
              <w:rPr>
                <w:i/>
                <w:iCs/>
                <w:snapToGrid w:val="false"/>
                <w:color w:val="666666"/>
                <w:sz w:val="12"/>
                <w:szCs w:val="12"/>
              </w:rPr>
              <w:br/>
              <w:t xml:space="preserve">機関投資家向けビジネスも展開するが小規模。主軸はSection D・17番の自己資金運用</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三井住友トラスト・インベストメント</w:t>
            </w:r>
            <w:r>
              <w:rPr>
                <w:i/>
                <w:iCs/>
                <w:snapToGrid w:val="false"/>
                <w:color w:val="666666"/>
                <w:sz w:val="12"/>
                <w:szCs w:val="12"/>
              </w:rPr>
              <w:br/>
              <w:t xml:space="preserve">信託銀行本体（3番）とは別法人。2025年10月にゲートキーパー機能を集約</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 自己資金・頭脳＝自社（銀行・信託銀行が自己勘定で完結）</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8. 資金繰り・ALM業務（円貨・外貨の調達・運用管理）</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9. 債券・為替・デリバティブのセールス＆トレーディング業務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三菱UFJモルガン・スタンレー証券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自己勘定運用が中心で対顧客セールスは限定的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SMBC日興証券</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10. 伝統的市場性資産への自己勘定投資（国債・社債・外国証券・株式等）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国債等を中心とした自己運用が主要収益源</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11. オルタナティブ①：プライベートエクイティ（PE）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自己勘定でのPE投資の規模・専属部署は未確認</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プライベートエクイティ投資部が主導。2025年9月末時点で7.6兆円（国内最大級）。同部は2026年4月の組織再編後も市場部門内に存続</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i/>
                <w:iCs/>
                <w:snapToGrid w:val="false"/>
                <w:color w:val="666666"/>
                <w:sz w:val="12"/>
                <w:szCs w:val="12"/>
              </w:rPr>
              <w:br/>
              <w:t xml:space="preserve">1991年より自己勘定でPE投資を開始（信託銀行本体）</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12. オルタナティブ②：不動産</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自己勘定での規模は未確認</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都心部オフィスビル中心の直接投資。2025年9月末時点で4.9兆円</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自己勘定での規模は未確認</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13. オルタナティブ③：インフラストラクチャー</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オルタナティブ投資の一部として言及あり。規模は未確認</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14. オルタナティブ④：プライベートデット／ダイレクトレンディング</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部署名・規模とも未確認</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15. オルタナティブ⑤：ヘッジファンド</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2016年度開始。一時点で5,197億円の投資実績を確認</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16. オルタナティブ⑥：コモディティ</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オルタナティブ投資の一部として言及のみ。規模は未確認</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D. 自己資金・頭脳＝別法人（銀行＝金庫・出資者、専業投資子会社＝頭脳）</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17. 自己資金による直接投資業務（専業子会社が頭脳）</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該当する専業子会社は確認できず</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JPインベストメント（現・ゆうちょアセットマネジメント傘下）</w:t>
            </w:r>
            <w:r>
              <w:rPr>
                <w:i/>
                <w:iCs/>
                <w:snapToGrid w:val="false"/>
                <w:color w:val="666666"/>
                <w:sz w:val="12"/>
                <w:szCs w:val="12"/>
              </w:rPr>
              <w:br/>
              <w:t xml:space="preserve">2018年設立。ゆうちょ銀行600億円・かんぽ生命300億円等の出資。バイアウト・ベンチャー・地方創生投資、約1,000億円規模</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参考：軸①②に当てはまらない業務（マトリックス対象外）</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18. 法人向け為替・デリバティブ商品の提供（マーケティング）業務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19. マスタートラスト業務（複数運用機関の資産管理統合）</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みずほ信託銀行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三菱UFJ信託銀行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りそな銀行</w:t>
            </w:r>
            <w:r>
              <w:rPr>
                <w:i/>
                <w:iCs/>
                <w:snapToGrid w:val="false"/>
                <w:color w:val="666666"/>
                <w:sz w:val="12"/>
                <w:szCs w:val="12"/>
              </w:rPr>
              <w:br/>
              <w:t xml:space="preserve">機能は日本カストディ銀行へ集約</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三井住友信託銀行</w:t>
            </w:r>
            <w:r>
              <w:rPr>
                <w:i/>
                <w:iCs/>
                <w:snapToGrid w:val="false"/>
                <w:color w:val="666666"/>
                <w:sz w:val="12"/>
                <w:szCs w:val="12"/>
              </w:rPr>
              <w:br/>
              <w:t xml:space="preserve">機能は日本カストディ銀行へ集約</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日本カストディ銀行（専業）</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b w:val="false"/>
          <w:bCs w:val="false"/>
          <w:snapToGrid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napToGrid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napToGrid w:val="false"/>
          <w:sz w:val="19"/>
          <w:szCs w:val="19"/>
        </w:rPr>
        <w:t xml:space="preserve">・③りそなグループ：資産運用業務はりそな銀行の資産運用部門、アセットマネジメント業務は2015年設立の「りそなアセットマネジメント」が担う。PE等のオルタナティブ投資（3番）は、りそな銀行本体の「信託財産運用部インベストメントマネジメント室」が信託財産向けに扱っており、りそなアセットマネジメントとは別組織。</w:t>
      </w:r>
    </w:p>
    <w:p>
      <w:pPr>
        <w:spacing w:after="40" w:line="240"/>
        <w:ind w:left="260"/>
      </w:pPr>
      <w:r>
        <w:rPr>
          <w:b w:val="false"/>
          <w:bCs w:val="false"/>
          <w:snapToGrid w:val="false"/>
          <w:sz w:val="19"/>
          <w:szCs w:val="19"/>
        </w:rPr>
        <w:t xml:space="preserve">・④ゆうちょ銀行：自己資金（貯金）の運用（マーケット業務＝自己勘定投資・ALM）が収益の中心。国債等の伝統的資産に加え、自社のプライベートエクイティ投資部が2016年頃から低金利下での収益多様化としてPE・不動産投資を拡大しており、2025年9月末時点でPEに7.6兆円・不動産に4.9兆円を自己資金で投資（国内機関投資家で最大級）。同投資部は2026年4月の組織再編後も市場部門内に存続しており、頭脳・金庫はいずれもゆうちょ銀行自身と見られる（Section C）。別途、2026年4月に傘下のJP投信とJPインベストメントを統合し「ゆうちょアセットマネジメント」を設立した。個人向け投信の一部自社設定や機関投資家向けビジネスも行うが、原資の大半はゆうちょ銀行自身の資金であり、窓口で扱う投信の大半は外部運用会社（アセットマネジメントOne等）の商品である点は変わらない。</w:t>
      </w:r>
    </w:p>
    <w:p>
      <w:pPr>
        <w:spacing w:after="40" w:line="240"/>
        <w:ind w:left="260"/>
      </w:pPr>
      <w:r>
        <w:rPr>
          <w:b w:val="false"/>
          <w:bCs w:val="false"/>
          <w:snapToGrid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pPr>
        <w:spacing w:after="40" w:line="240"/>
        <w:ind w:left="260"/>
      </w:pPr>
      <w:r>
        <w:rPr>
          <w:b w:val="false"/>
          <w:bCs w:val="false"/>
          <w:snapToGrid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日本カストディ銀行（三菱UFJ・みずほ・三井住友トラスト・りそな等が共同出資するマスタートラスト・資産管理専業の信託銀行）等。業務ごとに該当する代表例を例示しており、その他の全ての資産運用会社・信託兼営金融機関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snapToGrid w:val="false"/>
          <w:sz w:val="20"/>
          <w:szCs w:val="20"/>
        </w:rPr>
        <w:t xml:space="preserve">上表で用いた19の業務種類について、それぞれの業務内容を簡潔にまとめた一覧です。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顧客資金・頭脳＝自社（信託銀行本体が単独で完結）</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金銭信託・年金信託の運用の意思決定業務（自家運用）</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信託銀行が受託した金銭信託や年金信託の資産について、自らファンドマネージャー・ポートフォリオマネージャーとして運用方針の策定や個別の投資判断を行う業務。頭脳（投資判断）と金庫（資産の保管・執行）がともに信託銀行自身に属する、最もシンプルな構造。</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投資一任契約に基づく投資顧問業務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顧客（個人・法人・機関投資家等）と投資一任契約を結び、資産配分や個別銘柄選定などの運用判断を代行する業務。信託と異なり、信託銀行自身が資産の法的保管まで担うとは限らない。</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プライベートアセット（未上場株・インフラ・不動産private debt 等）の運用受託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上場株式やインフラ、プライベートデット、不動産等の非上場資産（オルタナティブ資産）を信託財産として受託し、専門的な運用を行う業務。信託銀行本体内の専門部署（りそな銀行の信託財産運用部、三井住友信託銀行のオルタナティブ運用部等）が頭脳を兼ねるのが特徴で、金庫も同じ信託銀行が担う。信託免許を持たないゆうちょ銀行はこの形態の業務を行えない。</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顧客資金・頭脳＝別法人（信託銀行＝金庫、アセットマネジメント会社等＝頭脳）</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公募投資信託の設定・運用（委託者）業務（法定分離）</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グループの資産運用会社（頭脳）が投資信託（ファンド）を組成し、運用方針の決定や資産配分の実行など実際の運用指図を行う業務。信託銀行（金庫）が資産を保管する。投資信託及び投資法人に関する法律第3条により、この頭脳・金庫の分離は法律で義務付けられてい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確定拠出年金（DC）向け運用商品の提供（法定分離）</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企業型・個人型（iDeCo）確定拠出年金の加入者向けに、投資信託等の運用商品ラインナップを提供する業務。中身は4番と同じ投資信託であり、法的な枠組みも共通。</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機関投資家向け（年金基金・GPIF 等）運用受託業務（任意）</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年金基金や政府系ファンド（GPIF 等）、保険会社等の機関投資家から資金の運用を直接受託する業務。企業年金には「年金信託（合同運用）」「年金特定信託契約（特金）」「年金単独運用指定信託（指定単）」の3類型があり、特金・指定単では運用会社を競争させて選ぶ「マルチマネージャー方式」が一般的。グループのアセットマネジメント会社も、外部の競合他社と並ぶ選定候補の一つに過ぎず、年金基金の受託者責任によりグループ内が優先されるわけではない。</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PE・不動産等オルタナティブのゲートキーパー業務（任意）</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等の外部機関投資家に代わり、PE・インフラ・不動産ファンド等への投資機会を調査・選定・モニタリングする業務。頭脳を担うのは信託銀行本体（3番）ではなく、グループの専業子会社（三井住友トラスト・インベストメント等）であることが多い。法律上の強制分離ではなく、各グループの組織設計上の選択。</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自己資金・頭脳＝自社（銀行・信託銀行が自己勘定で完結）</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資金繰り・ALM業務（円貨・外貨の調達・運用管理）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円貨・外貨資金の調達と運用のバランスを管理し、金利リスク・流動性リスクなどをコントロールする資産負債総合管理（ALM）業務。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債券・為替・デリバティブのセールス＆トレーディング業務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国債・社債、外国為替、金利・為替デリバティブ等の市場性商品を、自己勘定および顧客向けに売買する業務。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伝統的市場性資産への自己勘定投資（国債・社債・外国証券・株式等）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の資金を用いて国債・社債・外国証券・株式等の伝統的な市場性有価証券に投資し、運用収益を獲得する業務。日々時価評価される流動性の高い資産が対象で、市場部門・資金証券部等が担う自己勘定投資の中核。</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オルタナティブ①：プライベートエクイティ（PE）</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未上場企業への出資（バイアウト・ベンチャー・グロースエクイティ等）に配分する業務。長期のロックアップを伴う。銀行自身の目利き力を要する点で、投資信託等の伝統資産とは運用手法が大きく異な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12. オルタナティブ②：不動産</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自己資金をオフィスビル等の実物不動産、または不動産ファンドに配分する業務。インカムゲイン（賃料収入）中心で、伝統資産と相関が低い分散効果が期待される。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13. オルタナティブ③：インフラストラクチャー</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自己資金を発電・交通・通信等のインフラ資産や、インフラファンドに配分する業務。長期・安定的なキャッシュフローを狙う投資で、年金基金等の長期投資家に好まれる資産クラス。</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14. オルタナティブ④：プライベートデット／ダイレクトレンディング</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自己資金を、銀行融資の代替として非上場企業向けに直接貸付・メザニン投資等を行う業務。プライベートエクイティと伝統的なクレジット投資の中間的な性格を持つ。</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15. オルタナティブ⑤：ヘッジファンド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自己資金を、ロング・ショートやマクロ戦略等、市場の方向性に依存しない絶対収益追求型のファンドに配分する業務。伝統資産の変動と相関が低いリターン源の獲得が目的。</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16. オルタナティブ⑥：コモディティ</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自己資金を金・原油等の実物資産や、それに連動する金融商品に配分する業務。インフレヘッジや分散効果を狙う。</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D. 自己資金・頭脳＝別法人（銀行＝金庫・出資者、専業投資子会社＝頭脳）</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17. 自己資金による直接投資業務（専業子会社が頭脳）</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銀行自身が出資者となり、専業の直接投資子会社（GP）が投資判断を行う業務。銀行の出資持分（LP持分）を金庫としつつ、投資判断（頭脳）は別法人が担う点で、10-16番の自己資金運用（頭脳＝自社）とは構造が異なる。ゆうちょ銀行が出資するJPインベストメント（2018年設立、約1,000億円規模）が代表例だが、規模は自己資金PE運用（7.6兆円、11番）と比べ限定的。</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参考：軸①②に当てはまらない業務（マトリックス対象外）</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18. 法人向け為替・デリバティブ商品の提供（マーケティング）業務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事業法人の為替リスク・金利リスクのヘッジニーズに対応し、為替予約やデリバティブ商品を組成・販売する業務。資産運用の受任関係ではなく、対顧客の相対取引（principal）。</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19. マスタートラスト業務（複数運用機関の資産管理統合）</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年金基金等が複数の資産運用会社に運用を分散委託している場合に、それら運用資産の保管・決済・時価評価・会計報告・パフォーマンス評価などを一元的に集約管理する業務。単一の頭脳と組むのではなく、複数の頭脳を横断的に扱う金庫側のメタ業務。2000年前後に大手信託銀行等が共同出資して専業の資産管理銀行（現・日本カストディ銀行）を設立し、現在はその機能に集約されている。</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2026-08-23T02:04:44.070Z</dcterms:created>
  <dcterms:modified xsi:type="dcterms:W3CDTF">2026-08-23T02:04:44.070Z</dcterms:modified>
</cp:coreProperties>
</file>

<file path=docProps/custom.xml><?xml version="1.0" encoding="utf-8"?>
<Properties xmlns="http://schemas.openxmlformats.org/officeDocument/2006/custom-properties" xmlns:vt="http://schemas.openxmlformats.org/officeDocument/2006/docPropsVTypes"/>
</file>