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NRIインターンES回答</w:t>
      </w:r>
    </w:p>
    <w:p>
      <w:pPr>
        <w:spacing w:after="60"/>
      </w:pPr>
      <w:r>
        <w:rPr>
          <w:b/>
          <w:bCs/>
        </w:rPr>
        <w:t xml:space="preserve">東証プライム市場に上場している企業の問題点、その真因と解決策（400字以内）</w:t>
      </w:r>
    </w:p>
    <w:p>
      <w:pPr>
        <w:spacing w:after="300"/>
      </w:pPr>
      <w:r>
        <w:rPr>
          <w:color w:val="555555"/>
          <w:sz w:val="18"/>
          <w:szCs w:val="18"/>
        </w:rPr>
        <w:t xml:space="preserve">対象企業：日本電信電話（証券コード9432）　作成日：2026年8月</w:t>
      </w:r>
    </w:p>
    <w:p>
      <w:pPr>
        <w:pStyle w:val="Heading1"/>
        <w:spacing w:after="150" w:before="300"/>
      </w:pPr>
      <w:r>
        <w:t xml:space="preserve">設問</w:t>
      </w:r>
    </w:p>
    <w:p>
      <w:pPr>
        <w:spacing w:after="120"/>
      </w:pPr>
      <w:r>
        <w:t xml:space="preserve">東証プライム市場に上場している企業（※）から具体例を1つ選び、あなたが経営戦略コンサルタントになったと仮定して、その主体が直面している、あるいは、今後直面するであろう重大な問題点を1つ挙げてください。その上で問題の真因を明らかにし、その主体がとるべき解決策を提案してください。（400字以内）</w:t>
      </w:r>
    </w:p>
    <w:p>
      <w:pPr>
        <w:spacing w:after="120"/>
      </w:pPr>
      <w:r>
        <w:rPr>
          <w:i/>
          <w:iCs/>
          <w:color w:val="555555"/>
          <w:sz w:val="18"/>
          <w:szCs w:val="18"/>
        </w:rPr>
        <w:t xml:space="preserve">※2026年7月末時点。企業名は東証上場会社情報サービスに記載されている「銘柄名」で記載してください。（例：野村総合研究所）</w:t>
      </w:r>
    </w:p>
    <w:p>
      <w:pPr>
        <w:pStyle w:val="Heading1"/>
        <w:spacing w:after="150" w:before="300"/>
      </w:pPr>
      <w:r>
        <w:t xml:space="preserve">回答（389字）</w:t>
      </w:r>
    </w:p>
    <w:p>
      <w:pPr>
        <w:pBdr>
          <w:top w:val="single" w:color="1F4E79" w:sz="6"/>
          <w:bottom w:val="single" w:color="1F4E79" w:sz="6"/>
          <w:left w:val="single" w:color="1F4E79" w:sz="6"/>
          <w:right w:val="single" w:color="1F4E79" w:sz="6"/>
        </w:pBdr>
        <w:shd w:fill="F2F6FA" w:val="clear"/>
        <w:spacing w:after="300" w:before="120"/>
        <w:ind w:left="200" w:right="200"/>
      </w:pPr>
      <w:r>
        <w:t xml:space="preserve">日本電信電話は、有利子負債が2024年度末10.0兆円から2025年度末15.7兆円へ急増し、有利子負債/EBITDA倍率(金融事業除く)も4.2倍まで上昇したことが重大な問題である。真因は二つある。第一に、NTTデータの完全子会社化に向けた株式公開買付を、2026年度第1四半期だけで2.8兆円弱の新規借入で賄ったこと。第二に、グループ収益の柱であるドコモの契約シェアが2023年3月末41.5%→2025年9月末39.7%へ低下傾向にあり、契約者基盤という収益源自体が細りつつあることである。解決策として、①これまでも実施してきた不動産のセール・アンド・リースバックによる証券化を通信鉄塔等にも広げ、調達資金を新規投資に充当して新たな借入を圧縮する、②ahamoホワイトレーベルに続き、dポイントもホワイトレーベル化してパートナー企業経由で顧客基盤を拡大することを提案する。</w:t>
      </w:r>
    </w:p>
    <w:p>
      <w:pPr>
        <w:pStyle w:val="Heading1"/>
        <w:spacing w:after="150" w:before="300"/>
      </w:pPr>
      <w:r>
        <w:t xml:space="preserve">根拠となる数値・事例</w:t>
      </w:r>
    </w:p>
    <w:p>
      <w:pPr>
        <w:pStyle w:val="Heading2"/>
        <w:spacing w:after="120" w:before="240"/>
      </w:pPr>
      <w:r>
        <w:t xml:space="preserve">① 有利子負債の急増と財務方針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4E79" w:val="clear"/>
          </w:tcPr>
          <w:p>
            <w:pPr>
              <w:jc w:val="center"/>
            </w:pPr>
            <w:r>
              <w:rPr>
                <w:b/>
                <w:bCs/>
                <w:color w:val="FFFFFF"/>
              </w:rPr>
              <w:t xml:space="preserve">時点</w:t>
            </w:r>
          </w:p>
        </w:tc>
        <w:tc>
          <w:tcPr>
            <w:tcW w:type="dxa" w:w="3000"/>
            <w:shd w:fill="1F4E79" w:val="clear"/>
          </w:tcPr>
          <w:p>
            <w:pPr>
              <w:jc w:val="center"/>
            </w:pPr>
            <w:r>
              <w:rPr>
                <w:b/>
                <w:bCs/>
                <w:color w:val="FFFFFF"/>
              </w:rPr>
              <w:t xml:space="preserve">有利子負債（連結）</w:t>
            </w:r>
          </w:p>
        </w:tc>
        <w:tc>
          <w:tcPr>
            <w:tcW w:type="dxa" w:w="3000"/>
            <w:shd w:fill="1F4E79" w:val="clear"/>
          </w:tcPr>
          <w:p>
            <w:pPr>
              <w:jc w:val="center"/>
            </w:pPr>
            <w:r>
              <w:rPr>
                <w:b/>
                <w:bCs/>
                <w:color w:val="FFFFFF"/>
              </w:rPr>
              <w:t xml:space="preserve">有利子負債/EBITDA倍率（金融事業除く）</w:t>
            </w:r>
          </w:p>
        </w:tc>
      </w:tr>
      <w:tr>
        <w:tc>
          <w:tcPr>
            <w:tcW w:type="dxa" w:w="3000"/>
          </w:tcPr>
          <w:p>
            <w:pPr>
              <w:jc w:val="center"/>
            </w:pPr>
            <w:r>
              <w:rPr>
                <w:b w:val="false"/>
                <w:bCs w:val="false"/>
              </w:rPr>
              <w:t xml:space="preserve">2024年度末</w:t>
            </w:r>
          </w:p>
        </w:tc>
        <w:tc>
          <w:tcPr>
            <w:tcW w:type="dxa" w:w="3000"/>
          </w:tcPr>
          <w:p>
            <w:pPr>
              <w:jc w:val="center"/>
            </w:pPr>
            <w:r>
              <w:rPr>
                <w:b w:val="false"/>
                <w:bCs w:val="false"/>
              </w:rPr>
              <w:t xml:space="preserve">10.0兆円（100,101億円）</w:t>
            </w:r>
          </w:p>
        </w:tc>
        <w:tc>
          <w:tcPr>
            <w:tcW w:type="dxa" w:w="3000"/>
          </w:tcPr>
          <w:p>
            <w:pPr>
              <w:jc w:val="center"/>
            </w:pPr>
            <w:r>
              <w:rPr>
                <w:b w:val="false"/>
                <w:bCs w:val="false"/>
              </w:rPr>
              <w:t xml:space="preserve">―</w:t>
            </w:r>
          </w:p>
        </w:tc>
      </w:tr>
      <w:tr>
        <w:tc>
          <w:tcPr>
            <w:tcW w:type="dxa" w:w="3000"/>
          </w:tcPr>
          <w:p>
            <w:pPr>
              <w:jc w:val="center"/>
            </w:pPr>
            <w:r>
              <w:rPr>
                <w:b w:val="false"/>
                <w:bCs w:val="false"/>
              </w:rPr>
              <w:t xml:space="preserve">2025年度末</w:t>
            </w:r>
          </w:p>
        </w:tc>
        <w:tc>
          <w:tcPr>
            <w:tcW w:type="dxa" w:w="3000"/>
          </w:tcPr>
          <w:p>
            <w:pPr>
              <w:jc w:val="center"/>
            </w:pPr>
            <w:r>
              <w:rPr>
                <w:b w:val="false"/>
                <w:bCs w:val="false"/>
              </w:rPr>
              <w:t xml:space="preserve">15.7兆円（157,116億円）</w:t>
            </w:r>
          </w:p>
        </w:tc>
        <w:tc>
          <w:tcPr>
            <w:tcW w:type="dxa" w:w="3000"/>
          </w:tcPr>
          <w:p>
            <w:pPr>
              <w:jc w:val="center"/>
            </w:pPr>
            <w:r>
              <w:rPr>
                <w:b w:val="false"/>
                <w:bCs w:val="false"/>
              </w:rPr>
              <w:t xml:space="preserve">4.2倍</w:t>
            </w:r>
          </w:p>
        </w:tc>
      </w:tr>
      <w:tr>
        <w:tc>
          <w:tcPr>
            <w:tcW w:type="dxa" w:w="3000"/>
          </w:tcPr>
          <w:p>
            <w:pPr>
              <w:jc w:val="center"/>
            </w:pPr>
            <w:r>
              <w:rPr>
                <w:b w:val="false"/>
                <w:bCs w:val="false"/>
              </w:rPr>
              <w:t xml:space="preserve">2030年度（目標）</w:t>
            </w:r>
          </w:p>
        </w:tc>
        <w:tc>
          <w:tcPr>
            <w:tcW w:type="dxa" w:w="3000"/>
          </w:tcPr>
          <w:p>
            <w:pPr>
              <w:jc w:val="center"/>
            </w:pPr>
            <w:r>
              <w:rPr>
                <w:b w:val="false"/>
                <w:bCs w:val="false"/>
              </w:rPr>
              <w:t xml:space="preserve">―</w:t>
            </w:r>
          </w:p>
        </w:tc>
        <w:tc>
          <w:tcPr>
            <w:tcW w:type="dxa" w:w="3000"/>
          </w:tcPr>
          <w:p>
            <w:pPr>
              <w:jc w:val="center"/>
            </w:pPr>
            <w:r>
              <w:rPr>
                <w:b w:val="false"/>
                <w:bCs w:val="false"/>
              </w:rPr>
              <w:t xml:space="preserve">3.5倍程度</w:t>
            </w:r>
          </w:p>
        </w:tc>
      </w:tr>
    </w:tbl>
    <w:p>
      <w:pPr>
        <w:spacing w:after="120"/>
      </w:pPr>
    </w:p>
    <w:p>
      <w:pPr>
        <w:pStyle w:val="ListParagraph"/>
        <w:numPr>
          <w:ilvl w:val="0"/>
          <w:numId w:val="1"/>
        </w:numPr>
        <w:spacing w:after="80"/>
      </w:pPr>
      <w:r>
        <w:t xml:space="preserve">出典：日本電信電話「2025年度決算、2026年度業績予想等について」説明会資料（2026年5月8日発表）p.28「財務方針」</w:t>
      </w:r>
    </w:p>
    <w:p>
      <w:pPr>
        <w:pStyle w:val="ListParagraph"/>
        <w:numPr>
          <w:ilvl w:val="0"/>
          <w:numId w:val="1"/>
        </w:numPr>
        <w:spacing w:after="80"/>
      </w:pPr>
      <w:r>
        <w:t xml:space="preserve">同資料に「一定の財務健全性を確保する方針であり、中期的には有利子負債／EBITDA倍率（金融事業除き）を3.5倍程度まで低下」と明記。引き下げ手段として「EBITDA拡大」「投資分野の選択と集中」「アセットスリム化」の3点を自ら掲げている</w:t>
      </w:r>
    </w:p>
    <w:p>
      <w:pPr>
        <w:pStyle w:val="Heading2"/>
        <w:spacing w:after="120" w:before="240"/>
      </w:pPr>
      <w:r>
        <w:t xml:space="preserve">② NTTデータの完全子会社化（株式公開買付）</w:t>
      </w:r>
    </w:p>
    <w:p>
      <w:pPr>
        <w:pStyle w:val="ListParagraph"/>
        <w:numPr>
          <w:ilvl w:val="0"/>
          <w:numId w:val="1"/>
        </w:numPr>
        <w:spacing w:after="80"/>
      </w:pPr>
      <w:r>
        <w:t xml:space="preserve">2026年度第1四半期の連結キャッシュ・フロー明細（同資料 p.16相当／2026年度第1四半期決算資料 2026年8月6日発表）：財務CFの内訳に「借入 27,772億円」「データグループ株式公開買付 ▲13,472億円」と記載</w:t>
      </w:r>
    </w:p>
    <w:p>
      <w:pPr>
        <w:pStyle w:val="ListParagraph"/>
        <w:numPr>
          <w:ilvl w:val="0"/>
          <w:numId w:val="1"/>
        </w:numPr>
        <w:spacing w:after="80"/>
      </w:pPr>
      <w:r>
        <w:t xml:space="preserve">有利子負債の内訳（連結貸借対照表、2025年度末）：金融事業 31,351億円／データセンター事業 18,481億円／その他 107,284億円。「その他」が全体の約7割を占め、NTTデータ完全子会社化のための調達を含む一般事業債務が主因と推定される</w:t>
      </w:r>
    </w:p>
    <w:p>
      <w:pPr>
        <w:pStyle w:val="Heading2"/>
        <w:spacing w:after="120" w:before="240"/>
      </w:pPr>
      <w:r>
        <w:t xml:space="preserve">③ ドコモの契約シェア低下（通信業界シェア推移）</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1F4E79" w:val="clear"/>
          </w:tcPr>
          <w:p>
            <w:pPr>
              <w:jc w:val="center"/>
            </w:pPr>
            <w:r>
              <w:rPr>
                <w:b/>
                <w:bCs/>
                <w:color w:val="FFFFFF"/>
              </w:rPr>
              <w:t xml:space="preserve">時点</w:t>
            </w:r>
          </w:p>
        </w:tc>
        <w:tc>
          <w:tcPr>
            <w:tcW w:type="dxa" w:w="1800"/>
            <w:shd w:fill="1F4E79" w:val="clear"/>
          </w:tcPr>
          <w:p>
            <w:pPr>
              <w:jc w:val="center"/>
            </w:pPr>
            <w:r>
              <w:rPr>
                <w:b/>
                <w:bCs/>
                <w:color w:val="FFFFFF"/>
              </w:rPr>
              <w:t xml:space="preserve">ドコモ</w:t>
            </w:r>
          </w:p>
        </w:tc>
        <w:tc>
          <w:tcPr>
            <w:tcW w:type="dxa" w:w="1800"/>
            <w:shd w:fill="1F4E79" w:val="clear"/>
          </w:tcPr>
          <w:p>
            <w:pPr>
              <w:jc w:val="center"/>
            </w:pPr>
            <w:r>
              <w:rPr>
                <w:b/>
                <w:bCs/>
                <w:color w:val="FFFFFF"/>
              </w:rPr>
              <w:t xml:space="preserve">au</w:t>
            </w:r>
          </w:p>
        </w:tc>
        <w:tc>
          <w:tcPr>
            <w:tcW w:type="dxa" w:w="1800"/>
            <w:shd w:fill="1F4E79" w:val="clear"/>
          </w:tcPr>
          <w:p>
            <w:pPr>
              <w:jc w:val="center"/>
            </w:pPr>
            <w:r>
              <w:rPr>
                <w:b/>
                <w:bCs/>
                <w:color w:val="FFFFFF"/>
              </w:rPr>
              <w:t xml:space="preserve">ソフトバンク</w:t>
            </w:r>
          </w:p>
        </w:tc>
        <w:tc>
          <w:tcPr>
            <w:tcW w:type="dxa" w:w="1800"/>
            <w:shd w:fill="1F4E79" w:val="clear"/>
          </w:tcPr>
          <w:p>
            <w:pPr>
              <w:jc w:val="center"/>
            </w:pPr>
            <w:r>
              <w:rPr>
                <w:b/>
                <w:bCs/>
                <w:color w:val="FFFFFF"/>
              </w:rPr>
              <w:t xml:space="preserve">楽天モバイル</w:t>
            </w:r>
          </w:p>
        </w:tc>
      </w:tr>
      <w:tr>
        <w:tc>
          <w:tcPr>
            <w:tcW w:type="dxa" w:w="1800"/>
          </w:tcPr>
          <w:p>
            <w:pPr>
              <w:jc w:val="center"/>
            </w:pPr>
            <w:r>
              <w:rPr>
                <w:b w:val="false"/>
                <w:bCs w:val="false"/>
              </w:rPr>
              <w:t xml:space="preserve">2023年3月末</w:t>
            </w:r>
          </w:p>
        </w:tc>
        <w:tc>
          <w:tcPr>
            <w:tcW w:type="dxa" w:w="1800"/>
          </w:tcPr>
          <w:p>
            <w:pPr>
              <w:jc w:val="center"/>
            </w:pPr>
            <w:r>
              <w:rPr>
                <w:b w:val="false"/>
                <w:bCs w:val="false"/>
              </w:rPr>
              <w:t xml:space="preserve">41.5%</w:t>
            </w:r>
          </w:p>
        </w:tc>
        <w:tc>
          <w:tcPr>
            <w:tcW w:type="dxa" w:w="1800"/>
          </w:tcPr>
          <w:p>
            <w:pPr>
              <w:jc w:val="center"/>
            </w:pPr>
            <w:r>
              <w:rPr>
                <w:b w:val="false"/>
                <w:bCs w:val="false"/>
              </w:rPr>
              <w:t xml:space="preserve">30.5%</w:t>
            </w:r>
          </w:p>
        </w:tc>
        <w:tc>
          <w:tcPr>
            <w:tcW w:type="dxa" w:w="1800"/>
          </w:tcPr>
          <w:p>
            <w:pPr>
              <w:jc w:val="center"/>
            </w:pPr>
            <w:r>
              <w:rPr>
                <w:b w:val="false"/>
                <w:bCs w:val="false"/>
              </w:rPr>
              <w:t xml:space="preserve">25.8%</w:t>
            </w:r>
          </w:p>
        </w:tc>
        <w:tc>
          <w:tcPr>
            <w:tcW w:type="dxa" w:w="1800"/>
          </w:tcPr>
          <w:p>
            <w:pPr>
              <w:jc w:val="center"/>
            </w:pPr>
            <w:r>
              <w:rPr>
                <w:b w:val="false"/>
                <w:bCs w:val="false"/>
              </w:rPr>
              <w:t xml:space="preserve">2.2%</w:t>
            </w:r>
          </w:p>
        </w:tc>
      </w:tr>
      <w:tr>
        <w:tc>
          <w:tcPr>
            <w:tcW w:type="dxa" w:w="1800"/>
          </w:tcPr>
          <w:p>
            <w:pPr>
              <w:jc w:val="center"/>
            </w:pPr>
            <w:r>
              <w:rPr>
                <w:b w:val="false"/>
                <w:bCs w:val="false"/>
              </w:rPr>
              <w:t xml:space="preserve">2025年3月末</w:t>
            </w:r>
          </w:p>
        </w:tc>
        <w:tc>
          <w:tcPr>
            <w:tcW w:type="dxa" w:w="1800"/>
          </w:tcPr>
          <w:p>
            <w:pPr>
              <w:jc w:val="center"/>
            </w:pPr>
            <w:r>
              <w:rPr>
                <w:b w:val="false"/>
                <w:bCs w:val="false"/>
              </w:rPr>
              <w:t xml:space="preserve">40.2%</w:t>
            </w:r>
          </w:p>
        </w:tc>
        <w:tc>
          <w:tcPr>
            <w:tcW w:type="dxa" w:w="1800"/>
          </w:tcPr>
          <w:p>
            <w:pPr>
              <w:jc w:val="center"/>
            </w:pPr>
            <w:r>
              <w:rPr>
                <w:b w:val="false"/>
                <w:bCs w:val="false"/>
              </w:rPr>
              <w:t xml:space="preserve">31.4%</w:t>
            </w:r>
          </w:p>
        </w:tc>
        <w:tc>
          <w:tcPr>
            <w:tcW w:type="dxa" w:w="1800"/>
          </w:tcPr>
          <w:p>
            <w:pPr>
              <w:jc w:val="center"/>
            </w:pPr>
            <w:r>
              <w:rPr>
                <w:b w:val="false"/>
                <w:bCs w:val="false"/>
              </w:rPr>
              <w:t xml:space="preserve">24.5%</w:t>
            </w:r>
          </w:p>
        </w:tc>
        <w:tc>
          <w:tcPr>
            <w:tcW w:type="dxa" w:w="1800"/>
          </w:tcPr>
          <w:p>
            <w:pPr>
              <w:jc w:val="center"/>
            </w:pPr>
            <w:r>
              <w:rPr>
                <w:b w:val="false"/>
                <w:bCs w:val="false"/>
              </w:rPr>
              <w:t xml:space="preserve">3.9%</w:t>
            </w:r>
          </w:p>
        </w:tc>
      </w:tr>
      <w:tr>
        <w:tc>
          <w:tcPr>
            <w:tcW w:type="dxa" w:w="1800"/>
          </w:tcPr>
          <w:p>
            <w:pPr>
              <w:jc w:val="center"/>
            </w:pPr>
            <w:r>
              <w:rPr>
                <w:b w:val="false"/>
                <w:bCs w:val="false"/>
              </w:rPr>
              <w:t xml:space="preserve">2025年9月末</w:t>
            </w:r>
          </w:p>
        </w:tc>
        <w:tc>
          <w:tcPr>
            <w:tcW w:type="dxa" w:w="1800"/>
          </w:tcPr>
          <w:p>
            <w:pPr>
              <w:jc w:val="center"/>
            </w:pPr>
            <w:r>
              <w:rPr>
                <w:b w:val="false"/>
                <w:bCs w:val="false"/>
              </w:rPr>
              <w:t xml:space="preserve">39.7%</w:t>
            </w:r>
          </w:p>
        </w:tc>
        <w:tc>
          <w:tcPr>
            <w:tcW w:type="dxa" w:w="1800"/>
          </w:tcPr>
          <w:p>
            <w:pPr>
              <w:jc w:val="center"/>
            </w:pPr>
            <w:r>
              <w:rPr>
                <w:b w:val="false"/>
                <w:bCs w:val="false"/>
              </w:rPr>
              <w:t xml:space="preserve">31.3%</w:t>
            </w:r>
          </w:p>
        </w:tc>
        <w:tc>
          <w:tcPr>
            <w:tcW w:type="dxa" w:w="1800"/>
          </w:tcPr>
          <w:p>
            <w:pPr>
              <w:jc w:val="center"/>
            </w:pPr>
            <w:r>
              <w:rPr>
                <w:b w:val="false"/>
                <w:bCs w:val="false"/>
              </w:rPr>
              <w:t xml:space="preserve">24.8%</w:t>
            </w:r>
          </w:p>
        </w:tc>
        <w:tc>
          <w:tcPr>
            <w:tcW w:type="dxa" w:w="1800"/>
          </w:tcPr>
          <w:p>
            <w:pPr>
              <w:jc w:val="center"/>
            </w:pPr>
            <w:r>
              <w:rPr>
                <w:b w:val="false"/>
                <w:bCs w:val="false"/>
              </w:rPr>
              <w:t xml:space="preserve">4.2%</w:t>
            </w:r>
          </w:p>
        </w:tc>
      </w:tr>
    </w:tbl>
    <w:p>
      <w:pPr>
        <w:spacing w:after="120"/>
      </w:pPr>
    </w:p>
    <w:p>
      <w:pPr>
        <w:pStyle w:val="ListParagraph"/>
        <w:numPr>
          <w:ilvl w:val="0"/>
          <w:numId w:val="1"/>
        </w:numPr>
        <w:spacing w:after="80"/>
      </w:pPr>
      <w:r>
        <w:t xml:space="preserve">出典：infraexpert.com「携帯キャリアのシェア」各号（2025年6月・12月発表分）</w:t>
      </w:r>
    </w:p>
    <w:p>
      <w:pPr>
        <w:pStyle w:val="ListParagraph"/>
        <w:numPr>
          <w:ilvl w:val="0"/>
          <w:numId w:val="1"/>
        </w:numPr>
        <w:spacing w:after="80"/>
      </w:pPr>
      <w:r>
        <w:t xml:space="preserve">2年半でドコモのシェアは41.5%→39.7%と一貫して低下。au・楽天モバイルが漸増しており、グループ収益の柱である契約者基盤が競合に侵食されつつある</w:t>
      </w:r>
    </w:p>
    <w:p>
      <w:pPr>
        <w:pStyle w:val="Heading2"/>
        <w:spacing w:after="120" w:before="240"/>
      </w:pPr>
      <w:r>
        <w:t xml:space="preserve">④ 解決策①の根拠：NTTグループの資産スリム化の実績</w:t>
      </w:r>
    </w:p>
    <w:p>
      <w:pPr>
        <w:pStyle w:val="ListParagraph"/>
        <w:numPr>
          <w:ilvl w:val="0"/>
          <w:numId w:val="1"/>
        </w:numPr>
        <w:spacing w:after="80"/>
      </w:pPr>
      <w:r>
        <w:t xml:space="preserve">NTTグループは不動産証券化の受け皿として「NTT都市開発リート投資法人」（証券コード8956）を既に保有している</w:t>
      </w:r>
    </w:p>
    <w:p>
      <w:pPr>
        <w:pStyle w:val="ListParagraph"/>
        <w:numPr>
          <w:ilvl w:val="0"/>
          <w:numId w:val="1"/>
        </w:numPr>
        <w:spacing w:after="80"/>
      </w:pPr>
      <w:r>
        <w:t xml:space="preserve">2022年3月期実績：NTT都市開発が保有するオフィスビル等 約400億円を売却し、負債圧縮に充当（日本経済新聞）</w:t>
      </w:r>
    </w:p>
    <w:p>
      <w:pPr>
        <w:pStyle w:val="ListParagraph"/>
        <w:numPr>
          <w:ilvl w:val="0"/>
          <w:numId w:val="1"/>
        </w:numPr>
        <w:spacing w:after="80"/>
      </w:pPr>
      <w:r>
        <w:t xml:space="preserve">2025年時点の動き：NTTドコモが東京・代々木の「ドコモタワー」等の土地売却を検討（1,000億円規模、日本経済新聞）</w:t>
      </w:r>
    </w:p>
    <w:p>
      <w:pPr>
        <w:pStyle w:val="ListParagraph"/>
        <w:numPr>
          <w:ilvl w:val="0"/>
          <w:numId w:val="1"/>
        </w:numPr>
        <w:spacing w:after="80"/>
      </w:pPr>
      <w:r>
        <w:t xml:space="preserve">→ 解決策①は仮説ではなく、NTTグループが現に実行してきた資産圧縮策の延長線上の提案</w:t>
      </w:r>
    </w:p>
    <w:p>
      <w:pPr>
        <w:pStyle w:val="Heading2"/>
        <w:spacing w:after="120" w:before="240"/>
      </w:pPr>
      <w:r>
        <w:t xml:space="preserve">⑤ 解決策②の根拠：ahamoホワイトレーベルの先行事例</w:t>
      </w:r>
    </w:p>
    <w:p>
      <w:pPr>
        <w:pStyle w:val="ListParagraph"/>
        <w:numPr>
          <w:ilvl w:val="0"/>
          <w:numId w:val="1"/>
        </w:numPr>
        <w:spacing w:after="80"/>
      </w:pPr>
      <w:r>
        <w:t xml:space="preserve">2026年6月25日、ドコモは「JALモバイル powered by ahamo」を開始。自社で回線網を持つMNOでありながら、他社ブランドに回線を卸すホワイトレーベル提供に踏み出した（ITmedia Mobile）</w:t>
      </w:r>
    </w:p>
    <w:p>
      <w:pPr>
        <w:pStyle w:val="ListParagraph"/>
        <w:numPr>
          <w:ilvl w:val="0"/>
          <w:numId w:val="1"/>
        </w:numPr>
        <w:spacing w:after="80"/>
      </w:pPr>
      <w:r>
        <w:t xml:space="preserve">dポイントについても同様にホワイトレーベル化し、パートナー企業経由で顧客接点・会員基盤を拡大する余地がある、という提案の土台になる</w:t>
      </w:r>
    </w:p>
    <w:p>
      <w:pPr>
        <w:pStyle w:val="Heading1"/>
        <w:spacing w:after="150" w:before="300"/>
      </w:pPr>
      <w:r>
        <w:t xml:space="preserve">出典一覧</w:t>
      </w:r>
    </w:p>
    <w:p>
      <w:pPr>
        <w:pStyle w:val="ListParagraph"/>
        <w:numPr>
          <w:ilvl w:val="0"/>
          <w:numId w:val="1"/>
        </w:numPr>
        <w:spacing w:after="80"/>
      </w:pPr>
      <w:r>
        <w:t xml:space="preserve">2025年度決算、2026年度業績予想等について（2026年5月8日）：</w:t>
      </w:r>
      <w:hyperlink w:history="1" r:id="rIdlqpkvkd5j3f1nkalull7c">
        <w:r>
          <w:rPr>
            <w:rStyle w:val="Hyperlink"/>
          </w:rPr>
          <w:t xml:space="preserve">（添付PDF：NTT__260508aa.pdf）</w:t>
        </w:r>
      </w:hyperlink>
    </w:p>
    <w:p>
      <w:pPr>
        <w:pStyle w:val="ListParagraph"/>
        <w:numPr>
          <w:ilvl w:val="0"/>
          <w:numId w:val="1"/>
        </w:numPr>
        <w:spacing w:after="80"/>
      </w:pPr>
      <w:r>
        <w:t xml:space="preserve">2026年度第1四半期決算について（2026年8月6日）：</w:t>
      </w:r>
      <w:hyperlink w:history="1" r:id="rIdw3fxxujktlxchy6wymtrc">
        <w:r>
          <w:rPr>
            <w:rStyle w:val="Hyperlink"/>
          </w:rPr>
          <w:t xml:space="preserve">（添付PDF：NTT__260806.pdf）</w:t>
        </w:r>
      </w:hyperlink>
    </w:p>
    <w:p>
      <w:pPr>
        <w:pStyle w:val="ListParagraph"/>
        <w:numPr>
          <w:ilvl w:val="0"/>
          <w:numId w:val="1"/>
        </w:numPr>
        <w:spacing w:after="80"/>
      </w:pPr>
      <w:r>
        <w:t xml:space="preserve">携帯キャリアのシェア 2025年9月末：</w:t>
      </w:r>
      <w:hyperlink w:history="1" r:id="rIdnkxhqvkvt6qfw9lrp44cr">
        <w:r>
          <w:rPr>
            <w:rStyle w:val="Hyperlink"/>
          </w:rPr>
          <w:t xml:space="preserve">https://www.infraexpert.com/blog/2025/12/26/phone022/</w:t>
        </w:r>
      </w:hyperlink>
    </w:p>
    <w:p>
      <w:pPr>
        <w:pStyle w:val="ListParagraph"/>
        <w:numPr>
          <w:ilvl w:val="0"/>
          <w:numId w:val="1"/>
        </w:numPr>
        <w:spacing w:after="80"/>
      </w:pPr>
      <w:r>
        <w:t xml:space="preserve">携帯キャリアのシェア 2025年3月末：</w:t>
      </w:r>
      <w:hyperlink w:history="1" r:id="rId1c8zovroy5_lpatply_rk">
        <w:r>
          <w:rPr>
            <w:rStyle w:val="Hyperlink"/>
          </w:rPr>
          <w:t xml:space="preserve">https://www.infraexpert.com/blog/2025/06/27/phone018/</w:t>
        </w:r>
      </w:hyperlink>
    </w:p>
    <w:p>
      <w:pPr>
        <w:pStyle w:val="ListParagraph"/>
        <w:numPr>
          <w:ilvl w:val="0"/>
          <w:numId w:val="1"/>
        </w:numPr>
        <w:spacing w:after="80"/>
      </w:pPr>
      <w:r>
        <w:t xml:space="preserve">NTT、不動産400億円売却 今期、負債の圧縮に充当：</w:t>
      </w:r>
      <w:hyperlink w:history="1" r:id="rIdnthh07u0cmpcyhvhruvds">
        <w:r>
          <w:rPr>
            <w:rStyle w:val="Hyperlink"/>
          </w:rPr>
          <w:t xml:space="preserve">https://www.nikkei.com/article/DGKKZO77662620X11C21A1DTA000/</w:t>
        </w:r>
      </w:hyperlink>
    </w:p>
    <w:p>
      <w:pPr>
        <w:pStyle w:val="ListParagraph"/>
        <w:numPr>
          <w:ilvl w:val="0"/>
          <w:numId w:val="1"/>
        </w:numPr>
        <w:spacing w:after="80"/>
      </w:pPr>
      <w:r>
        <w:t xml:space="preserve">NTTドコモ、東京・代々木｢ドコモタワー｣などの土地売却へ：</w:t>
      </w:r>
      <w:hyperlink w:history="1" r:id="rId7vz8lflwe0nbsj_jijq9x">
        <w:r>
          <w:rPr>
            <w:rStyle w:val="Hyperlink"/>
          </w:rPr>
          <w:t xml:space="preserve">https://www.nikkei.com/article/DGXZQOUC053MG0V01C25A2000000/</w:t>
        </w:r>
      </w:hyperlink>
    </w:p>
    <w:p>
      <w:pPr>
        <w:pStyle w:val="ListParagraph"/>
        <w:numPr>
          <w:ilvl w:val="0"/>
          <w:numId w:val="1"/>
        </w:numPr>
        <w:spacing w:after="80"/>
      </w:pPr>
      <w:r>
        <w:t xml:space="preserve">JALモバイルに「ahamo」参入の衝撃（ITmedia Mobile）：</w:t>
      </w:r>
      <w:hyperlink w:history="1" r:id="rIdkjho9mzupz2jceiy-7h1-">
        <w:r>
          <w:rPr>
            <w:rStyle w:val="Hyperlink"/>
          </w:rPr>
          <w:t xml:space="preserve">https://www.itmedia.co.jp/mobile/articles/2606/06/news026.html</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qpkvkd5j3f1nkalull7c" Type="http://schemas.openxmlformats.org/officeDocument/2006/relationships/hyperlink" Target="&#65288;&#28155;&#20184;PDF&#65306;NTT__260508aa.pdf&#65289;" TargetMode="External"/><Relationship Id="rIdw3fxxujktlxchy6wymtrc" Type="http://schemas.openxmlformats.org/officeDocument/2006/relationships/hyperlink" Target="&#65288;&#28155;&#20184;PDF&#65306;NTT__260806.pdf&#65289;" TargetMode="External"/><Relationship Id="rIdnkxhqvkvt6qfw9lrp44cr" Type="http://schemas.openxmlformats.org/officeDocument/2006/relationships/hyperlink" Target="https://www.infraexpert.com/blog/2025/12/26/phone022/" TargetMode="External"/><Relationship Id="rId1c8zovroy5_lpatply_rk" Type="http://schemas.openxmlformats.org/officeDocument/2006/relationships/hyperlink" Target="https://www.infraexpert.com/blog/2025/06/27/phone018/" TargetMode="External"/><Relationship Id="rIdnthh07u0cmpcyhvhruvds" Type="http://schemas.openxmlformats.org/officeDocument/2006/relationships/hyperlink" Target="https://www.nikkei.com/article/DGKKZO77662620X11C21A1DTA000/" TargetMode="External"/><Relationship Id="rId7vz8lflwe0nbsj_jijq9x" Type="http://schemas.openxmlformats.org/officeDocument/2006/relationships/hyperlink" Target="https://www.nikkei.com/article/DGXZQOUC053MG0V01C25A2000000/" TargetMode="External"/><Relationship Id="rIdkjho9mzupz2jceiy-7h1-" Type="http://schemas.openxmlformats.org/officeDocument/2006/relationships/hyperlink" Target="https://www.itmedia.co.jp/mobile/articles/2606/06/news026.html"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2026-08-30T03:11:35.278Z</dcterms:created>
  <dcterms:modified xsi:type="dcterms:W3CDTF">2026-08-30T03:11:35.278Z</dcterms:modified>
</cp:coreProperties>
</file>

<file path=docProps/custom.xml><?xml version="1.0" encoding="utf-8"?>
<Properties xmlns="http://schemas.openxmlformats.org/officeDocument/2006/custom-properties" xmlns:vt="http://schemas.openxmlformats.org/officeDocument/2006/docPropsVTypes"/>
</file>