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color w:val="2F5496"/>
          <w:sz w:val="22"/>
          <w:szCs w:val="22"/>
        </w:rPr>
        <w:t xml:space="preserve">まず押さえておきたい違い：フィデューシャリー・デューティー（受託者責任）の有無</w:t>
      </w:r>
    </w:p>
    <w:p>
      <w:pPr>
        <w:spacing w:after="100" w:line="264"/>
      </w:pPr>
      <w:r>
        <w:rPr>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マーケット業務</w:t>
            </w:r>
          </w:p>
        </w:tc>
      </w:tr>
      <w:t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自己勘定取引＝principal（信認義務なし）</w:t>
            </w:r>
          </w:p>
        </w:tc>
      </w:tr>
      <w:t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銀行法10条2項（付随業務）</w:t>
            </w:r>
          </w:p>
        </w:tc>
      </w:tr>
      <w:t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bl>
    <w:p>
      <w:pPr>
        <w:spacing w:after="60" w:before="140"/>
      </w:pPr>
    </w:p>
    <w:p>
      <w:pPr>
        <w:spacing w:after="40" w:line="240"/>
        <w:ind w:left="260"/>
      </w:pPr>
      <w:r>
        <w:rPr>
          <w:b/>
          <w:bCs/>
          <w:sz w:val="19"/>
          <w:szCs w:val="19"/>
        </w:rPr>
        <w:t xml:space="preserve">・一言でまとめると：</w:t>
      </w:r>
    </w:p>
    <w:p>
      <w:pPr>
        <w:spacing w:after="40" w:line="240"/>
        <w:ind w:left="260"/>
      </w:pPr>
      <w:r>
        <w:rPr>
          <w:b w:val="false"/>
          <w:bCs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60" w:before="160"/>
      </w:pPr>
    </w:p>
    <w:p>
      <w:pPr>
        <w:pStyle w:val="Heading2"/>
        <w:keepNext w:val="false"/>
        <w:spacing w:after="80" w:before="160"/>
      </w:pPr>
      <w:r>
        <w:rPr>
          <w:b/>
          <w:bCs/>
          <w:color w:val="2F5496"/>
          <w:sz w:val="22"/>
          <w:szCs w:val="22"/>
        </w:rPr>
        <w:t xml:space="preserve">比較表の見方</w:t>
      </w:r>
    </w:p>
    <w:p>
      <w:pPr>
        <w:spacing w:after="100" w:line="264"/>
      </w:pPr>
      <w:r>
        <w:rPr>
          <w:sz w:val="20"/>
          <w:szCs w:val="20"/>
        </w:rPr>
        <w:t xml:space="preserve">以下は、主要な信託銀行グループを横軸に、業務種類を縦軸にとり、各業務の取扱い状況を整理したもので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keepNext/>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 等</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みずほ証券</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三菱UFJモルガン・スタンレー証券</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pPr>
        <w:pStyle w:val="Heading2"/>
        <w:keepNext/>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一部をゆうちょアセットマネジメントへ移管</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個人向け公募投信の自社設定は行っていない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p>
            <w:pPr>
              <w:spacing w:after="0" w:line="260"/>
            </w:pPr>
            <w:r>
              <w:rPr>
                <w:sz w:val="20"/>
                <w:szCs w:val="20"/>
              </w:rPr>
              <w:t xml:space="preserve">三井住友DSアセットマネジメント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w:t>
            </w:r>
          </w:p>
          <w:p>
            <w:pPr>
              <w:spacing w:after="0" w:line="260"/>
            </w:pPr>
            <w:r>
              <w:rPr>
                <w:sz w:val="20"/>
                <w:szCs w:val="20"/>
              </w:rPr>
              <w:t xml:space="preserve">大和アセットマネジメント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自己勘定運用が中心で対顧客セールスは限定的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SMBC日興証券</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国債等を中心とした自己運用が主要収益源</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bl>
    <w:p>
      <w:pPr>
        <w:spacing w:before="200"/>
      </w:pPr>
    </w:p>
    <w:p>
      <w:pPr>
        <w:pStyle w:val="Heading2"/>
        <w:keepNext w:val="false"/>
        <w:spacing w:after="80" w:before="160"/>
      </w:pPr>
      <w:r>
        <w:rPr>
          <w:b/>
          <w:bCs/>
          <w:color w:val="2F5496"/>
          <w:sz w:val="22"/>
          <w:szCs w:val="22"/>
        </w:rPr>
        <w:t xml:space="preserve">グループ区分について（注記）</w:t>
      </w:r>
    </w:p>
    <w:p>
      <w:pPr>
        <w:spacing w:after="40" w:line="240"/>
        <w:ind w:left="260"/>
      </w:pPr>
      <w:r>
        <w:rPr>
          <w:b w:val="false"/>
          <w:bCs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b w:val="false"/>
          <w:bCs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等。業務ごとに該当する代表例を例示しており、その他の全ての資産運用会社・信託兼営金融機関を網羅するものではない。</w:t>
      </w:r>
    </w:p>
    <w:p>
      <w:pPr>
        <w:pStyle w:val="Heading2"/>
        <w:keepNext w:val="false"/>
        <w:spacing w:after="80" w:before="160"/>
      </w:pPr>
      <w:r>
        <w:rPr>
          <w:b/>
          <w:bCs/>
          <w:color w:val="2F5496"/>
          <w:sz w:val="22"/>
          <w:szCs w:val="22"/>
        </w:rPr>
        <w:t xml:space="preserve">注釈</w:t>
      </w:r>
    </w:p>
    <w:p>
      <w:pPr>
        <w:spacing w:after="40" w:line="220"/>
      </w:pPr>
      <w:r>
        <w:rPr>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color w:val="1F3864"/>
          <w:sz w:val="30"/>
          <w:szCs w:val="30"/>
        </w:rPr>
        <w:t xml:space="preserve">業務内容の説明</w:t>
      </w:r>
    </w:p>
    <w:p>
      <w:pPr>
        <w:spacing w:after="100" w:line="264"/>
      </w:pPr>
      <w:r>
        <w:rPr>
          <w:sz w:val="20"/>
          <w:szCs w:val="20"/>
        </w:rPr>
        <w:t xml:space="preserve">上表で用いた11の業務種類について、それぞれの業務内容を簡潔にまとめた一覧です。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資産運用業務（信託銀行本体が行う運用受託業務）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顧客（年金基金・機関投資家等）と投資一任契約を結び、資産配分や個別銘柄選定などの運用判断を代行するコンサルティング型の資産運用業務。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アセットマネジメント業務（グループの資産運用会社による運用業務）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グループの資産運用会社が投資信託（ファンド）を組成（設定）し、運用方針の決定や資産配分の実行など、実際の運用指図を行う業務。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企業型・個人型（iDeCo）確定拠出年金の加入者向けに、投資信託等の運用商品ラインナップを提供する業務。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年金基金や政府系ファンド（GPIF 等）、保険会社等の機関投資家から資金の運用を直接受託し、専門的な運用サービスを提供する業務。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7. オルタナティブ投資運用（PE・不動産ファンド・ヘッジファンド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マーケット業務（市場部門・トレーディング・ALM）</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円貨・外貨資金の調達と運用のバランスを管理し、金利リスク・流動性リスクなどをコントロールする資産負債総合管理（ALM）業務。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国債・社債、外国為替、金利・為替デリバティブ等の市場性商品を、自己勘定および顧客向けに売買する業務。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10. 有価証券への自己勘定投資業務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自己の資金を用いて国債・社債・株式等の有価証券に投資し、運用収益を獲得する業務。</w:t>
            </w:r>
          </w:p>
        </w:tc>
      </w:tr>
      <w:tr>
        <w:tc>
          <w:tcPr>
            <w:tcW w:type="dxa" w:w="3600"/>
            <w:tcMar>
              <w:top w:type="dxa" w:w="60"/>
              <w:left w:type="dxa" w:w="80"/>
              <w:bottom w:type="dxa" w:w="60"/>
              <w:right w:type="dxa" w:w="80"/>
            </w:tcMar>
            <w:vAlign w:val="center"/>
          </w:tcPr>
          <w:p>
            <w:pPr>
              <w:spacing w:after="0" w:line="260"/>
              <w:jc w:val="left"/>
            </w:pPr>
            <w:r>
              <w:rPr>
                <w:b/>
                <w:bCs/>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事業法人の為替リスク・金利リスクのヘッジニーズに対応し、為替予約やデリバティブ商品を組成・販売する業務。</w:t>
            </w:r>
          </w:p>
        </w:tc>
      </w:tr>
    </w:tbl>
    <w:p/>
    <w:sectPr>
      <w:pgSz w:w="16838" w:h="11906" w:orient="landscape"/>
      <w:pgMar w:top="700" w:right="700" w:bottom="7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2026-08-22T15:10:34.031Z</dcterms:created>
  <dcterms:modified xsi:type="dcterms:W3CDTF">2026-08-22T15:10:34.031Z</dcterms:modified>
</cp:coreProperties>
</file>

<file path=docProps/custom.xml><?xml version="1.0" encoding="utf-8"?>
<Properties xmlns="http://schemas.openxmlformats.org/officeDocument/2006/custom-properties" xmlns:vt="http://schemas.openxmlformats.org/officeDocument/2006/docPropsVTypes"/>
</file>