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val="false"/>
        <w:spacing w:after="120" w:before="120"/>
      </w:pPr>
      <w:r>
        <w:rPr>
          <w:b/>
          <w:bCs/>
          <w:snapToGrid w:val="false"/>
          <w:color w:val="1F3864"/>
          <w:sz w:val="30"/>
          <w:szCs w:val="30"/>
        </w:rPr>
        <w:t xml:space="preserve">資産運用業務・アセットマネジメント業務・マーケット業務の比較表（主要グループ別）</w:t>
      </w:r>
    </w:p>
    <w:p>
      <w:pPr>
        <w:pStyle w:val="Heading2"/>
        <w:keepNext w:val="false"/>
        <w:spacing w:after="80" w:before="160"/>
      </w:pPr>
      <w:r>
        <w:rPr>
          <w:b/>
          <w:bCs/>
          <w:snapToGrid w:val="false"/>
          <w:color w:val="2F5496"/>
          <w:sz w:val="22"/>
          <w:szCs w:val="22"/>
        </w:rPr>
        <w:t xml:space="preserve">まず押さえておきたい違い：フィデューシャリー・デューティー（受託者責任）の有無</w:t>
      </w:r>
    </w:p>
    <w:p>
      <w:pPr>
        <w:spacing w:after="100" w:line="264"/>
      </w:pPr>
      <w:r>
        <w:rPr>
          <w:snapToGrid w:val="false"/>
          <w:sz w:val="20"/>
          <w:szCs w:val="20"/>
        </w:rPr>
        <w:t xml:space="preserve">3つの業務は名称が似ていますが、法律上の性格はまったく異なります。比較表を見る前に、まずこの違いを整理します。</w:t>
      </w:r>
    </w:p>
    <w:tbl>
      <w:tblPr>
        <w:tblW w:type="dxa" w:w="15438"/>
        <w:tblBorders>
          <w:top w:val="single" w:color="999999" w:sz="4"/>
          <w:left w:val="single" w:color="999999" w:sz="4"/>
          <w:bottom w:val="single" w:color="999999" w:sz="4"/>
          <w:right w:val="single" w:color="999999" w:sz="4"/>
          <w:insideH w:val="single" w:color="999999" w:sz="2"/>
          <w:insideV w:val="single" w:color="999999" w:sz="2"/>
        </w:tblBorders>
        <w:tblLayout w:type="fixed"/>
      </w:tblPr>
      <w:tblGrid>
        <w:gridCol w:w="2500"/>
        <w:gridCol w:w="4313"/>
        <w:gridCol w:w="4313"/>
        <w:gridCol w:w="4312"/>
      </w:tblGrid>
      <w:tr>
        <w:trPr>
          <w:tblHeader/>
        </w:trPr>
        <w:tc>
          <w:tcPr>
            <w:tcW w:type="dxa" w:w="2500"/>
            <w:shd w:fill="2F5496" w:val="clear"/>
            <w:tcMar>
              <w:top w:type="dxa" w:w="100"/>
              <w:left w:type="dxa" w:w="100"/>
              <w:bottom w:type="dxa" w:w="100"/>
              <w:right w:type="dxa" w:w="100"/>
            </w:tcMar>
            <w:vAlign w:val="center"/>
          </w:tcPr>
          <w:p>
            <w:pPr>
              <w:spacing w:after="0" w:line="260"/>
              <w:jc w:val="center"/>
            </w:pPr>
            <w:r>
              <w:rPr>
                <w:b/>
                <w:bCs/>
                <w:snapToGrid w:val="false"/>
                <w:color w:val="FFFFFF"/>
                <w:sz w:val="20"/>
                <w:szCs w:val="20"/>
              </w:rPr>
              <w:t xml:space="preserve"/>
            </w:r>
          </w:p>
        </w:tc>
        <w:tc>
          <w:tcPr>
            <w:tcW w:type="dxa" w:w="4313"/>
            <w:shd w:fill="2F5496" w:val="clear"/>
            <w:tcMar>
              <w:top w:type="dxa" w:w="100"/>
              <w:left w:type="dxa" w:w="100"/>
              <w:bottom w:type="dxa" w:w="100"/>
              <w:right w:type="dxa" w:w="100"/>
            </w:tcMar>
            <w:vAlign w:val="center"/>
          </w:tcPr>
          <w:p>
            <w:pPr>
              <w:spacing w:after="0" w:line="260"/>
              <w:jc w:val="center"/>
            </w:pPr>
            <w:r>
              <w:rPr>
                <w:b/>
                <w:bCs/>
                <w:snapToGrid w:val="false"/>
                <w:color w:val="FFFFFF"/>
                <w:sz w:val="20"/>
                <w:szCs w:val="20"/>
              </w:rPr>
              <w:t xml:space="preserve">信託銀行の資産運用業務</w:t>
            </w:r>
          </w:p>
        </w:tc>
        <w:tc>
          <w:tcPr>
            <w:tcW w:type="dxa" w:w="4313"/>
            <w:shd w:fill="2F5496" w:val="clear"/>
            <w:tcMar>
              <w:top w:type="dxa" w:w="100"/>
              <w:left w:type="dxa" w:w="100"/>
              <w:bottom w:type="dxa" w:w="100"/>
              <w:right w:type="dxa" w:w="100"/>
            </w:tcMar>
            <w:vAlign w:val="center"/>
          </w:tcPr>
          <w:p>
            <w:pPr>
              <w:spacing w:after="0" w:line="260"/>
              <w:jc w:val="center"/>
            </w:pPr>
            <w:r>
              <w:rPr>
                <w:b/>
                <w:bCs/>
                <w:snapToGrid w:val="false"/>
                <w:color w:val="FFFFFF"/>
                <w:sz w:val="20"/>
                <w:szCs w:val="20"/>
              </w:rPr>
              <w:t xml:space="preserve">アセットマネジメント業務</w:t>
            </w:r>
          </w:p>
        </w:tc>
        <w:tc>
          <w:tcPr>
            <w:tcW w:type="dxa" w:w="4312"/>
            <w:shd w:fill="2F5496" w:val="clear"/>
            <w:tcMar>
              <w:top w:type="dxa" w:w="100"/>
              <w:left w:type="dxa" w:w="100"/>
              <w:bottom w:type="dxa" w:w="100"/>
              <w:right w:type="dxa" w:w="100"/>
            </w:tcMar>
            <w:vAlign w:val="center"/>
          </w:tcPr>
          <w:p>
            <w:pPr>
              <w:spacing w:after="0" w:line="260"/>
              <w:jc w:val="center"/>
            </w:pPr>
            <w:r>
              <w:rPr>
                <w:b/>
                <w:bCs/>
                <w:snapToGrid w:val="false"/>
                <w:color w:val="FFFFFF"/>
                <w:sz w:val="20"/>
                <w:szCs w:val="20"/>
              </w:rPr>
              <w:t xml:space="preserve">マーケット業務</w:t>
            </w:r>
          </w:p>
        </w:tc>
      </w:tr>
      <w:tr>
        <w:trPr>
          <w:cantSplit/>
        </w:trPr>
        <w:tc>
          <w:tcPr>
            <w:tcW w:type="dxa" w:w="2500"/>
            <w:shd w:fill="F2F2F2" w:val="clear"/>
            <w:tcMar>
              <w:top w:type="dxa" w:w="90"/>
              <w:left w:type="dxa" w:w="100"/>
              <w:bottom w:type="dxa" w:w="90"/>
              <w:right w:type="dxa" w:w="100"/>
            </w:tcMar>
            <w:vAlign w:val="center"/>
          </w:tcPr>
          <w:p>
            <w:pPr>
              <w:spacing w:after="0" w:line="260"/>
              <w:jc w:val="left"/>
            </w:pPr>
            <w:r>
              <w:rPr>
                <w:b/>
                <w:bCs/>
                <w:snapToGrid w:val="false"/>
                <w:sz w:val="18"/>
                <w:szCs w:val="18"/>
              </w:rPr>
              <w:t xml:space="preserve">法的性格</w:t>
            </w:r>
          </w:p>
        </w:tc>
        <w:tc>
          <w:tcPr>
            <w:tcW w:type="dxa" w:w="4313"/>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受託者としての運用（信認義務あり）</w:t>
            </w:r>
          </w:p>
        </w:tc>
        <w:tc>
          <w:tcPr>
            <w:tcW w:type="dxa" w:w="4313"/>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受任者・委託者としての運用（信認義務あり）</w:t>
            </w:r>
          </w:p>
        </w:tc>
        <w:tc>
          <w:tcPr>
            <w:tcW w:type="dxa" w:w="4312"/>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自己勘定取引＝principal（信認義務なし）</w:t>
            </w:r>
          </w:p>
        </w:tc>
      </w:tr>
      <w:tr>
        <w:trPr>
          <w:cantSplit/>
        </w:trPr>
        <w:tc>
          <w:tcPr>
            <w:tcW w:type="dxa" w:w="2500"/>
            <w:shd w:fill="F2F2F2" w:val="clear"/>
            <w:tcMar>
              <w:top w:type="dxa" w:w="90"/>
              <w:left w:type="dxa" w:w="100"/>
              <w:bottom w:type="dxa" w:w="90"/>
              <w:right w:type="dxa" w:w="100"/>
            </w:tcMar>
            <w:vAlign w:val="center"/>
          </w:tcPr>
          <w:p>
            <w:pPr>
              <w:spacing w:after="0" w:line="260"/>
              <w:jc w:val="left"/>
            </w:pPr>
            <w:r>
              <w:rPr>
                <w:b/>
                <w:bCs/>
                <w:snapToGrid w:val="false"/>
                <w:sz w:val="18"/>
                <w:szCs w:val="18"/>
              </w:rPr>
              <w:t xml:space="preserve">誰のために</w:t>
            </w:r>
          </w:p>
        </w:tc>
        <w:tc>
          <w:tcPr>
            <w:tcW w:type="dxa" w:w="4313"/>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顧客（委託者・受益者）</w:t>
            </w:r>
          </w:p>
        </w:tc>
        <w:tc>
          <w:tcPr>
            <w:tcW w:type="dxa" w:w="4313"/>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顧客（投資家）</w:t>
            </w:r>
          </w:p>
        </w:tc>
        <w:tc>
          <w:tcPr>
            <w:tcW w:type="dxa" w:w="4312"/>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銀行自身</w:t>
            </w:r>
          </w:p>
        </w:tc>
      </w:tr>
      <w:tr>
        <w:trPr>
          <w:cantSplit/>
        </w:trPr>
        <w:tc>
          <w:tcPr>
            <w:tcW w:type="dxa" w:w="2500"/>
            <w:shd w:fill="F2F2F2" w:val="clear"/>
            <w:tcMar>
              <w:top w:type="dxa" w:w="90"/>
              <w:left w:type="dxa" w:w="100"/>
              <w:bottom w:type="dxa" w:w="90"/>
              <w:right w:type="dxa" w:w="100"/>
            </w:tcMar>
            <w:vAlign w:val="center"/>
          </w:tcPr>
          <w:p>
            <w:pPr>
              <w:spacing w:after="0" w:line="260"/>
              <w:jc w:val="left"/>
            </w:pPr>
            <w:r>
              <w:rPr>
                <w:b/>
                <w:bCs/>
                <w:snapToGrid w:val="false"/>
                <w:sz w:val="18"/>
                <w:szCs w:val="18"/>
              </w:rPr>
              <w:t xml:space="preserve">根拠法</w:t>
            </w:r>
          </w:p>
        </w:tc>
        <w:tc>
          <w:tcPr>
            <w:tcW w:type="dxa" w:w="4313"/>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信託業法（金銭信託 等）</w:t>
            </w:r>
          </w:p>
        </w:tc>
        <w:tc>
          <w:tcPr>
            <w:tcW w:type="dxa" w:w="4313"/>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投信法・金融商品取引法（投資運用業）</w:t>
            </w:r>
          </w:p>
        </w:tc>
        <w:tc>
          <w:tcPr>
            <w:tcW w:type="dxa" w:w="4312"/>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銀行法10条2項（付随業務）</w:t>
            </w:r>
          </w:p>
        </w:tc>
      </w:tr>
      <w:tr>
        <w:trPr>
          <w:cantSplit/>
        </w:trPr>
        <w:tc>
          <w:tcPr>
            <w:tcW w:type="dxa" w:w="2500"/>
            <w:shd w:fill="F2F2F2" w:val="clear"/>
            <w:tcMar>
              <w:top w:type="dxa" w:w="90"/>
              <w:left w:type="dxa" w:w="100"/>
              <w:bottom w:type="dxa" w:w="90"/>
              <w:right w:type="dxa" w:w="100"/>
            </w:tcMar>
            <w:vAlign w:val="center"/>
          </w:tcPr>
          <w:p>
            <w:pPr>
              <w:spacing w:after="0" w:line="260"/>
              <w:jc w:val="left"/>
            </w:pPr>
            <w:r>
              <w:rPr>
                <w:b/>
                <w:bCs/>
                <w:snapToGrid w:val="false"/>
                <w:sz w:val="18"/>
                <w:szCs w:val="18"/>
              </w:rPr>
              <w:t xml:space="preserve">損益の帰属</w:t>
            </w:r>
          </w:p>
        </w:tc>
        <w:tc>
          <w:tcPr>
            <w:tcW w:type="dxa" w:w="4313"/>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顧客</w:t>
            </w:r>
          </w:p>
        </w:tc>
        <w:tc>
          <w:tcPr>
            <w:tcW w:type="dxa" w:w="4313"/>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顧客</w:t>
            </w:r>
          </w:p>
        </w:tc>
        <w:tc>
          <w:tcPr>
            <w:tcW w:type="dxa" w:w="4312"/>
            <w:tcMar>
              <w:top w:type="dxa" w:w="90"/>
              <w:left w:type="dxa" w:w="100"/>
              <w:bottom w:type="dxa" w:w="90"/>
              <w:right w:type="dxa" w:w="100"/>
            </w:tcMar>
            <w:vAlign w:val="center"/>
          </w:tcPr>
          <w:p>
            <w:pPr>
              <w:spacing w:after="0" w:line="260"/>
              <w:jc w:val="left"/>
            </w:pPr>
            <w:r>
              <w:rPr>
                <w:b w:val="false"/>
                <w:bCs w:val="false"/>
                <w:snapToGrid w:val="false"/>
                <w:sz w:val="18"/>
                <w:szCs w:val="18"/>
              </w:rPr>
              <w:t xml:space="preserve">銀行自身</w:t>
            </w:r>
          </w:p>
        </w:tc>
      </w:tr>
    </w:tbl>
    <w:p>
      <w:pPr>
        <w:spacing w:after="60" w:before="140"/>
      </w:pPr>
    </w:p>
    <w:p>
      <w:pPr>
        <w:spacing w:after="40" w:line="240"/>
        <w:ind w:left="260"/>
      </w:pPr>
      <w:r>
        <w:rPr>
          <w:b/>
          <w:bCs/>
          <w:snapToGrid w:val="false"/>
          <w:sz w:val="19"/>
          <w:szCs w:val="19"/>
        </w:rPr>
        <w:t xml:space="preserve">・一言でまとめると：</w:t>
      </w:r>
    </w:p>
    <w:p>
      <w:pPr>
        <w:spacing w:after="40" w:line="240"/>
        <w:ind w:left="260"/>
      </w:pPr>
      <w:r>
        <w:rPr>
          <w:b w:val="false"/>
          <w:bCs w:val="false"/>
          <w:snapToGrid w:val="false"/>
          <w:sz w:val="19"/>
          <w:szCs w:val="19"/>
        </w:rPr>
        <w:t xml:space="preserve">・資産運用業務／アセットマネジメント業務＝「顧客の財産を、顧客のために、法律上の義務（フィデューシャリー・デューティー）を負って運用する」業務。</w:t>
      </w:r>
    </w:p>
    <w:p>
      <w:pPr>
        <w:spacing w:after="40" w:line="240"/>
        <w:ind w:left="260"/>
      </w:pPr>
      <w:r>
        <w:rPr>
          <w:b w:val="false"/>
          <w:bCs w:val="false"/>
          <w:snapToGrid w:val="false"/>
          <w:sz w:val="19"/>
          <w:szCs w:val="19"/>
        </w:rPr>
        <w:t xml:space="preserve">・マーケット業務＝「銀行自身の財産を、銀行自身のために動かす」業務。法人顧客に為替・デリバティブを提供する場合も、運用を代行しているのではなく、取引の相手方（principal）になっているだけ。</w:t>
      </w:r>
    </w:p>
    <w:p>
      <w:pPr>
        <w:spacing w:after="60" w:before="80"/>
      </w:pPr>
    </w:p>
    <w:p>
      <w:pPr>
        <w:spacing w:after="40" w:line="240"/>
        <w:ind w:left="260"/>
      </w:pPr>
      <w:r>
        <w:rPr>
          <w:b w:val="false"/>
          <w:bCs w:val="false"/>
          <w:snapToGrid w:val="false"/>
          <w:sz w:val="19"/>
          <w:szCs w:val="19"/>
        </w:rPr>
        <w:t xml:space="preserve">・なお「資産運用業務」と「アセットマネジメント業務」の境界は、業務によって曖昧な部分と明確な部分がある：</w:t>
      </w:r>
    </w:p>
    <w:p>
      <w:pPr>
        <w:spacing w:after="40" w:line="240"/>
        <w:ind w:left="260"/>
      </w:pPr>
      <w:r>
        <w:rPr>
          <w:b w:val="false"/>
          <w:bCs w:val="false"/>
          <w:snapToGrid w:val="false"/>
          <w:sz w:val="19"/>
          <w:szCs w:val="19"/>
        </w:rPr>
        <w:t xml:space="preserve">・　投資一任業務（機関投資家向け一任運用）は、信託銀行本体・アセマネ会社のどちらが行っても法的に同じ「投資運用業」であり、実質的な違いはほぼない。</w:t>
      </w:r>
    </w:p>
    <w:p>
      <w:pPr>
        <w:spacing w:after="40" w:line="240"/>
        <w:ind w:left="260"/>
      </w:pPr>
      <w:r>
        <w:rPr>
          <w:b w:val="false"/>
          <w:bCs w:val="false"/>
          <w:snapToGrid w:val="false"/>
          <w:sz w:val="19"/>
          <w:szCs w:val="19"/>
        </w:rPr>
        <w:t xml:space="preserve">・　一方、公募投資信託の設定・運用は、投資信託及び投資法人に関する法律第3条により、委託者（アセマネ会社）と受託者（信託銀行）を別法人にすることが法定されており、明確に分離されている。</w:t>
      </w:r>
    </w:p>
    <w:p>
      <w:pPr>
        <w:spacing w:after="60" w:before="160"/>
      </w:pPr>
    </w:p>
    <w:p>
      <w:pPr>
        <w:pStyle w:val="Heading2"/>
        <w:keepNext w:val="false"/>
        <w:spacing w:after="80" w:before="160"/>
      </w:pPr>
      <w:r>
        <w:rPr>
          <w:b/>
          <w:bCs/>
          <w:snapToGrid w:val="false"/>
          <w:color w:val="2F5496"/>
          <w:sz w:val="22"/>
          <w:szCs w:val="22"/>
        </w:rPr>
        <w:t xml:space="preserve">比較表の見方</w:t>
      </w:r>
    </w:p>
    <w:p>
      <w:pPr>
        <w:spacing w:after="100" w:line="264"/>
      </w:pPr>
      <w:r>
        <w:rPr>
          <w:snapToGrid w:val="false"/>
          <w:sz w:val="20"/>
          <w:szCs w:val="20"/>
        </w:rPr>
        <w:t xml:space="preserve">以下は、主要な信託銀行グループを横軸に、業務種類を縦軸にとり、各業務の取扱い状況を整理したものです。列数が多いと文字が読みにくくなるため、グループを①〜③（前半）と④〜⑦（後半）の2つの表に分けて掲載しています。</w:t>
      </w:r>
    </w:p>
    <w:p>
      <w:pPr>
        <w:spacing w:after="160"/>
      </w:pPr>
      <w:r>
        <w:rPr>
          <w:b/>
          <w:bCs/>
          <w:snapToGrid w:val="false"/>
          <w:sz w:val="19"/>
          <w:szCs w:val="19"/>
        </w:rPr>
        <w:t xml:space="preserve">凡例：</w:t>
      </w:r>
      <w:r>
        <w:rPr>
          <w:snapToGrid w:val="false"/>
          <w:color w:val="1F6F43"/>
          <w:sz w:val="19"/>
          <w:szCs w:val="19"/>
        </w:rPr>
        <w:t xml:space="preserve">○＝実施している（会社名を記載）　</w:t>
      </w:r>
      <w:r>
        <w:rPr>
          <w:snapToGrid w:val="false"/>
          <w:color w:val="B36B00"/>
          <w:sz w:val="19"/>
          <w:szCs w:val="19"/>
        </w:rPr>
        <w:t xml:space="preserve">△＝一部・限定的に実施　</w:t>
      </w:r>
      <w:r>
        <w:rPr>
          <w:snapToGrid w:val="false"/>
          <w:color w:val="999999"/>
          <w:sz w:val="19"/>
          <w:szCs w:val="19"/>
        </w:rPr>
        <w:t xml:space="preserve">×＝実施していない</w:t>
      </w:r>
    </w:p>
    <w:p>
      <w:pPr>
        <w:pStyle w:val="Heading2"/>
        <w:keepNext/>
        <w:spacing w:after="80" w:before="160"/>
      </w:pPr>
      <w:r>
        <w:rPr>
          <w:b/>
          <w:bCs/>
          <w:snapToGrid w:val="false"/>
          <w:color w:val="2F5496"/>
          <w:sz w:val="22"/>
          <w:szCs w:val="22"/>
        </w:rPr>
        <w:t xml:space="preserve">（1/2）①みずほ・②三菱UFJ・③りそな グループ</w:t>
      </w:r>
    </w:p>
    <w:tbl>
      <w:tblPr>
        <w:tblW w:type="dxa" w:w="15438"/>
        <w:tblBorders>
          <w:top w:val="single" w:color="999999" w:sz="4"/>
          <w:left w:val="single" w:color="999999" w:sz="4"/>
          <w:bottom w:val="single" w:color="999999" w:sz="4"/>
          <w:right w:val="single" w:color="999999" w:sz="4"/>
          <w:insideH w:val="single" w:color="999999" w:sz="2"/>
          <w:insideV w:val="single" w:color="999999" w:sz="2"/>
        </w:tblBorders>
        <w:tblLayout w:type="fixed"/>
      </w:tblPr>
      <w:tblGrid>
        <w:gridCol w:w="4450"/>
        <w:gridCol w:w="3663"/>
        <w:gridCol w:w="3663"/>
        <w:gridCol w:w="3662"/>
      </w:tblGrid>
      <w:tr>
        <w:trPr>
          <w:tblHeader/>
        </w:trPr>
        <w:tc>
          <w:tcPr>
            <w:tcW w:type="dxa" w:w="4450"/>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業務種類</w:t>
            </w:r>
          </w:p>
        </w:tc>
        <w:tc>
          <w:tcPr>
            <w:tcW w:type="dxa" w:w="3663"/>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①みずほ</w:t>
            </w:r>
            <w:r>
              <w:rPr>
                <w:b/>
                <w:bCs/>
                <w:snapToGrid w:val="false"/>
                <w:color w:val="FFFFFF"/>
                <w:sz w:val="24"/>
                <w:szCs w:val="24"/>
              </w:rPr>
              <w:br/>
              <w:t xml:space="preserve">グループ</w:t>
            </w:r>
          </w:p>
        </w:tc>
        <w:tc>
          <w:tcPr>
            <w:tcW w:type="dxa" w:w="3663"/>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②三菱UFJ</w:t>
            </w:r>
            <w:r>
              <w:rPr>
                <w:b/>
                <w:bCs/>
                <w:snapToGrid w:val="false"/>
                <w:color w:val="FFFFFF"/>
                <w:sz w:val="24"/>
                <w:szCs w:val="24"/>
              </w:rPr>
              <w:br/>
              <w:t xml:space="preserve">グループ</w:t>
            </w:r>
          </w:p>
        </w:tc>
        <w:tc>
          <w:tcPr>
            <w:tcW w:type="dxa" w:w="3662"/>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③りそな</w:t>
            </w:r>
            <w:r>
              <w:rPr>
                <w:b/>
                <w:bCs/>
                <w:snapToGrid w:val="false"/>
                <w:color w:val="FFFFFF"/>
                <w:sz w:val="24"/>
                <w:szCs w:val="24"/>
              </w:rPr>
              <w:br/>
              <w:t xml:space="preserve">グループ</w:t>
            </w:r>
          </w:p>
        </w:tc>
      </w:tr>
      <w:tr>
        <w:trPr>
          <w:cantSplit/>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A. 資産運用業務（信託銀行本体が行う運用受託業務）</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 金銭信託・年金信託の運用の意思決定業務（自家運用）</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 投資一任契約に基づく投資顧問業務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3. プライベートアセット（未上場株・インフラ・不動産private debt 等）の運用受託</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B36B00"/>
                <w:sz w:val="26"/>
                <w:szCs w:val="26"/>
              </w:rPr>
              <w:t xml:space="preserve">△</w:t>
            </w:r>
          </w:p>
        </w:tc>
      </w:tr>
      <w:tr>
        <w:trPr>
          <w:cantSplit/>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B. アセットマネジメント業務（グループの資産運用会社による運用業務）</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4. 公募投資信託の設定・運用（委託者）業務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アセットマネジメントOne</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三菱UFJアセットマネジメント</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りそなアセットマネジメント</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5. 確定拠出年金（DC）向け運用商品の提供</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アセットマネジメントOne</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三菱UFJアセットマネジメント</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りそなアセットマネジメント</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6. 機関投資家向け（年金基金・GPIF 等）運用受託業務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アセットマネジメントOne</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三菱UFJアセットマネジメント</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りそなアセットマネジメント</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7. オルタナティブ投資運用（PE・不動産ファンド・ヘッジファンド 等）</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アセットマネジメントOne 等</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三菱UFJアセットマネジメント 等</w:t>
            </w:r>
          </w:p>
        </w:tc>
        <w:tc>
          <w:tcPr>
            <w:tcW w:type="dxa" w:w="3662"/>
            <w:tcMar>
              <w:top w:type="dxa" w:w="90"/>
              <w:left w:type="dxa" w:w="90"/>
              <w:bottom w:type="dxa" w:w="90"/>
              <w:right w:type="dxa" w:w="90"/>
            </w:tcMar>
            <w:vAlign w:val="center"/>
          </w:tcPr>
          <w:p>
            <w:pPr>
              <w:spacing w:after="0" w:line="280"/>
            </w:pPr>
            <w:r>
              <w:rPr>
                <w:b/>
                <w:bCs/>
                <w:snapToGrid w:val="false"/>
                <w:color w:val="B36B00"/>
                <w:sz w:val="26"/>
                <w:szCs w:val="26"/>
              </w:rPr>
              <w:t xml:space="preserve">△</w:t>
            </w:r>
          </w:p>
        </w:tc>
      </w:tr>
      <w:tr>
        <w:trPr>
          <w:cantSplit/>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C. マーケット業務（市場部門・トレーディング・ALM）</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8. 資金繰り・ALM業務（円貨・外貨の調達・運用管理）</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みずほ銀行</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三菱UFJ銀行</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r>
              <w:rPr>
                <w:snapToGrid w:val="false"/>
                <w:sz w:val="20"/>
                <w:szCs w:val="20"/>
              </w:rPr>
              <w:br/>
              <w:t xml:space="preserve">埼玉りそな銀行</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9. 債券・為替・デリバティブのセールス＆トレーディング業務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みずほ銀行</w:t>
            </w:r>
            <w:r>
              <w:rPr>
                <w:snapToGrid w:val="false"/>
                <w:sz w:val="20"/>
                <w:szCs w:val="20"/>
              </w:rPr>
              <w:br/>
              <w:t xml:space="preserve">みずほ証券</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三菱UFJ銀行</w:t>
            </w:r>
            <w:r>
              <w:rPr>
                <w:snapToGrid w:val="false"/>
                <w:sz w:val="20"/>
                <w:szCs w:val="20"/>
              </w:rPr>
              <w:br/>
              <w:t xml:space="preserve">三菱UFJモルガン・スタンレー証券</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10. 有価証券への自己勘定投資業務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みずほ銀行</w:t>
            </w:r>
            <w:r>
              <w:rPr>
                <w:snapToGrid w:val="false"/>
                <w:sz w:val="20"/>
                <w:szCs w:val="20"/>
              </w:rPr>
              <w:br/>
              <w:t xml:space="preserve">みずほ信託銀行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三菱UFJ銀行</w:t>
            </w:r>
            <w:r>
              <w:rPr>
                <w:snapToGrid w:val="false"/>
                <w:sz w:val="20"/>
                <w:szCs w:val="20"/>
              </w:rPr>
              <w:br/>
              <w:t xml:space="preserve">三菱UFJ信託銀行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11. 法人向け為替・デリバティブ商品の提供（マーケティング）業務</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みずほ銀行</w:t>
            </w:r>
          </w:p>
        </w:tc>
        <w:tc>
          <w:tcPr>
            <w:tcW w:type="dxa" w:w="3663"/>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三菱UFJ銀行</w:t>
            </w:r>
          </w:p>
        </w:tc>
        <w:tc>
          <w:tcPr>
            <w:tcW w:type="dxa" w:w="3662"/>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りそな銀行</w:t>
            </w:r>
          </w:p>
        </w:tc>
      </w:tr>
    </w:tbl>
    <w:p>
      <w:pPr>
        <w:pStyle w:val="Heading2"/>
        <w:keepNext/>
        <w:spacing w:after="80" w:before="160"/>
      </w:pPr>
      <w:r>
        <w:rPr>
          <w:b/>
          <w:bCs/>
          <w:snapToGrid w:val="false"/>
          <w:color w:val="2F5496"/>
          <w:sz w:val="22"/>
          <w:szCs w:val="22"/>
        </w:rPr>
        <w:t xml:space="preserve">（2/2）④ゆうちょ・⑤三井住友グループ・⑦その他</w:t>
      </w:r>
    </w:p>
    <w:tbl>
      <w:tblPr>
        <w:tblW w:type="dxa" w:w="15438"/>
        <w:tblBorders>
          <w:top w:val="single" w:color="999999" w:sz="4"/>
          <w:left w:val="single" w:color="999999" w:sz="4"/>
          <w:bottom w:val="single" w:color="999999" w:sz="4"/>
          <w:right w:val="single" w:color="999999" w:sz="4"/>
          <w:insideH w:val="single" w:color="999999" w:sz="2"/>
          <w:insideV w:val="single" w:color="999999" w:sz="2"/>
        </w:tblBorders>
        <w:tblLayout w:type="fixed"/>
      </w:tblPr>
      <w:tblGrid>
        <w:gridCol w:w="4450"/>
        <w:gridCol w:w="3050"/>
        <w:gridCol w:w="4300"/>
        <w:gridCol w:w="3638"/>
      </w:tblGrid>
      <w:tr>
        <w:trPr>
          <w:tblHeader/>
        </w:trPr>
        <w:tc>
          <w:tcPr>
            <w:tcW w:type="dxa" w:w="4450"/>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業務種類</w:t>
            </w:r>
          </w:p>
        </w:tc>
        <w:tc>
          <w:tcPr>
            <w:tcW w:type="dxa" w:w="3050"/>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④ゆうちょ</w:t>
            </w:r>
          </w:p>
        </w:tc>
        <w:tc>
          <w:tcPr>
            <w:tcW w:type="dxa" w:w="4300"/>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⑤三井住友</w:t>
            </w:r>
            <w:r>
              <w:rPr>
                <w:b/>
                <w:bCs/>
                <w:snapToGrid w:val="false"/>
                <w:color w:val="FFFFFF"/>
                <w:sz w:val="24"/>
                <w:szCs w:val="24"/>
              </w:rPr>
              <w:br/>
              <w:t xml:space="preserve">グループ</w:t>
            </w:r>
          </w:p>
        </w:tc>
        <w:tc>
          <w:tcPr>
            <w:tcW w:type="dxa" w:w="3638"/>
            <w:shd w:fill="2F5496" w:val="clear"/>
            <w:tcMar>
              <w:top w:type="dxa" w:w="110"/>
              <w:left w:type="dxa" w:w="110"/>
              <w:bottom w:type="dxa" w:w="110"/>
              <w:right w:type="dxa" w:w="110"/>
            </w:tcMar>
            <w:vAlign w:val="center"/>
          </w:tcPr>
          <w:p>
            <w:pPr>
              <w:spacing w:after="0" w:line="260"/>
              <w:jc w:val="center"/>
            </w:pPr>
            <w:r>
              <w:rPr>
                <w:b/>
                <w:bCs/>
                <w:snapToGrid w:val="false"/>
                <w:color w:val="FFFFFF"/>
                <w:sz w:val="24"/>
                <w:szCs w:val="24"/>
              </w:rPr>
              <w:t xml:space="preserve">⑦その他</w:t>
            </w:r>
          </w:p>
        </w:tc>
      </w:tr>
      <w:tr>
        <w:trPr>
          <w:cantSplit/>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A. 資産運用業務（信託銀行本体が行う運用受託業務）</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 金銭信託・年金信託の運用の意思決定業務（自家運用）</w:t>
            </w:r>
          </w:p>
        </w:tc>
        <w:tc>
          <w:tcPr>
            <w:tcW w:type="dxa" w:w="3050"/>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i/>
                <w:iCs/>
                <w:snapToGrid w:val="false"/>
                <w:color w:val="666666"/>
                <w:sz w:val="16"/>
                <w:szCs w:val="16"/>
              </w:rPr>
              <w:br/>
              <w:t xml:space="preserve">一部をゆうちょアセットマネジメントへ移管</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r>
              <w:rPr>
                <w:snapToGrid w:val="false"/>
                <w:sz w:val="20"/>
                <w:szCs w:val="20"/>
              </w:rPr>
              <w:br/>
              <w:t xml:space="preserve">SMBC信託銀行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野村信託銀行 等</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2. 投資一任契約に基づく投資顧問業務</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野村信託銀行 等</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3. プライベートアセット（未上場株・インフラ・不動産private debt 等）の運用受託</w:t>
            </w:r>
          </w:p>
        </w:tc>
        <w:tc>
          <w:tcPr>
            <w:tcW w:type="dxa" w:w="3050"/>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snapToGrid w:val="false"/>
                <w:sz w:val="20"/>
                <w:szCs w:val="20"/>
              </w:rPr>
              <w:br/>
              <w:t xml:space="preserve">ゆうちょアセットマネジメント</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p>
        </w:tc>
      </w:tr>
      <w:tr>
        <w:trPr>
          <w:cantSplit/>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B. アセットマネジメント業務（グループの資産運用会社による運用業務）</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4. 公募投資信託の設定・運用（委託者）業務</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r>
              <w:rPr>
                <w:i/>
                <w:iCs/>
                <w:snapToGrid w:val="false"/>
                <w:color w:val="666666"/>
                <w:sz w:val="16"/>
                <w:szCs w:val="16"/>
              </w:rPr>
              <w:br/>
              <w:t xml:space="preserve">個人向け公募投信の自社設定は行っていない</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三井住友トラスト・アセットマネジメント</w:t>
            </w:r>
            <w:r>
              <w:rPr>
                <w:snapToGrid w:val="false"/>
                <w:sz w:val="20"/>
                <w:szCs w:val="20"/>
              </w:rPr>
              <w:br/>
              <w:t xml:space="preserve">三井住友DSアセットマネジメント</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野村アセットマネジメント</w:t>
            </w:r>
            <w:r>
              <w:rPr>
                <w:snapToGrid w:val="false"/>
                <w:sz w:val="20"/>
                <w:szCs w:val="20"/>
              </w:rPr>
              <w:br/>
              <w:t xml:space="preserve">大和アセットマネジメント 等</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5. 確定拠出年金（DC）向け運用商品の提供</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三井住友トラスト・アセットマネジメント 等</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野村アセットマネジメント 等</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6. 機関投資家向け（年金基金・GPIF 等）運用受託業務</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三井住友トラスト・アセットマネジメント</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野村アセットマネジメント 等</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7. オルタナティブ投資運用（PE・不動産ファンド・ヘッジファンド 等）</w:t>
            </w:r>
          </w:p>
        </w:tc>
        <w:tc>
          <w:tcPr>
            <w:tcW w:type="dxa" w:w="3050"/>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snapToGrid w:val="false"/>
                <w:sz w:val="20"/>
                <w:szCs w:val="20"/>
              </w:rPr>
              <w:br/>
              <w:t xml:space="preserve">ゆうちょアセットマネジメント</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三井住友トラスト・アセットマネジメント 等</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p>
        </w:tc>
      </w:tr>
      <w:tr>
        <w:trPr>
          <w:cantSplit/>
        </w:trPr>
        <w:tc>
          <w:tcPr>
            <w:tcW w:type="dxa" w:w="15438"/>
            <w:gridSpan w:val="4"/>
            <w:shd w:fill="D9E2F3" w:val="clear"/>
            <w:tcMar>
              <w:top w:type="dxa" w:w="100"/>
              <w:left w:type="dxa" w:w="130"/>
              <w:bottom w:type="dxa" w:w="100"/>
              <w:right w:type="dxa" w:w="110"/>
            </w:tcMar>
          </w:tcPr>
          <w:p>
            <w:pPr>
              <w:spacing w:after="0" w:line="260"/>
              <w:jc w:val="left"/>
            </w:pPr>
            <w:r>
              <w:rPr>
                <w:b/>
                <w:bCs/>
                <w:snapToGrid w:val="false"/>
                <w:color w:val="1F3864"/>
                <w:sz w:val="22"/>
                <w:szCs w:val="22"/>
              </w:rPr>
              <w:t xml:space="preserve">C. マーケット業務（市場部門・トレーディング・ALM）</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8. 資金繰り・ALM業務（円貨・外貨の調達・運用管理）</w:t>
            </w:r>
          </w:p>
        </w:tc>
        <w:tc>
          <w:tcPr>
            <w:tcW w:type="dxa" w:w="305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ゆうちょ銀行</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三井住友銀行</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野村信託銀行 等</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9. 債券・為替・デリバティブのセールス＆トレーディング業務</w:t>
            </w:r>
          </w:p>
        </w:tc>
        <w:tc>
          <w:tcPr>
            <w:tcW w:type="dxa" w:w="3050"/>
            <w:tcMar>
              <w:top w:type="dxa" w:w="90"/>
              <w:left w:type="dxa" w:w="90"/>
              <w:bottom w:type="dxa" w:w="90"/>
              <w:right w:type="dxa" w:w="90"/>
            </w:tcMar>
            <w:vAlign w:val="center"/>
          </w:tcPr>
          <w:p>
            <w:pPr>
              <w:spacing w:after="0" w:line="280"/>
            </w:pPr>
            <w:r>
              <w:rPr>
                <w:b/>
                <w:bCs/>
                <w:snapToGrid w:val="false"/>
                <w:color w:val="B36B00"/>
                <w:sz w:val="26"/>
                <w:szCs w:val="26"/>
              </w:rPr>
              <w:t xml:space="preserve">△</w:t>
            </w:r>
            <w:r>
              <w:rPr>
                <w:i/>
                <w:iCs/>
                <w:snapToGrid w:val="false"/>
                <w:color w:val="666666"/>
                <w:sz w:val="16"/>
                <w:szCs w:val="16"/>
              </w:rPr>
              <w:br/>
              <w:t xml:space="preserve">自己勘定運用が中心で対顧客セールスは限定的</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三井住友銀行</w:t>
            </w:r>
            <w:r>
              <w:rPr>
                <w:snapToGrid w:val="false"/>
                <w:sz w:val="20"/>
                <w:szCs w:val="20"/>
              </w:rPr>
              <w:br/>
              <w:t xml:space="preserve">SMBC日興証券</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10. 有価証券への自己勘定投資業務</w:t>
            </w:r>
          </w:p>
        </w:tc>
        <w:tc>
          <w:tcPr>
            <w:tcW w:type="dxa" w:w="305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ゆうちょ銀行</w:t>
            </w:r>
            <w:r>
              <w:rPr>
                <w:i/>
                <w:iCs/>
                <w:snapToGrid w:val="false"/>
                <w:color w:val="666666"/>
                <w:sz w:val="16"/>
                <w:szCs w:val="16"/>
              </w:rPr>
              <w:br/>
              <w:t xml:space="preserve">国債等を中心とした自己運用が主要収益源</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三井住友銀行</w:t>
            </w:r>
            <w:r>
              <w:rPr>
                <w:snapToGrid w:val="false"/>
                <w:sz w:val="20"/>
                <w:szCs w:val="20"/>
              </w:rPr>
              <w:br/>
              <w:t xml:space="preserve">三井住友信託銀行</w:t>
            </w:r>
          </w:p>
        </w:tc>
        <w:tc>
          <w:tcPr>
            <w:tcW w:type="dxa" w:w="3638"/>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農中信託銀行 等</w:t>
            </w:r>
          </w:p>
        </w:tc>
      </w:tr>
      <w:tr>
        <w:trPr>
          <w:cantSplit/>
        </w:trPr>
        <w:tc>
          <w:tcPr>
            <w:tcW w:type="dxa" w:w="4450"/>
            <w:tcMar>
              <w:top w:type="dxa" w:w="90"/>
              <w:left w:type="dxa" w:w="110"/>
              <w:bottom w:type="dxa" w:w="90"/>
              <w:right w:type="dxa" w:w="110"/>
            </w:tcMar>
            <w:vAlign w:val="center"/>
          </w:tcPr>
          <w:p>
            <w:pPr>
              <w:spacing w:after="0" w:line="260"/>
              <w:jc w:val="left"/>
            </w:pPr>
            <w:r>
              <w:rPr>
                <w:b w:val="false"/>
                <w:bCs w:val="false"/>
                <w:snapToGrid w:val="false"/>
                <w:sz w:val="21"/>
                <w:szCs w:val="21"/>
              </w:rPr>
              <w:t xml:space="preserve">11. 法人向け為替・デリバティブ商品の提供（マーケティング）業務</w:t>
            </w:r>
          </w:p>
        </w:tc>
        <w:tc>
          <w:tcPr>
            <w:tcW w:type="dxa" w:w="3050"/>
            <w:tcMar>
              <w:top w:type="dxa" w:w="90"/>
              <w:left w:type="dxa" w:w="90"/>
              <w:bottom w:type="dxa" w:w="90"/>
              <w:right w:type="dxa" w:w="90"/>
            </w:tcMar>
            <w:vAlign w:val="center"/>
          </w:tcPr>
          <w:p>
            <w:pPr>
              <w:spacing w:after="0" w:line="280"/>
            </w:pPr>
            <w:r>
              <w:rPr>
                <w:b/>
                <w:bCs/>
                <w:snapToGrid w:val="false"/>
                <w:color w:val="999999"/>
                <w:sz w:val="26"/>
                <w:szCs w:val="26"/>
              </w:rPr>
              <w:t xml:space="preserve">×</w:t>
            </w:r>
          </w:p>
        </w:tc>
        <w:tc>
          <w:tcPr>
            <w:tcW w:type="dxa" w:w="4300"/>
            <w:tcMar>
              <w:top w:type="dxa" w:w="90"/>
              <w:left w:type="dxa" w:w="90"/>
              <w:bottom w:type="dxa" w:w="90"/>
              <w:right w:type="dxa" w:w="90"/>
            </w:tcMar>
            <w:vAlign w:val="center"/>
          </w:tcPr>
          <w:p>
            <w:pPr>
              <w:spacing w:after="0" w:line="280"/>
            </w:pPr>
            <w:r>
              <w:rPr>
                <w:b/>
                <w:bCs/>
                <w:snapToGrid w:val="false"/>
                <w:color w:val="1F6F43"/>
                <w:sz w:val="26"/>
                <w:szCs w:val="26"/>
              </w:rPr>
              <w:t xml:space="preserve">○</w:t>
            </w:r>
            <w:r>
              <w:rPr>
                <w:snapToGrid w:val="false"/>
                <w:sz w:val="20"/>
                <w:szCs w:val="20"/>
              </w:rPr>
              <w:br/>
              <w:t xml:space="preserve">三井住友銀行</w:t>
            </w:r>
          </w:p>
        </w:tc>
        <w:tc>
          <w:tcPr>
            <w:tcW w:type="dxa" w:w="3638"/>
            <w:tcMar>
              <w:top w:type="dxa" w:w="90"/>
              <w:left w:type="dxa" w:w="90"/>
              <w:bottom w:type="dxa" w:w="90"/>
              <w:right w:type="dxa" w:w="90"/>
            </w:tcMar>
            <w:vAlign w:val="center"/>
          </w:tcPr>
          <w:p>
            <w:pPr>
              <w:spacing w:after="0" w:line="280"/>
            </w:pPr>
            <w:r>
              <w:rPr>
                <w:b/>
                <w:bCs/>
                <w:snapToGrid w:val="false"/>
                <w:color w:val="B36B00"/>
                <w:sz w:val="26"/>
                <w:szCs w:val="26"/>
              </w:rPr>
              <w:t xml:space="preserve">△</w:t>
            </w:r>
          </w:p>
        </w:tc>
      </w:tr>
    </w:tbl>
    <w:p>
      <w:pPr>
        <w:spacing w:before="200"/>
      </w:pPr>
    </w:p>
    <w:p>
      <w:pPr>
        <w:pStyle w:val="Heading2"/>
        <w:keepNext w:val="false"/>
        <w:spacing w:after="80" w:before="160"/>
      </w:pPr>
      <w:r>
        <w:rPr>
          <w:b/>
          <w:bCs/>
          <w:snapToGrid w:val="false"/>
          <w:color w:val="2F5496"/>
          <w:sz w:val="22"/>
          <w:szCs w:val="22"/>
        </w:rPr>
        <w:t xml:space="preserve">グループ区分について（注記）</w:t>
      </w:r>
    </w:p>
    <w:p>
      <w:pPr>
        <w:spacing w:after="40" w:line="240"/>
        <w:ind w:left="260"/>
      </w:pPr>
      <w:r>
        <w:rPr>
          <w:b w:val="false"/>
          <w:bCs w:val="false"/>
          <w:snapToGrid w:val="false"/>
          <w:sz w:val="19"/>
          <w:szCs w:val="19"/>
        </w:rPr>
        <w:t xml:space="preserve">・①みずほグループ：資産運用業務はみずほ信託銀行、アセットマネジメント業務はみずほフィナンシャルグループ・第一生命保険等が出資する「アセットマネジメントOne」が担う。</w:t>
      </w:r>
    </w:p>
    <w:p>
      <w:pPr>
        <w:spacing w:after="40" w:line="240"/>
        <w:ind w:left="260"/>
      </w:pPr>
      <w:r>
        <w:rPr>
          <w:b w:val="false"/>
          <w:bCs w:val="false"/>
          <w:snapToGrid w:val="false"/>
          <w:sz w:val="19"/>
          <w:szCs w:val="19"/>
        </w:rPr>
        <w:t xml:space="preserve">・②三菱UFJグループ：資産運用業務は三菱UFJ信託銀行、アセットマネジメント業務は「三菱UFJアセットマネジメント」（旧・三菱UFJ国際投信）が担う。</w:t>
      </w:r>
    </w:p>
    <w:p>
      <w:pPr>
        <w:spacing w:after="40" w:line="240"/>
        <w:ind w:left="260"/>
      </w:pPr>
      <w:r>
        <w:rPr>
          <w:b w:val="false"/>
          <w:bCs w:val="false"/>
          <w:snapToGrid w:val="false"/>
          <w:sz w:val="19"/>
          <w:szCs w:val="19"/>
        </w:rPr>
        <w:t xml:space="preserve">・③りそなグループ：資産運用業務はりそな銀行の資産運用部門、アセットマネジメント業務は2015年設立の「りそなアセットマネジメント」が担う。</w:t>
      </w:r>
    </w:p>
    <w:p>
      <w:pPr>
        <w:spacing w:after="40" w:line="240"/>
        <w:ind w:left="260"/>
      </w:pPr>
      <w:r>
        <w:rPr>
          <w:b w:val="false"/>
          <w:bCs w:val="false"/>
          <w:snapToGrid w:val="false"/>
          <w:sz w:val="19"/>
          <w:szCs w:val="19"/>
        </w:rPr>
        <w:t xml:space="preserve">・④ゆうちょ銀行：自己資金（貯金）の運用が収益の中心であり、マーケット業務（自己勘定投資・ALM）の比重が大きい。2026年4月にJP投信とJPインベストメントを統合した「ゆうちょアセットマネジメント」を設立したが、主にゆうちょ銀行自身の資金運用（プライベートエクイティ・不動産投資等）を担う会社であり、外部向けの公募投資信託の運用会社としての機能は限定的である。</w:t>
      </w:r>
    </w:p>
    <w:p>
      <w:pPr>
        <w:spacing w:after="40" w:line="240"/>
        <w:ind w:left="260"/>
      </w:pPr>
      <w:r>
        <w:rPr>
          <w:b w:val="false"/>
          <w:bCs w:val="false"/>
          <w:snapToGrid w:val="false"/>
          <w:sz w:val="19"/>
          <w:szCs w:val="19"/>
        </w:rPr>
        <w:t xml:space="preserve">・⑤三井住友グループ：アセットマネジメント会社が資本系列によって分かれる点に注意が必要。「三井住友トラスト・アセットマネジメント」は三井住友トラスト・グループ（三井住友信託銀行）の系列、「三井住友DSアセットマネジメント」はSMBC日興アセットマネジメントとダイワSBI投信投資顧問が2023年に合併して発足した会社で、三井住友フィナンシャルグループ（SMBC）と大和証券グループの共同出資である。両社は別会社である。</w:t>
      </w:r>
    </w:p>
    <w:p>
      <w:pPr>
        <w:spacing w:after="40" w:line="240"/>
        <w:ind w:left="260"/>
      </w:pPr>
      <w:r>
        <w:rPr>
          <w:b w:val="false"/>
          <w:bCs w:val="false"/>
          <w:snapToGrid w:val="false"/>
          <w:sz w:val="19"/>
          <w:szCs w:val="19"/>
        </w:rPr>
        <w:t xml:space="preserve">・⑦その他：野村アセットマネジメント（野村ホールディングスグループ、国内最大級）、大和アセットマネジメント（大和証券グループ）、農林中金全共連アセットマネジメント（農林中央金庫・JAバンク系）等。業務ごとに該当する代表例を例示しており、その他の全ての資産運用会社・信託兼営金融機関を網羅するものではない。</w:t>
      </w:r>
    </w:p>
    <w:p>
      <w:pPr>
        <w:pStyle w:val="Heading2"/>
        <w:keepNext w:val="false"/>
        <w:spacing w:after="80" w:before="160"/>
      </w:pPr>
      <w:r>
        <w:rPr>
          <w:b/>
          <w:bCs/>
          <w:snapToGrid w:val="false"/>
          <w:color w:val="2F5496"/>
          <w:sz w:val="22"/>
          <w:szCs w:val="22"/>
        </w:rPr>
        <w:t xml:space="preserve">注釈</w:t>
      </w:r>
    </w:p>
    <w:p>
      <w:pPr>
        <w:spacing w:after="40" w:line="220"/>
      </w:pPr>
      <w:r>
        <w:rPr>
          <w:snapToGrid w:val="false"/>
          <w:color w:val="555555"/>
          <w:sz w:val="15"/>
          <w:szCs w:val="15"/>
        </w:rPr>
        <w:t xml:space="preserve">本表は2026年8月時点で入手可能な各社公式サイト等の公開情報に基づき作成した概要であり、詳細は各社の最新情報で確認してください。組織再編や子会社の名称・出資構成は変更される場合があります。</w:t>
      </w:r>
    </w:p>
    <w:p>
      <w:pPr>
        <w:spacing w:before="200"/>
      </w:pPr>
    </w:p>
    <w:p>
      <w:pPr>
        <w:pStyle w:val="Heading1"/>
        <w:keepNext/>
        <w:spacing w:after="120" w:before="120"/>
      </w:pPr>
      <w:r>
        <w:rPr>
          <w:b/>
          <w:bCs/>
          <w:snapToGrid w:val="false"/>
          <w:color w:val="1F3864"/>
          <w:sz w:val="30"/>
          <w:szCs w:val="30"/>
        </w:rPr>
        <w:t xml:space="preserve">業務内容の説明</w:t>
      </w:r>
    </w:p>
    <w:p>
      <w:pPr>
        <w:spacing w:after="100" w:line="264"/>
      </w:pPr>
      <w:r>
        <w:rPr>
          <w:snapToGrid w:val="false"/>
          <w:sz w:val="20"/>
          <w:szCs w:val="20"/>
        </w:rPr>
        <w:t xml:space="preserve">上表で用いた11の業務種類について、それぞれの業務内容を簡潔にまとめた一覧です。</w:t>
      </w:r>
    </w:p>
    <w:tbl>
      <w:tblPr>
        <w:tblW w:type="dxa" w:w="15438"/>
        <w:tblBorders>
          <w:top w:val="single" w:color="999999" w:sz="4"/>
          <w:left w:val="single" w:color="999999" w:sz="4"/>
          <w:bottom w:val="single" w:color="999999" w:sz="4"/>
          <w:right w:val="single" w:color="999999" w:sz="4"/>
          <w:insideH w:val="single" w:color="999999" w:sz="2"/>
          <w:insideV w:val="single" w:color="999999" w:sz="2"/>
        </w:tblBorders>
        <w:tblLayout w:type="fixed"/>
      </w:tblPr>
      <w:tblGrid>
        <w:gridCol w:w="3600"/>
        <w:gridCol w:w="11838"/>
      </w:tblGrid>
      <w:tr>
        <w:trPr>
          <w:tblHeader/>
        </w:trPr>
        <w:tc>
          <w:tcPr>
            <w:tcW w:type="dxa" w:w="3600"/>
            <w:shd w:fill="2F5496" w:val="clear"/>
            <w:tcMar>
              <w:top w:type="dxa" w:w="110"/>
              <w:left w:type="dxa" w:w="110"/>
              <w:bottom w:type="dxa" w:w="110"/>
              <w:right w:type="dxa" w:w="110"/>
            </w:tcMar>
            <w:vAlign w:val="center"/>
          </w:tcPr>
          <w:p>
            <w:pPr>
              <w:spacing w:after="0" w:line="260"/>
              <w:jc w:val="center"/>
            </w:pPr>
            <w:r>
              <w:rPr>
                <w:b/>
                <w:bCs/>
                <w:snapToGrid w:val="false"/>
                <w:color w:val="FFFFFF"/>
                <w:sz w:val="18"/>
                <w:szCs w:val="18"/>
              </w:rPr>
              <w:t xml:space="preserve">業務種類</w:t>
            </w:r>
          </w:p>
        </w:tc>
        <w:tc>
          <w:tcPr>
            <w:tcW w:type="dxa" w:w="11838"/>
            <w:shd w:fill="2F5496" w:val="clear"/>
            <w:tcMar>
              <w:top w:type="dxa" w:w="110"/>
              <w:left w:type="dxa" w:w="110"/>
              <w:bottom w:type="dxa" w:w="110"/>
              <w:right w:type="dxa" w:w="110"/>
            </w:tcMar>
            <w:vAlign w:val="center"/>
          </w:tcPr>
          <w:p>
            <w:pPr>
              <w:spacing w:after="0" w:line="260"/>
              <w:jc w:val="center"/>
            </w:pPr>
            <w:r>
              <w:rPr>
                <w:b/>
                <w:bCs/>
                <w:snapToGrid w:val="false"/>
                <w:color w:val="FFFFFF"/>
                <w:sz w:val="18"/>
                <w:szCs w:val="18"/>
              </w:rPr>
              <w:t xml:space="preserve">業務内容</w:t>
            </w:r>
          </w:p>
        </w:tc>
      </w:tr>
      <w:tr>
        <w:trPr>
          <w:cantSplit/>
        </w:trPr>
        <w:tc>
          <w:tcPr>
            <w:tcW w:type="dxa" w:w="15438"/>
            <w:gridSpan w:val="2"/>
            <w:shd w:fill="D9E2F3" w:val="clear"/>
            <w:tcMar>
              <w:top w:type="dxa" w:w="60"/>
              <w:left w:type="dxa" w:w="100"/>
              <w:bottom w:type="dxa" w:w="60"/>
              <w:right w:type="dxa" w:w="80"/>
            </w:tcMar>
          </w:tcPr>
          <w:p>
            <w:pPr>
              <w:spacing w:after="0" w:line="260"/>
              <w:jc w:val="left"/>
            </w:pPr>
            <w:r>
              <w:rPr>
                <w:b/>
                <w:bCs/>
                <w:snapToGrid w:val="false"/>
                <w:color w:val="1F3864"/>
                <w:sz w:val="16"/>
                <w:szCs w:val="16"/>
              </w:rPr>
              <w:t xml:space="preserve">A. 資産運用業務（信託銀行本体が行う運用受託業務）</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 金銭信託・年金信託の運用の意思決定業務（自家運用）</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信託銀行が受託した金銭信託や年金信託の資産について、自らファンドマネージャー・ポートフォリオマネージャーとして運用方針の策定や個別の投資判断を行う業務。</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2. 投資一任契約に基づく投資顧問業務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顧客（年金基金・機関投資家等）と投資一任契約を結び、資産配分や個別銘柄選定などの運用判断を代行するコンサルティング型の資産運用業務。</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3. プライベートアセット（未上場株・インフラ・不動産private debt 等）の運用受託</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未上場株式やインフラ、プライベートデット、不動産等の非上場資産（オルタナティブ資産）を信託財産として受託し、専門的な運用を行う業務。</w:t>
            </w:r>
          </w:p>
        </w:tc>
      </w:tr>
      <w:tr>
        <w:trPr>
          <w:cantSplit/>
        </w:trPr>
        <w:tc>
          <w:tcPr>
            <w:tcW w:type="dxa" w:w="15438"/>
            <w:gridSpan w:val="2"/>
            <w:shd w:fill="D9E2F3" w:val="clear"/>
            <w:tcMar>
              <w:top w:type="dxa" w:w="60"/>
              <w:left w:type="dxa" w:w="100"/>
              <w:bottom w:type="dxa" w:w="60"/>
              <w:right w:type="dxa" w:w="80"/>
            </w:tcMar>
          </w:tcPr>
          <w:p>
            <w:pPr>
              <w:spacing w:after="0" w:line="260"/>
              <w:jc w:val="left"/>
            </w:pPr>
            <w:r>
              <w:rPr>
                <w:b/>
                <w:bCs/>
                <w:snapToGrid w:val="false"/>
                <w:color w:val="1F3864"/>
                <w:sz w:val="16"/>
                <w:szCs w:val="16"/>
              </w:rPr>
              <w:t xml:space="preserve">B. アセットマネジメント業務（グループの資産運用会社による運用業務）</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4. 公募投資信託の設定・運用（委託者）業務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グループの資産運用会社が投資信託（ファンド）を組成（設定）し、運用方針の決定や資産配分の実行など、実際の運用指図を行う業務。</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5. 確定拠出年金（DC）向け運用商品の提供</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企業型・個人型（iDeCo）確定拠出年金の加入者向けに、投資信託等の運用商品ラインナップを提供する業務。</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6. 機関投資家向け（年金基金・GPIF 等）運用受託業務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年金基金や政府系ファンド（GPIF 等）、保険会社等の機関投資家から資金の運用を直接受託し、専門的な運用サービスを提供する業務。</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7. オルタナティブ投資運用（PE・不動産ファンド・ヘッジファンド 等）</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未公開株式（PE）、インフラファンド、不動産ファンド、ヘッジファンドなど、伝統的な株式・債券以外の資産クラスに投資する運用商品を組成・運用する業務。</w:t>
            </w:r>
          </w:p>
        </w:tc>
      </w:tr>
      <w:tr>
        <w:trPr>
          <w:cantSplit/>
        </w:trPr>
        <w:tc>
          <w:tcPr>
            <w:tcW w:type="dxa" w:w="15438"/>
            <w:gridSpan w:val="2"/>
            <w:shd w:fill="D9E2F3" w:val="clear"/>
            <w:tcMar>
              <w:top w:type="dxa" w:w="60"/>
              <w:left w:type="dxa" w:w="100"/>
              <w:bottom w:type="dxa" w:w="60"/>
              <w:right w:type="dxa" w:w="80"/>
            </w:tcMar>
          </w:tcPr>
          <w:p>
            <w:pPr>
              <w:spacing w:after="0" w:line="260"/>
              <w:jc w:val="left"/>
            </w:pPr>
            <w:r>
              <w:rPr>
                <w:b/>
                <w:bCs/>
                <w:snapToGrid w:val="false"/>
                <w:color w:val="1F3864"/>
                <w:sz w:val="16"/>
                <w:szCs w:val="16"/>
              </w:rPr>
              <w:t xml:space="preserve">C. マーケット業務（市場部門・トレーディング・ALM）</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8. 資金繰り・ALM業務（円貨・外貨の調達・運用管理）</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円貨・外貨資金の調達と運用のバランスを管理し、金利リスク・流動性リスクなどをコントロールする資産負債総合管理（ALM）業務。</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9. 債券・為替・デリバティブのセールス＆トレーディング業務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国債・社債、外国為替、金利・為替デリバティブ等の市場性商品を、自己勘定および顧客向けに売買する業務。</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10. 有価証券への自己勘定投資業務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自己の資金を用いて国債・社債・株式等の有価証券に投資し、運用収益を獲得する業務。</w:t>
            </w:r>
          </w:p>
        </w:tc>
      </w:tr>
      <w:tr>
        <w:trPr>
          <w:cantSplit/>
        </w:trPr>
        <w:tc>
          <w:tcPr>
            <w:tcW w:type="dxa" w:w="3600"/>
            <w:tcMar>
              <w:top w:type="dxa" w:w="60"/>
              <w:left w:type="dxa" w:w="80"/>
              <w:bottom w:type="dxa" w:w="60"/>
              <w:right w:type="dxa" w:w="80"/>
            </w:tcMar>
            <w:vAlign w:val="center"/>
          </w:tcPr>
          <w:p>
            <w:pPr>
              <w:spacing w:after="0" w:line="260"/>
              <w:jc w:val="left"/>
            </w:pPr>
            <w:r>
              <w:rPr>
                <w:b/>
                <w:bCs/>
                <w:snapToGrid w:val="false"/>
                <w:sz w:val="16"/>
                <w:szCs w:val="16"/>
              </w:rPr>
              <w:t xml:space="preserve">11. 法人向け為替・デリバティブ商品の提供（マーケティング）業務</w:t>
            </w:r>
          </w:p>
        </w:tc>
        <w:tc>
          <w:tcPr>
            <w:tcW w:type="dxa" w:w="11838"/>
            <w:tcMar>
              <w:top w:type="dxa" w:w="60"/>
              <w:left w:type="dxa" w:w="100"/>
              <w:bottom w:type="dxa" w:w="60"/>
              <w:right w:type="dxa" w:w="100"/>
            </w:tcMar>
            <w:vAlign w:val="center"/>
          </w:tcPr>
          <w:p>
            <w:pPr>
              <w:spacing w:after="0" w:line="260"/>
              <w:jc w:val="left"/>
            </w:pPr>
            <w:r>
              <w:rPr>
                <w:b w:val="false"/>
                <w:bCs w:val="false"/>
                <w:snapToGrid w:val="false"/>
                <w:sz w:val="17"/>
                <w:szCs w:val="17"/>
              </w:rPr>
              <w:t xml:space="preserve">事業法人の為替リスク・金利リスクのヘッジニーズに対応し、為替予約やデリバティブ商品を組成・販売する業務。</w:t>
            </w:r>
          </w:p>
        </w:tc>
      </w:tr>
    </w:tbl>
    <w:p/>
    <w:sectPr>
      <w:pgSz w:w="16838" w:h="11906" w:orient="landscape"/>
      <w:pgMar w:top="700" w:right="700" w:bottom="700" w:left="700" w:header="708" w:footer="708" w:gutter="0"/>
      <w:pgNumType/>
      <w:docGrid w:type="default"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2026-08-22T15:32:12.608Z</dcterms:created>
  <dcterms:modified xsi:type="dcterms:W3CDTF">2026-08-22T15:32:12.608Z</dcterms:modified>
</cp:coreProperties>
</file>

<file path=docProps/custom.xml><?xml version="1.0" encoding="utf-8"?>
<Properties xmlns="http://schemas.openxmlformats.org/officeDocument/2006/custom-properties" xmlns:vt="http://schemas.openxmlformats.org/officeDocument/2006/docPropsVTypes"/>
</file>