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color w:val="888888"/>
          <w:sz w:val="22"/>
          <w:szCs w:val="22"/>
        </w:rPr>
        <w:t xml:space="preserve">ПАО Банк ВТБ</w:t>
      </w:r>
    </w:p>
    <w:p>
      <w:pPr>
        <w:spacing w:before="60" w:after="200"/>
        <w:jc w:val="center"/>
      </w:pPr>
      <w:r>
        <w:rPr>
          <w:rFonts w:ascii="Arial" w:cs="Arial" w:eastAsia="Arial" w:hAnsi="Arial"/>
          <w:b/>
          <w:bCs/>
          <w:color w:val="1F3864"/>
          <w:sz w:val="42"/>
          <w:szCs w:val="42"/>
        </w:rPr>
        <w:t xml:space="preserve">Концепция цифрового продукта</w:t>
      </w:r>
    </w:p>
    <w:p>
      <w:pPr>
        <w:spacing w:before="0" w:after="80"/>
        <w:jc w:val="center"/>
      </w:pPr>
      <w:r>
        <w:rPr>
          <w:rFonts w:ascii="Arial" w:cs="Arial" w:eastAsia="Arial" w:hAnsi="Arial"/>
          <w:b/>
          <w:bCs/>
          <w:color w:val="2E5A9C"/>
          <w:sz w:val="52"/>
          <w:szCs w:val="52"/>
        </w:rPr>
        <w:t xml:space="preserve">«Семейный кошелёк»</w:t>
      </w:r>
    </w:p>
    <w:p>
      <w:pPr>
        <w:spacing w:before="60" w:after="0"/>
      </w:pPr>
    </w:p>
    <w:p>
      <w:pPr>
        <w:spacing w:before="0" w:after="300"/>
        <w:jc w:val="center"/>
      </w:pPr>
      <w:r>
        <w:rPr>
          <w:rFonts w:ascii="Arial" w:cs="Arial" w:eastAsia="Arial" w:hAnsi="Arial"/>
          <w:i/>
          <w:iCs/>
          <w:color w:val="444444"/>
          <w:sz w:val="26"/>
          <w:szCs w:val="26"/>
        </w:rPr>
        <w:t xml:space="preserve">Экосистема управления семейными финансами</w:t>
      </w:r>
    </w:p>
    <w:p>
      <w:pPr>
        <w:pBdr>
          <w:bottom w:val="single" w:color="CCCCCC" w:sz="4"/>
        </w:pBdr>
        <w:spacing w:before="160" w:after="160"/>
      </w:pPr>
    </w:p>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888888"/>
                <w:sz w:val="18"/>
                <w:szCs w:val="18"/>
              </w:rPr>
              <w:t xml:space="preserve">Документ подготовлен для:</w:t>
            </w:r>
          </w:p>
          <w:p>
            <w:r>
              <w:rPr>
                <w:rFonts w:ascii="Arial" w:cs="Arial" w:eastAsia="Arial" w:hAnsi="Arial"/>
                <w:b/>
                <w:bCs/>
                <w:sz w:val="22"/>
                <w:szCs w:val="22"/>
              </w:rPr>
              <w:t xml:space="preserve">Преподаватель курса PM</w:t>
            </w:r>
          </w:p>
          <w:p>
            <w:r>
              <w:rPr>
                <w:rFonts w:ascii="Arial" w:cs="Arial" w:eastAsia="Arial" w:hAnsi="Arial"/>
                <w:color w:val="888888"/>
                <w:sz w:val="18"/>
                <w:szCs w:val="18"/>
              </w:rPr>
              <w:t xml:space="preserve">Для согласования и оценки</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888888"/>
                <w:sz w:val="18"/>
                <w:szCs w:val="18"/>
              </w:rPr>
              <w:t xml:space="preserve">Тип документа:</w:t>
            </w:r>
          </w:p>
          <w:p>
            <w:r>
              <w:rPr>
                <w:rFonts w:ascii="Arial" w:cs="Arial" w:eastAsia="Arial" w:hAnsi="Arial"/>
                <w:b/>
                <w:bCs/>
                <w:sz w:val="22"/>
                <w:szCs w:val="22"/>
              </w:rPr>
              <w:t xml:space="preserve">Product Requirements Document</w:t>
            </w:r>
          </w:p>
          <w:p>
            <w:r>
              <w:rPr>
                <w:rFonts w:ascii="Arial" w:cs="Arial" w:eastAsia="Arial" w:hAnsi="Arial"/>
                <w:color w:val="888888"/>
                <w:sz w:val="18"/>
                <w:szCs w:val="18"/>
              </w:rPr>
              <w:t xml:space="preserve">Версия 1.0  •  2025</w:t>
            </w:r>
          </w:p>
        </w:tc>
      </w:tr>
    </w:tbl>
    <w:p>
      <w:pPr>
        <w:spacing w:before="300" w:after="0"/>
      </w:pPr>
    </w:p>
    <w:p>
      <w:pPr>
        <w:pBdr>
          <w:left w:val="single" w:color="2E5A9C" w:sz="12" w:space="10"/>
        </w:pBdr>
        <w:shd w:fill="EEF4FB" w:val="clear"/>
        <w:spacing w:before="200" w:after="200"/>
      </w:pPr>
      <w:r>
        <w:rPr>
          <w:rFonts w:ascii="Arial" w:cs="Arial" w:eastAsia="Arial" w:hAnsi="Arial"/>
          <w:b/>
          <w:bCs/>
          <w:sz w:val="22"/>
          <w:szCs w:val="22"/>
        </w:rPr>
        <w:t xml:space="preserve">Аннотация. </w:t>
      </w:r>
      <w:r>
        <w:rPr>
          <w:rFonts w:ascii="Arial" w:cs="Arial" w:eastAsia="Arial" w:hAnsi="Arial"/>
          <w:sz w:val="22"/>
          <w:szCs w:val="22"/>
        </w:rPr>
        <w:t xml:space="preserve">Настоящий документ описывает концепцию продукта «Семейный кошелёк» для экосистемы ВТБ Банка. Продукт объединяет шесть ключевых функциональных блоков: управление совместным бюджетом, список финансовых задач, пакет услуг «Близкие», трекер подписок, финансовый помощник для детей и семейный финансовый календарь. Каждая функция детально описана с точки зрения пользовательских сценариев, технической реализации, логики доступа к данным и монетизации для банка.</w:t>
      </w:r>
    </w:p>
    <w:p>
      <w:pPr>
        <w:spacing w:before="200" w:after="0"/>
      </w:pPr>
    </w:p>
    <w:p>
      <w:pPr>
        <w:pStyle w:val="Heading1"/>
        <w:spacing w:before="360" w:after="180"/>
      </w:pPr>
      <w:r>
        <w:rPr>
          <w:rFonts w:ascii="Arial" w:cs="Arial" w:eastAsia="Arial" w:hAnsi="Arial"/>
          <w:b/>
          <w:bCs/>
          <w:color w:val="1F3864"/>
          <w:sz w:val="32"/>
          <w:szCs w:val="32"/>
        </w:rPr>
        <w:t xml:space="preserve">Общая концепция продукта</w:t>
      </w:r>
    </w:p>
    <w:p>
      <w:pPr>
        <w:spacing w:before="60" w:after="100"/>
      </w:pPr>
      <w:r>
        <w:rPr>
          <w:rFonts w:ascii="Arial" w:cs="Arial" w:eastAsia="Arial" w:hAnsi="Arial"/>
          <w:sz w:val="22"/>
          <w:szCs w:val="22"/>
        </w:rPr>
        <w:t xml:space="preserve">«Семейный кошелёк» — это не просто совместный банковский счёт. Это платформа управления финансами для всей семьи, которая объединяет банковские продукты, цифровые инструменты планирования и образовательные механики в единую экосистему. Продукт строится на базе существующего функционала ВТБ (группа «Близкие», семейный счёт, ВТБ Плюс) и значительно расширяет его возможности.</w:t>
      </w:r>
    </w:p>
    <w:p>
      <w:pPr>
        <w:spacing w:before="80" w:after="0"/>
      </w:pPr>
    </w:p>
    <w:p>
      <w:pPr>
        <w:spacing w:before="200" w:after="120"/>
      </w:pPr>
      <w:r>
        <w:rPr>
          <w:rFonts w:ascii="Arial" w:cs="Arial" w:eastAsia="Arial" w:hAnsi="Arial"/>
          <w:b/>
          <w:bCs/>
          <w:color w:val="1A6B4A"/>
          <w:sz w:val="24"/>
          <w:szCs w:val="24"/>
        </w:rPr>
        <w:t xml:space="preserve">Ключевые принципы</w:t>
      </w:r>
    </w:p>
    <w:p>
      <w:pPr>
        <w:pStyle w:val="ListParagraph"/>
        <w:numPr>
          <w:ilvl w:val="0"/>
          <w:numId w:val="2"/>
        </w:numPr>
        <w:spacing w:before="40" w:after="60"/>
      </w:pPr>
      <w:r>
        <w:rPr>
          <w:rFonts w:ascii="Arial" w:cs="Arial" w:eastAsia="Arial" w:hAnsi="Arial"/>
          <w:sz w:val="22"/>
          <w:szCs w:val="22"/>
        </w:rPr>
        <w:t xml:space="preserve">Финансовая конфиденциальность: баланс и история трат каждого участника видны только ему самому. Общие данные — только те, на которые участник дал явное согласие.</w:t>
      </w:r>
    </w:p>
    <w:p>
      <w:pPr>
        <w:pStyle w:val="ListParagraph"/>
        <w:numPr>
          <w:ilvl w:val="0"/>
          <w:numId w:val="2"/>
        </w:numPr>
        <w:spacing w:before="40" w:after="60"/>
      </w:pPr>
      <w:r>
        <w:rPr>
          <w:rFonts w:ascii="Arial" w:cs="Arial" w:eastAsia="Arial" w:hAnsi="Arial"/>
          <w:sz w:val="22"/>
          <w:szCs w:val="22"/>
        </w:rPr>
        <w:t xml:space="preserve">Масштаб = выгода: чем больше членов семьи в группе, тем лучше условия для всех. Это создаёт вирусный механизм роста без маркетинговых затрат.</w:t>
      </w:r>
    </w:p>
    <w:p>
      <w:pPr>
        <w:pStyle w:val="ListParagraph"/>
        <w:numPr>
          <w:ilvl w:val="0"/>
          <w:numId w:val="2"/>
        </w:numPr>
        <w:spacing w:before="40" w:after="60"/>
      </w:pPr>
      <w:r>
        <w:rPr>
          <w:rFonts w:ascii="Arial" w:cs="Arial" w:eastAsia="Arial" w:hAnsi="Arial"/>
          <w:sz w:val="22"/>
          <w:szCs w:val="22"/>
        </w:rPr>
        <w:t xml:space="preserve">Продукт для всех возрастов: от 6 до 80+ лет. Каждый сегмент получает адаптированный интерфейс и релевантный набор функций.</w:t>
      </w:r>
    </w:p>
    <w:p>
      <w:pPr>
        <w:pStyle w:val="ListParagraph"/>
        <w:numPr>
          <w:ilvl w:val="0"/>
          <w:numId w:val="2"/>
        </w:numPr>
        <w:spacing w:before="40" w:after="60"/>
      </w:pPr>
      <w:r>
        <w:rPr>
          <w:rFonts w:ascii="Arial" w:cs="Arial" w:eastAsia="Arial" w:hAnsi="Arial"/>
          <w:sz w:val="22"/>
          <w:szCs w:val="22"/>
        </w:rPr>
        <w:t xml:space="preserve">Выгода банку через ценность клиенту: все монетизационные механики строятся на реальной пользе для семьи, а не на скрытых комиссиях.</w:t>
      </w:r>
    </w:p>
    <w:p>
      <w:pPr>
        <w:spacing w:before="80" w:after="0"/>
      </w:pPr>
    </w:p>
    <w:p>
      <w:pPr>
        <w:spacing w:before="200" w:after="120"/>
      </w:pPr>
      <w:r>
        <w:rPr>
          <w:rFonts w:ascii="Arial" w:cs="Arial" w:eastAsia="Arial" w:hAnsi="Arial"/>
          <w:b/>
          <w:bCs/>
          <w:color w:val="1A6B4A"/>
          <w:sz w:val="24"/>
          <w:szCs w:val="24"/>
        </w:rPr>
        <w:t xml:space="preserve">Архитектура группы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Организатор</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Взрослый клиент ВТБ, создающий группу. Полный доступ к управлению. Видит запросы детей, устанавливает лимиты.</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Супруг(а)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Взрослый участник с симметричными правами. Получает запросы на переводы.</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Старшее поколение (55+)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Полноправный участник. Сам управляет своими данными и решает, что видят дети. Доступны кредитные продукты.</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Подросток (14–17)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Карта «Старт» с кешбэком. Может видеть семейный кешбэк-бюджет. Запросы денег у родителей. Первый вклад.</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Ребёнок (10–13)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Карта «Юниор» с лимитом. Геймификация и квесты. Запросы карманных денег. Не видит финансы взрослых.</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Малыш (6–9)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Виртуальная копилка. Только просмотр. Цель задаёт родитель, ребёнок видит прогресс.</w:t>
            </w:r>
          </w:p>
        </w:tc>
      </w:tr>
    </w:tbl>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1. Семейный кошелёк — общий бюджет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Высокий — ядро продукта</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Все участники группы</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Семейный счёт (запущен сентябрь 2025)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Новое в концепции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Расширение до 10 участников, роли, видимость кешбэков</w:t>
            </w:r>
          </w:p>
        </w:tc>
      </w:tr>
    </w:tbl>
    <w:p>
      <w:pPr>
        <w:spacing w:before="80" w:after="0"/>
      </w:pPr>
    </w:p>
    <w:p>
      <w:pPr>
        <w:spacing w:before="200" w:after="120"/>
      </w:pPr>
      <w:r>
        <w:rPr>
          <w:rFonts w:ascii="Arial" w:cs="Arial" w:eastAsia="Arial" w:hAnsi="Arial"/>
          <w:b/>
          <w:bCs/>
          <w:color w:val="1A6B4A"/>
          <w:sz w:val="24"/>
          <w:szCs w:val="24"/>
        </w:rPr>
        <w:t xml:space="preserve">Описание функции</w:t>
      </w:r>
    </w:p>
    <w:p>
      <w:pPr>
        <w:spacing w:before="60" w:after="100"/>
      </w:pPr>
      <w:r>
        <w:rPr>
          <w:rFonts w:ascii="Arial" w:cs="Arial" w:eastAsia="Arial" w:hAnsi="Arial"/>
          <w:sz w:val="22"/>
          <w:szCs w:val="22"/>
        </w:rPr>
        <w:t xml:space="preserve">Семейный кошелёк — это общий расчётный счёт, к которому привязаны карты нескольких членов семьи. Владелец счёта управляет лимитами каждой карты. Ключевое расширение относительно текущего функционала ВТБ: возможность видеть кешбэк-статистику всей группы (не балансы, а именно накопленные бонусы), что позволяет семье координировать траты для максимальной выгоды.</w:t>
      </w:r>
    </w:p>
    <w:p>
      <w:pPr>
        <w:spacing w:before="60" w:after="0"/>
      </w:pPr>
    </w:p>
    <w:p>
      <w:pPr>
        <w:spacing w:before="200" w:after="120"/>
      </w:pPr>
      <w:r>
        <w:rPr>
          <w:rFonts w:ascii="Arial" w:cs="Arial" w:eastAsia="Arial" w:hAnsi="Arial"/>
          <w:b/>
          <w:bCs/>
          <w:color w:val="1A6B4A"/>
          <w:sz w:val="24"/>
          <w:szCs w:val="24"/>
        </w:rPr>
        <w:t xml:space="preserve">Видимость кешбэков — новая механика</w:t>
      </w:r>
    </w:p>
    <w:p>
      <w:pPr>
        <w:spacing w:before="60" w:after="100"/>
      </w:pPr>
      <w:r>
        <w:rPr>
          <w:rFonts w:ascii="Arial" w:cs="Arial" w:eastAsia="Arial" w:hAnsi="Arial"/>
          <w:sz w:val="22"/>
          <w:szCs w:val="22"/>
        </w:rPr>
        <w:t xml:space="preserve">Каждый участник видит в специальном дашборде:</w:t>
      </w:r>
    </w:p>
    <w:p>
      <w:pPr>
        <w:pStyle w:val="ListParagraph"/>
        <w:numPr>
          <w:ilvl w:val="0"/>
          <w:numId w:val="2"/>
        </w:numPr>
        <w:spacing w:before="40" w:after="60"/>
      </w:pPr>
      <w:r>
        <w:rPr>
          <w:rFonts w:ascii="Arial" w:cs="Arial" w:eastAsia="Arial" w:hAnsi="Arial"/>
          <w:sz w:val="22"/>
          <w:szCs w:val="22"/>
        </w:rPr>
        <w:t xml:space="preserve">Собственный накопленный кешбэк за текущий месяц</w:t>
      </w:r>
    </w:p>
    <w:p>
      <w:pPr>
        <w:pStyle w:val="ListParagraph"/>
        <w:numPr>
          <w:ilvl w:val="0"/>
          <w:numId w:val="2"/>
        </w:numPr>
        <w:spacing w:before="40" w:after="60"/>
      </w:pPr>
      <w:r>
        <w:rPr>
          <w:rFonts w:ascii="Arial" w:cs="Arial" w:eastAsia="Arial" w:hAnsi="Arial"/>
          <w:sz w:val="22"/>
          <w:szCs w:val="22"/>
        </w:rPr>
        <w:t xml:space="preserve">Суммарный кешбэк группы (анонимно, без разбивки по участникам, если не выбрано иное)</w:t>
      </w:r>
    </w:p>
    <w:p>
      <w:pPr>
        <w:pStyle w:val="ListParagraph"/>
        <w:numPr>
          <w:ilvl w:val="0"/>
          <w:numId w:val="2"/>
        </w:numPr>
        <w:spacing w:before="40" w:after="60"/>
      </w:pPr>
      <w:r>
        <w:rPr>
          <w:rFonts w:ascii="Arial" w:cs="Arial" w:eastAsia="Arial" w:hAnsi="Arial"/>
          <w:sz w:val="22"/>
          <w:szCs w:val="22"/>
        </w:rPr>
        <w:t xml:space="preserve">Какие категории уже «закрыты» в группе на текущий месяц</w:t>
      </w:r>
    </w:p>
    <w:p>
      <w:pPr>
        <w:pStyle w:val="ListParagraph"/>
        <w:numPr>
          <w:ilvl w:val="0"/>
          <w:numId w:val="2"/>
        </w:numPr>
        <w:spacing w:before="40" w:after="60"/>
      </w:pPr>
      <w:r>
        <w:rPr>
          <w:rFonts w:ascii="Arial" w:cs="Arial" w:eastAsia="Arial" w:hAnsi="Arial"/>
          <w:sz w:val="22"/>
          <w:szCs w:val="22"/>
        </w:rPr>
        <w:t xml:space="preserve">Рекомендацию: «В семье никто не выбрал категорию Аптеки — возьми её и получи 5%»</w:t>
      </w:r>
    </w:p>
    <w:p>
      <w:pPr>
        <w:spacing w:before="60" w:after="0"/>
      </w:pPr>
    </w:p>
    <w:p>
      <w:pPr>
        <w:spacing w:before="60" w:after="100"/>
      </w:pPr>
      <w:r>
        <w:rPr>
          <w:rFonts w:ascii="Arial" w:cs="Arial" w:eastAsia="Arial" w:hAnsi="Arial"/>
          <w:sz w:val="22"/>
          <w:szCs w:val="22"/>
        </w:rPr>
        <w:t xml:space="preserve">Это создаёт семейный «кешбэк-матч»: участники координируются, выбирая разные категории, и суммарная выгода группы максимизируется. Пример: при 6 участниках и 10 категориях кешбэка семья может закрыть все категории одновременно и получать до 15 000 ₽/мес совокупно.</w:t>
      </w:r>
    </w:p>
    <w:p>
      <w:pPr>
        <w:spacing w:before="60" w:after="0"/>
      </w:pPr>
    </w:p>
    <w:p>
      <w:pPr>
        <w:spacing w:before="200" w:after="120"/>
      </w:pPr>
      <w:r>
        <w:rPr>
          <w:rFonts w:ascii="Arial" w:cs="Arial" w:eastAsia="Arial" w:hAnsi="Arial"/>
          <w:b/>
          <w:bCs/>
          <w:color w:val="1A6B4A"/>
          <w:sz w:val="24"/>
          <w:szCs w:val="24"/>
        </w:rPr>
        <w:t xml:space="preserve">Матрица видимости кешбэков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5"/>
        <w:gridCol w:w="1505"/>
        <w:gridCol w:w="1505"/>
        <w:gridCol w:w="1011"/>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Данные</w:t>
            </w:r>
          </w:p>
        </w:tc>
        <w:tc>
          <w:tcPr>
            <w:tcW w:type="dxa" w:w="150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Взрослый</w:t>
            </w:r>
          </w:p>
        </w:tc>
        <w:tc>
          <w:tcPr>
            <w:tcW w:type="dxa" w:w="150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Пожилой</w:t>
            </w:r>
          </w:p>
        </w:tc>
        <w:tc>
          <w:tcPr>
            <w:tcW w:type="dxa" w:w="150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Подросток</w:t>
            </w:r>
          </w:p>
        </w:tc>
        <w:tc>
          <w:tcPr>
            <w:tcW w:type="dxa" w:w="150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Ребёнок</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Свой кешбэк (сумма)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Кешбэк группы (общая сумма)</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885B00"/>
                <w:sz w:val="20"/>
                <w:szCs w:val="20"/>
              </w:rPr>
              <w:t xml:space="preserve">По желанию</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Кешбэк по участникам (разбивка)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Выбранные категории группы</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Рекомендация категорий</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1A6B4A"/>
                <w:sz w:val="20"/>
                <w:szCs w:val="20"/>
              </w:rPr>
              <w:t xml:space="preserve">Да</w:t>
            </w:r>
          </w:p>
        </w:tc>
        <w:tc>
          <w:tcPr>
            <w:tcW w:type="dxa" w:w="1505"/>
            <w:tcBorders>
              <w:top w:val="single" w:color="CCCCCC" w:sz="1"/>
              <w:left w:val="single" w:color="CCCCCC" w:sz="1"/>
              <w:bottom w:val="single" w:color="CCCCCC" w:sz="1"/>
              <w:right w:val="single" w:color="CCCCCC" w:sz="1"/>
            </w:tcBorders>
            <w:shd w:fill="F7F9FB" w:val="clear"/>
            <w:tcMar>
              <w:top w:type="dxa" w:w="80"/>
              <w:left w:type="dxa" w:w="80"/>
              <w:bottom w:type="dxa" w:w="80"/>
              <w:right w:type="dxa" w:w="80"/>
            </w:tcMar>
            <w:vAlign w:val="center"/>
          </w:tcPr>
          <w:p>
            <w:pPr>
              <w:jc w:val="center"/>
            </w:pPr>
            <w:r>
              <w:rPr>
                <w:rFonts w:ascii="Arial" w:cs="Arial" w:eastAsia="Arial" w:hAnsi="Arial"/>
                <w:color w:val="C0392B"/>
                <w:sz w:val="20"/>
                <w:szCs w:val="20"/>
              </w:rPr>
              <w:t xml:space="preserve">Нет</w:t>
            </w:r>
          </w:p>
        </w:tc>
      </w:tr>
    </w:tbl>
    <w:p>
      <w:pPr>
        <w:spacing w:before="80" w:after="0"/>
      </w:pPr>
    </w:p>
    <w:p>
      <w:pPr>
        <w:spacing w:before="200" w:after="120"/>
      </w:pPr>
      <w:r>
        <w:rPr>
          <w:rFonts w:ascii="Arial" w:cs="Arial" w:eastAsia="Arial" w:hAnsi="Arial"/>
          <w:b/>
          <w:bCs/>
          <w:color w:val="1A6B4A"/>
          <w:sz w:val="24"/>
          <w:szCs w:val="24"/>
        </w:rPr>
        <w:t xml:space="preserve">Монетизация для банка</w:t>
      </w:r>
    </w:p>
    <w:p>
      <w:pPr>
        <w:pStyle w:val="ListParagraph"/>
        <w:numPr>
          <w:ilvl w:val="0"/>
          <w:numId w:val="2"/>
        </w:numPr>
        <w:spacing w:before="40" w:after="60"/>
      </w:pPr>
      <w:r>
        <w:rPr>
          <w:rFonts w:ascii="Arial" w:cs="Arial" w:eastAsia="Arial" w:hAnsi="Arial"/>
          <w:sz w:val="22"/>
          <w:szCs w:val="22"/>
        </w:rPr>
        <w:t xml:space="preserve">Повышение оборота по картам: семья координирует траты внутри экосистемы ВТБ — больше транзакций, выше интерчейндж.</w:t>
      </w:r>
    </w:p>
    <w:p>
      <w:pPr>
        <w:pStyle w:val="ListParagraph"/>
        <w:numPr>
          <w:ilvl w:val="0"/>
          <w:numId w:val="2"/>
        </w:numPr>
        <w:spacing w:before="40" w:after="60"/>
      </w:pPr>
      <w:r>
        <w:rPr>
          <w:rFonts w:ascii="Arial" w:cs="Arial" w:eastAsia="Arial" w:hAnsi="Arial"/>
          <w:sz w:val="22"/>
          <w:szCs w:val="22"/>
        </w:rPr>
        <w:t xml:space="preserve">Удержание: если вся семья видит «семейный кешбэк», уход одного участника к другому банку разрушает систему для всех. Стоимость оттока растёт.</w:t>
      </w:r>
    </w:p>
    <w:p>
      <w:pPr>
        <w:pStyle w:val="ListParagraph"/>
        <w:numPr>
          <w:ilvl w:val="0"/>
          <w:numId w:val="2"/>
        </w:numPr>
        <w:spacing w:before="40" w:after="60"/>
      </w:pPr>
      <w:r>
        <w:rPr>
          <w:rFonts w:ascii="Arial" w:cs="Arial" w:eastAsia="Arial" w:hAnsi="Arial"/>
          <w:sz w:val="22"/>
          <w:szCs w:val="22"/>
        </w:rPr>
        <w:t xml:space="preserve">Данные: паттерны семейных трат — ценнейший актив для персонализации кредитных и страховых предложений.</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1.1. Список финансовых задач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Средний — дифференцирующая фича</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Взрослые участники группы, подростки (частично)</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Отсутствует</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Ближайший конкурент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Тинькофф: «Цели», Сбер: «Копилки»</w:t>
            </w:r>
          </w:p>
        </w:tc>
      </w:tr>
    </w:tbl>
    <w:p>
      <w:pPr>
        <w:spacing w:before="80" w:after="0"/>
      </w:pPr>
    </w:p>
    <w:p>
      <w:pPr>
        <w:spacing w:before="200" w:after="120"/>
      </w:pPr>
      <w:r>
        <w:rPr>
          <w:rFonts w:ascii="Arial" w:cs="Arial" w:eastAsia="Arial" w:hAnsi="Arial"/>
          <w:b/>
          <w:bCs/>
          <w:color w:val="1A6B4A"/>
          <w:sz w:val="24"/>
          <w:szCs w:val="24"/>
        </w:rPr>
        <w:t xml:space="preserve">Описание функции</w:t>
      </w:r>
    </w:p>
    <w:p>
      <w:pPr>
        <w:spacing w:before="60" w:after="100"/>
      </w:pPr>
      <w:r>
        <w:rPr>
          <w:rFonts w:ascii="Arial" w:cs="Arial" w:eastAsia="Arial" w:hAnsi="Arial"/>
          <w:sz w:val="22"/>
          <w:szCs w:val="22"/>
        </w:rPr>
        <w:t xml:space="preserve">Финансовый планировщик внутри семейного кошелька. Задача — это не просто напоминание, а объект с привязанным счётом, ответственным участником и прогресс-баром. Три типа задач:</w:t>
      </w:r>
    </w:p>
    <w:p>
      <w:pPr>
        <w:spacing w:before="60" w:after="0"/>
      </w:pPr>
    </w:p>
    <w:p>
      <w:pPr>
        <w:spacing w:before="200" w:after="120"/>
      </w:pPr>
      <w:r>
        <w:rPr>
          <w:rFonts w:ascii="Arial" w:cs="Arial" w:eastAsia="Arial" w:hAnsi="Arial"/>
          <w:b/>
          <w:bCs/>
          <w:color w:val="1A6B4A"/>
          <w:sz w:val="24"/>
          <w:szCs w:val="24"/>
        </w:rPr>
        <w:t xml:space="preserve">Тип 1. Финансовые цели</w:t>
      </w:r>
    </w:p>
    <w:p>
      <w:pPr>
        <w:spacing w:before="60" w:after="100"/>
      </w:pPr>
      <w:r>
        <w:rPr>
          <w:rFonts w:ascii="Arial" w:cs="Arial" w:eastAsia="Arial" w:hAnsi="Arial"/>
          <w:sz w:val="22"/>
          <w:szCs w:val="22"/>
        </w:rPr>
        <w:t xml:space="preserve">Семья ставит общую цель (например, «Отпуск в Сочи — 150 000 ₽»). Каждый участник видит общий прогресс-бар. Автоматическое откладывание процента от каждой транзакции. Банк предлагает оптимальный план накоплений.</w:t>
      </w:r>
    </w:p>
    <w:p>
      <w:pPr>
        <w:pStyle w:val="ListParagraph"/>
        <w:numPr>
          <w:ilvl w:val="0"/>
          <w:numId w:val="2"/>
        </w:numPr>
        <w:spacing w:before="40" w:after="60"/>
      </w:pPr>
      <w:r>
        <w:rPr>
          <w:rFonts w:ascii="Arial" w:cs="Arial" w:eastAsia="Arial" w:hAnsi="Arial"/>
          <w:sz w:val="22"/>
          <w:szCs w:val="22"/>
        </w:rPr>
        <w:t xml:space="preserve">Примеры целей: отпуск, ремонт, покупка автомобиля, обучение ребёнка, первый взнос на ипотеку.</w:t>
      </w:r>
    </w:p>
    <w:p>
      <w:pPr>
        <w:pStyle w:val="ListParagraph"/>
        <w:numPr>
          <w:ilvl w:val="0"/>
          <w:numId w:val="2"/>
        </w:numPr>
        <w:spacing w:before="40" w:after="60"/>
      </w:pPr>
      <w:r>
        <w:rPr>
          <w:rFonts w:ascii="Arial" w:cs="Arial" w:eastAsia="Arial" w:hAnsi="Arial"/>
          <w:sz w:val="22"/>
          <w:szCs w:val="22"/>
        </w:rPr>
        <w:t xml:space="preserve">Вклад каждого участника в общую цель виден всем (с его разрешения) — это мотивирует.</w:t>
      </w:r>
    </w:p>
    <w:p>
      <w:pPr>
        <w:pStyle w:val="ListParagraph"/>
        <w:numPr>
          <w:ilvl w:val="0"/>
          <w:numId w:val="2"/>
        </w:numPr>
        <w:spacing w:before="40" w:after="60"/>
      </w:pPr>
      <w:r>
        <w:rPr>
          <w:rFonts w:ascii="Arial" w:cs="Arial" w:eastAsia="Arial" w:hAnsi="Arial"/>
          <w:sz w:val="22"/>
          <w:szCs w:val="22"/>
        </w:rPr>
        <w:t xml:space="preserve">При достижении цели — уведомление всей группе и предложение следующего продукта (например, тур от партнёра ВТБ).</w:t>
      </w:r>
    </w:p>
    <w:p>
      <w:pPr>
        <w:spacing w:before="60" w:after="0"/>
      </w:pPr>
    </w:p>
    <w:p>
      <w:pPr>
        <w:spacing w:before="200" w:after="120"/>
      </w:pPr>
      <w:r>
        <w:rPr>
          <w:rFonts w:ascii="Arial" w:cs="Arial" w:eastAsia="Arial" w:hAnsi="Arial"/>
          <w:b/>
          <w:bCs/>
          <w:color w:val="1A6B4A"/>
          <w:sz w:val="24"/>
          <w:szCs w:val="24"/>
        </w:rPr>
        <w:t xml:space="preserve">Тип 2. Бытовые задачи с привязкой к оплате</w:t>
      </w:r>
    </w:p>
    <w:p>
      <w:pPr>
        <w:spacing w:before="60" w:after="100"/>
      </w:pPr>
      <w:r>
        <w:rPr>
          <w:rFonts w:ascii="Arial" w:cs="Arial" w:eastAsia="Arial" w:hAnsi="Arial"/>
          <w:sz w:val="22"/>
          <w:szCs w:val="22"/>
        </w:rPr>
        <w:t xml:space="preserve">Платёжные задачи, назначаемые конкретному участнику: «Оплатить ЖКХ до 10 числа», «Внести оплату за секцию», «Пополнить транспортную карту Маши».</w:t>
      </w:r>
    </w:p>
    <w:p>
      <w:pPr>
        <w:pStyle w:val="ListParagraph"/>
        <w:numPr>
          <w:ilvl w:val="0"/>
          <w:numId w:val="2"/>
        </w:numPr>
        <w:spacing w:before="40" w:after="60"/>
      </w:pPr>
      <w:r>
        <w:rPr>
          <w:rFonts w:ascii="Arial" w:cs="Arial" w:eastAsia="Arial" w:hAnsi="Arial"/>
          <w:sz w:val="22"/>
          <w:szCs w:val="22"/>
        </w:rPr>
        <w:t xml:space="preserve">Организатор назначает задачу + ответственного + сумму + дату.</w:t>
      </w:r>
    </w:p>
    <w:p>
      <w:pPr>
        <w:pStyle w:val="ListParagraph"/>
        <w:numPr>
          <w:ilvl w:val="0"/>
          <w:numId w:val="2"/>
        </w:numPr>
        <w:spacing w:before="40" w:after="60"/>
      </w:pPr>
      <w:r>
        <w:rPr>
          <w:rFonts w:ascii="Arial" w:cs="Arial" w:eastAsia="Arial" w:hAnsi="Arial"/>
          <w:sz w:val="22"/>
          <w:szCs w:val="22"/>
        </w:rPr>
        <w:t xml:space="preserve">Ответственный видит задачу в своём дашборде.</w:t>
      </w:r>
    </w:p>
    <w:p>
      <w:pPr>
        <w:pStyle w:val="ListParagraph"/>
        <w:numPr>
          <w:ilvl w:val="0"/>
          <w:numId w:val="2"/>
        </w:numPr>
        <w:spacing w:before="40" w:after="60"/>
      </w:pPr>
      <w:r>
        <w:rPr>
          <w:rFonts w:ascii="Arial" w:cs="Arial" w:eastAsia="Arial" w:hAnsi="Arial"/>
          <w:sz w:val="22"/>
          <w:szCs w:val="22"/>
        </w:rPr>
        <w:t xml:space="preserve">При выполнении оплаты — автоматическое закрытие задачи + уведомление организатору.</w:t>
      </w:r>
    </w:p>
    <w:p>
      <w:pPr>
        <w:pStyle w:val="ListParagraph"/>
        <w:numPr>
          <w:ilvl w:val="0"/>
          <w:numId w:val="2"/>
        </w:numPr>
        <w:spacing w:before="40" w:after="60"/>
      </w:pPr>
      <w:r>
        <w:rPr>
          <w:rFonts w:ascii="Arial" w:cs="Arial" w:eastAsia="Arial" w:hAnsi="Arial"/>
          <w:sz w:val="22"/>
          <w:szCs w:val="22"/>
        </w:rPr>
        <w:t xml:space="preserve">Просрочка — напоминание организатору через push.</w:t>
      </w:r>
    </w:p>
    <w:p>
      <w:pPr>
        <w:spacing w:before="60" w:after="0"/>
      </w:pPr>
    </w:p>
    <w:p>
      <w:pPr>
        <w:spacing w:before="200" w:after="120"/>
      </w:pPr>
      <w:r>
        <w:rPr>
          <w:rFonts w:ascii="Arial" w:cs="Arial" w:eastAsia="Arial" w:hAnsi="Arial"/>
          <w:b/>
          <w:bCs/>
          <w:color w:val="1A6B4A"/>
          <w:sz w:val="24"/>
          <w:szCs w:val="24"/>
        </w:rPr>
        <w:t xml:space="preserve">Тип 3. AI-рекомендации задач</w:t>
      </w:r>
    </w:p>
    <w:p>
      <w:pPr>
        <w:spacing w:before="60" w:after="100"/>
      </w:pPr>
      <w:r>
        <w:rPr>
          <w:rFonts w:ascii="Arial" w:cs="Arial" w:eastAsia="Arial" w:hAnsi="Arial"/>
          <w:sz w:val="22"/>
          <w:szCs w:val="22"/>
        </w:rPr>
        <w:t xml:space="preserve">Встроенный алгоритм анализирует паттерны трат семьи и предлагает задачи автоматически:</w:t>
      </w:r>
    </w:p>
    <w:p>
      <w:pPr>
        <w:pStyle w:val="ListParagraph"/>
        <w:numPr>
          <w:ilvl w:val="0"/>
          <w:numId w:val="2"/>
        </w:numPr>
        <w:spacing w:before="40" w:after="60"/>
      </w:pPr>
      <w:r>
        <w:rPr>
          <w:rFonts w:ascii="Arial" w:cs="Arial" w:eastAsia="Arial" w:hAnsi="Arial"/>
          <w:sz w:val="22"/>
          <w:szCs w:val="22"/>
        </w:rPr>
        <w:t xml:space="preserve">«Ваша семья тратит 8 000 ₽/мес на доставку еды. Поставить цель — не более 5 000 ₽?»</w:t>
      </w:r>
    </w:p>
    <w:p>
      <w:pPr>
        <w:pStyle w:val="ListParagraph"/>
        <w:numPr>
          <w:ilvl w:val="0"/>
          <w:numId w:val="2"/>
        </w:numPr>
        <w:spacing w:before="40" w:after="60"/>
      </w:pPr>
      <w:r>
        <w:rPr>
          <w:rFonts w:ascii="Arial" w:cs="Arial" w:eastAsia="Arial" w:hAnsi="Arial"/>
          <w:sz w:val="22"/>
          <w:szCs w:val="22"/>
        </w:rPr>
        <w:t xml:space="preserve">«В прошлом месяце забыли оплатить интернет вовремя — добавить в календарь напоминание?»</w:t>
      </w:r>
    </w:p>
    <w:p>
      <w:pPr>
        <w:pStyle w:val="ListParagraph"/>
        <w:numPr>
          <w:ilvl w:val="0"/>
          <w:numId w:val="2"/>
        </w:numPr>
        <w:spacing w:before="40" w:after="60"/>
      </w:pPr>
      <w:r>
        <w:rPr>
          <w:rFonts w:ascii="Arial" w:cs="Arial" w:eastAsia="Arial" w:hAnsi="Arial"/>
          <w:sz w:val="22"/>
          <w:szCs w:val="22"/>
        </w:rPr>
        <w:t xml:space="preserve">«До конца учебного года 3 месяца — пора начать копить на летний лагерь для Ивана»</w:t>
      </w:r>
    </w:p>
    <w:p>
      <w:pPr>
        <w:spacing w:before="80" w:after="0"/>
      </w:pPr>
    </w:p>
    <w:p>
      <w:pPr>
        <w:spacing w:before="200" w:after="120"/>
      </w:pPr>
      <w:r>
        <w:rPr>
          <w:rFonts w:ascii="Arial" w:cs="Arial" w:eastAsia="Arial" w:hAnsi="Arial"/>
          <w:b/>
          <w:bCs/>
          <w:color w:val="1A6B4A"/>
          <w:sz w:val="24"/>
          <w:szCs w:val="24"/>
        </w:rPr>
        <w:t xml:space="preserve">Монетизация для банка</w:t>
      </w:r>
    </w:p>
    <w:p>
      <w:pPr>
        <w:pStyle w:val="ListParagraph"/>
        <w:numPr>
          <w:ilvl w:val="0"/>
          <w:numId w:val="2"/>
        </w:numPr>
        <w:spacing w:before="40" w:after="60"/>
      </w:pPr>
      <w:r>
        <w:rPr>
          <w:rFonts w:ascii="Arial" w:cs="Arial" w:eastAsia="Arial" w:hAnsi="Arial"/>
          <w:sz w:val="22"/>
          <w:szCs w:val="22"/>
        </w:rPr>
        <w:t xml:space="preserve">Цели = вклады: достигнутые цели конвертируются в предложения открыть вклад или инвестиционный счёт.</w:t>
      </w:r>
    </w:p>
    <w:p>
      <w:pPr>
        <w:pStyle w:val="ListParagraph"/>
        <w:numPr>
          <w:ilvl w:val="0"/>
          <w:numId w:val="2"/>
        </w:numPr>
        <w:spacing w:before="40" w:after="60"/>
      </w:pPr>
      <w:r>
        <w:rPr>
          <w:rFonts w:ascii="Arial" w:cs="Arial" w:eastAsia="Arial" w:hAnsi="Arial"/>
          <w:sz w:val="22"/>
          <w:szCs w:val="22"/>
        </w:rPr>
        <w:t xml:space="preserve">Кросс-сейл: цель «Ремонт» → предложение потребительского кредита; «Квартира» → ипотека.</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2. Пакет услуг «Близкие»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Высокий — монетизационный рычаг</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Вся группа</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Группа «Близкие» (запущена октябрь 2024)</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Новое в концепции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Трёхуровневая система тиров с freemium-логикой</w:t>
            </w:r>
          </w:p>
        </w:tc>
      </w:tr>
    </w:tbl>
    <w:p>
      <w:pPr>
        <w:spacing w:before="80" w:after="0"/>
      </w:pPr>
    </w:p>
    <w:p>
      <w:pPr>
        <w:spacing w:before="200" w:after="120"/>
      </w:pPr>
      <w:r>
        <w:rPr>
          <w:rFonts w:ascii="Arial" w:cs="Arial" w:eastAsia="Arial" w:hAnsi="Arial"/>
          <w:b/>
          <w:bCs/>
          <w:color w:val="1A6B4A"/>
          <w:sz w:val="24"/>
          <w:szCs w:val="24"/>
        </w:rPr>
        <w:t xml:space="preserve">Описание функции</w:t>
      </w:r>
    </w:p>
    <w:p>
      <w:pPr>
        <w:spacing w:before="60" w:after="100"/>
      </w:pPr>
      <w:r>
        <w:rPr>
          <w:rFonts w:ascii="Arial" w:cs="Arial" w:eastAsia="Arial" w:hAnsi="Arial"/>
          <w:sz w:val="22"/>
          <w:szCs w:val="22"/>
        </w:rPr>
        <w:t xml:space="preserve">Пакет «Близкие» — это набор групповых привилегий, которые становятся доступны при создании семейной группы. Предлагается трёхуровневая структура (тиры), где каждый следующий уровень предоставляет больше возможностей и требует более глубокой интеграции с ВТБ.</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13"/>
        <w:gridCol w:w="2213"/>
        <w:gridCol w:w="22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Параметр</w:t>
            </w:r>
          </w:p>
        </w:tc>
        <w:tc>
          <w:tcPr>
            <w:tcW w:type="dxa" w:w="2213"/>
            <w:tcBorders>
              <w:top w:val="single" w:color="CCCCCC" w:sz="1"/>
              <w:left w:val="single" w:color="CCCCCC" w:sz="1"/>
              <w:bottom w:val="single" w:color="CCCCCC" w:sz="1"/>
              <w:right w:val="single" w:color="CCCCCC" w:sz="1"/>
            </w:tcBorders>
            <w:shd w:fill="E8F0FB" w:val="clear"/>
            <w:tcMar>
              <w:top w:type="dxa" w:w="100"/>
              <w:left w:type="dxa" w:w="80"/>
              <w:bottom w:type="dxa" w:w="100"/>
              <w:right w:type="dxa" w:w="80"/>
            </w:tcMar>
          </w:tcPr>
          <w:p>
            <w:pPr>
              <w:jc w:val="center"/>
            </w:pPr>
            <w:r>
              <w:rPr>
                <w:rFonts w:ascii="Arial" w:cs="Arial" w:eastAsia="Arial" w:hAnsi="Arial"/>
                <w:b/>
                <w:bCs/>
                <w:color w:val="1F3864"/>
                <w:sz w:val="20"/>
                <w:szCs w:val="20"/>
              </w:rPr>
              <w:t xml:space="preserve">Старт (бесплатно)</w:t>
            </w:r>
          </w:p>
        </w:tc>
        <w:tc>
          <w:tcPr>
            <w:tcW w:type="dxa" w:w="2213"/>
            <w:tcBorders>
              <w:top w:val="single" w:color="CCCCCC" w:sz="1"/>
              <w:left w:val="single" w:color="CCCCCC" w:sz="1"/>
              <w:bottom w:val="single" w:color="CCCCCC" w:sz="1"/>
              <w:right w:val="single" w:color="CCCCCC" w:sz="1"/>
            </w:tcBorders>
            <w:shd w:fill="C8DDF8" w:val="clear"/>
            <w:tcMar>
              <w:top w:type="dxa" w:w="100"/>
              <w:left w:type="dxa" w:w="80"/>
              <w:bottom w:type="dxa" w:w="100"/>
              <w:right w:type="dxa" w:w="80"/>
            </w:tcMar>
          </w:tcPr>
          <w:p>
            <w:pPr>
              <w:jc w:val="center"/>
            </w:pPr>
            <w:r>
              <w:rPr>
                <w:rFonts w:ascii="Arial" w:cs="Arial" w:eastAsia="Arial" w:hAnsi="Arial"/>
                <w:b/>
                <w:bCs/>
                <w:color w:val="1F3864"/>
                <w:sz w:val="20"/>
                <w:szCs w:val="20"/>
              </w:rPr>
              <w:t xml:space="preserve">Семья (ВТБ Плюс)</w:t>
            </w:r>
          </w:p>
        </w:tc>
        <w:tc>
          <w:tcPr>
            <w:tcW w:type="dxa" w:w="2213"/>
            <w:tcBorders>
              <w:top w:val="single" w:color="CCCCCC" w:sz="1"/>
              <w:left w:val="single" w:color="CCCCCC" w:sz="1"/>
              <w:bottom w:val="single" w:color="CCCCCC" w:sz="1"/>
              <w:right w:val="single" w:color="CCCCCC" w:sz="1"/>
            </w:tcBorders>
            <w:shd w:fill="A8C8F5" w:val="clear"/>
            <w:tcMar>
              <w:top w:type="dxa" w:w="100"/>
              <w:left w:type="dxa" w:w="80"/>
              <w:bottom w:type="dxa" w:w="100"/>
              <w:right w:type="dxa" w:w="80"/>
            </w:tcMar>
          </w:tcPr>
          <w:p>
            <w:pPr>
              <w:jc w:val="center"/>
            </w:pPr>
            <w:r>
              <w:rPr>
                <w:rFonts w:ascii="Arial" w:cs="Arial" w:eastAsia="Arial" w:hAnsi="Arial"/>
                <w:b/>
                <w:bCs/>
                <w:color w:val="1F3864"/>
                <w:sz w:val="20"/>
                <w:szCs w:val="20"/>
              </w:rPr>
              <w:t xml:space="preserve">Расширенная семья (Премиум)</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9"/>
                <w:szCs w:val="19"/>
              </w:rPr>
              <w:t xml:space="preserve">Участников в группе</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до 3 человек</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до 6 человек</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до 10 человек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Кешбэк Супермаркеты</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5% (гарантировано)</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7% + доп. категория</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10% без ограничений</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9"/>
                <w:szCs w:val="19"/>
              </w:rPr>
              <w:t xml:space="preserve">Семейный счёт (7% на остаток)</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Да</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Да</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Трекер кешбэков группы</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Базовый</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Расширенный + AI</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Полный + советник</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9"/>
                <w:szCs w:val="19"/>
              </w:rPr>
              <w:t xml:space="preserve">Финансовые цели (копилки)</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1 общая цель</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До 5 целей</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Неограниченно</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Трекер подписок</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19"/>
                <w:szCs w:val="19"/>
              </w:rPr>
              <w:t xml:space="preserve">Нет</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Да</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Да + авто-сплит</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9"/>
                <w:szCs w:val="19"/>
              </w:rPr>
              <w:t xml:space="preserve">Финансовый календарь</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Базовый</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Полный</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Полный +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Страхование (скидка)</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19"/>
                <w:szCs w:val="19"/>
              </w:rPr>
              <w:t xml:space="preserve">Нет</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До 20%</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До 30%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9"/>
                <w:szCs w:val="19"/>
              </w:rPr>
              <w:t xml:space="preserve">Связь ВТБ Мобайл (скидка)</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888888"/>
                <w:sz w:val="19"/>
                <w:szCs w:val="19"/>
              </w:rPr>
              <w:t xml:space="preserve">Нет</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До 20%</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До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Ставка по вкладу (доп.)</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+0%</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+0.5%</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+1.5%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9"/>
                <w:szCs w:val="19"/>
              </w:rPr>
              <w:t xml:space="preserve">ВТБ Плюс подписка</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60 дней бесплатно</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Включена</w:t>
            </w:r>
          </w:p>
        </w:tc>
        <w:tc>
          <w:tcPr>
            <w:tcW w:type="dxa" w:w="2213"/>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3864"/>
                <w:sz w:val="19"/>
                <w:szCs w:val="19"/>
              </w:rPr>
              <w:t xml:space="preserve">Включена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Поддержка</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Стандартная</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Приоритетная</w:t>
            </w:r>
          </w:p>
        </w:tc>
        <w:tc>
          <w:tcPr>
            <w:tcW w:type="dxa" w:w="22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3864"/>
                <w:sz w:val="19"/>
                <w:szCs w:val="19"/>
              </w:rPr>
              <w:t xml:space="preserve">Персональный менеджер</w:t>
            </w:r>
          </w:p>
        </w:tc>
      </w:tr>
    </w:tbl>
    <w:p>
      <w:pPr>
        <w:spacing w:before="80" w:after="0"/>
      </w:pPr>
    </w:p>
    <w:p>
      <w:pPr>
        <w:spacing w:before="200" w:after="120"/>
      </w:pPr>
      <w:r>
        <w:rPr>
          <w:rFonts w:ascii="Arial" w:cs="Arial" w:eastAsia="Arial" w:hAnsi="Arial"/>
          <w:b/>
          <w:bCs/>
          <w:color w:val="1A6B4A"/>
          <w:sz w:val="24"/>
          <w:szCs w:val="24"/>
        </w:rPr>
        <w:t xml:space="preserve">Логика перехода между тирами</w:t>
      </w:r>
    </w:p>
    <w:p>
      <w:pPr>
        <w:pStyle w:val="ListParagraph"/>
        <w:numPr>
          <w:ilvl w:val="0"/>
          <w:numId w:val="2"/>
        </w:numPr>
        <w:spacing w:before="40" w:after="60"/>
      </w:pPr>
      <w:r>
        <w:rPr>
          <w:rFonts w:ascii="Arial" w:cs="Arial" w:eastAsia="Arial" w:hAnsi="Arial"/>
          <w:sz w:val="22"/>
          <w:szCs w:val="22"/>
        </w:rPr>
        <w:t xml:space="preserve">Старт → Семья: подключить ВТБ Плюс и привести 3+ участников в группу.</w:t>
      </w:r>
    </w:p>
    <w:p>
      <w:pPr>
        <w:pStyle w:val="ListParagraph"/>
        <w:numPr>
          <w:ilvl w:val="0"/>
          <w:numId w:val="2"/>
        </w:numPr>
        <w:spacing w:before="40" w:after="60"/>
      </w:pPr>
      <w:r>
        <w:rPr>
          <w:rFonts w:ascii="Arial" w:cs="Arial" w:eastAsia="Arial" w:hAnsi="Arial"/>
          <w:sz w:val="22"/>
          <w:szCs w:val="22"/>
        </w:rPr>
        <w:t xml:space="preserve">Семья → Расширенная: группа 6+ участников + суммарный оборот по картам группы от 100 000 ₽/мес за 3 месяца подряд.</w:t>
      </w:r>
    </w:p>
    <w:p>
      <w:pPr>
        <w:pStyle w:val="ListParagraph"/>
        <w:numPr>
          <w:ilvl w:val="0"/>
          <w:numId w:val="2"/>
        </w:numPr>
        <w:spacing w:before="40" w:after="60"/>
      </w:pPr>
      <w:r>
        <w:rPr>
          <w:rFonts w:ascii="Arial" w:cs="Arial" w:eastAsia="Arial" w:hAnsi="Arial"/>
          <w:sz w:val="22"/>
          <w:szCs w:val="22"/>
        </w:rPr>
        <w:t xml:space="preserve">Понижение тира: если условия не выполняются 2 месяца подряд — мягкое уведомление, без автоматического понижения (30 дней на восстановление).</w:t>
      </w:r>
    </w:p>
    <w:p>
      <w:pPr>
        <w:spacing w:before="80" w:after="0"/>
      </w:pPr>
    </w:p>
    <w:p>
      <w:pPr>
        <w:spacing w:before="200" w:after="120"/>
      </w:pPr>
      <w:r>
        <w:rPr>
          <w:rFonts w:ascii="Arial" w:cs="Arial" w:eastAsia="Arial" w:hAnsi="Arial"/>
          <w:b/>
          <w:bCs/>
          <w:color w:val="1A6B4A"/>
          <w:sz w:val="24"/>
          <w:szCs w:val="24"/>
        </w:rPr>
        <w:t xml:space="preserve">Монетизация для банка</w:t>
      </w:r>
    </w:p>
    <w:p>
      <w:pPr>
        <w:pStyle w:val="ListParagraph"/>
        <w:numPr>
          <w:ilvl w:val="0"/>
          <w:numId w:val="2"/>
        </w:numPr>
        <w:spacing w:before="40" w:after="60"/>
      </w:pPr>
      <w:r>
        <w:rPr>
          <w:rFonts w:ascii="Arial" w:cs="Arial" w:eastAsia="Arial" w:hAnsi="Arial"/>
          <w:sz w:val="22"/>
          <w:szCs w:val="22"/>
        </w:rPr>
        <w:t xml:space="preserve">Freemium-воронка: каждый уровень создаёт стимул к более глубокой интеграции с ВТБ-продуктами.</w:t>
      </w:r>
    </w:p>
    <w:p>
      <w:pPr>
        <w:pStyle w:val="ListParagraph"/>
        <w:numPr>
          <w:ilvl w:val="0"/>
          <w:numId w:val="2"/>
        </w:numPr>
        <w:spacing w:before="40" w:after="60"/>
      </w:pPr>
      <w:r>
        <w:rPr>
          <w:rFonts w:ascii="Arial" w:cs="Arial" w:eastAsia="Arial" w:hAnsi="Arial"/>
          <w:sz w:val="22"/>
          <w:szCs w:val="22"/>
        </w:rPr>
        <w:t xml:space="preserve">Сетевой эффект: каждый новый участник группы увеличивает ценность продукта для всех — органический рост MAU.</w:t>
      </w:r>
    </w:p>
    <w:p>
      <w:pPr>
        <w:pStyle w:val="ListParagraph"/>
        <w:numPr>
          <w:ilvl w:val="0"/>
          <w:numId w:val="2"/>
        </w:numPr>
        <w:spacing w:before="40" w:after="60"/>
      </w:pPr>
      <w:r>
        <w:rPr>
          <w:rFonts w:ascii="Arial" w:cs="Arial" w:eastAsia="Arial" w:hAnsi="Arial"/>
          <w:sz w:val="22"/>
          <w:szCs w:val="22"/>
        </w:rPr>
        <w:t xml:space="preserve">Увеличение оборота: порог 100 000 ₽/мес для Расширенного тира мотивирует семью концентрировать траты в ВТБ.</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3. Трекер подписок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Высокий — закрывает реальную боль</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Взрослые участники группы</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Отсутствует</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Конкурентная уникальность</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Ни один российский банк не предлагает семейный трекер с авто-сплитом</w:t>
            </w:r>
          </w:p>
        </w:tc>
      </w:tr>
    </w:tbl>
    <w:p>
      <w:pPr>
        <w:spacing w:before="80" w:after="0"/>
      </w:pPr>
    </w:p>
    <w:p>
      <w:pPr>
        <w:spacing w:before="200" w:after="120"/>
      </w:pPr>
      <w:r>
        <w:rPr>
          <w:rFonts w:ascii="Arial" w:cs="Arial" w:eastAsia="Arial" w:hAnsi="Arial"/>
          <w:b/>
          <w:bCs/>
          <w:color w:val="1A6B4A"/>
          <w:sz w:val="24"/>
          <w:szCs w:val="24"/>
        </w:rPr>
        <w:t xml:space="preserve">Описание функции</w:t>
      </w:r>
    </w:p>
    <w:p>
      <w:pPr>
        <w:spacing w:before="60" w:after="100"/>
      </w:pPr>
      <w:r>
        <w:rPr>
          <w:rFonts w:ascii="Arial" w:cs="Arial" w:eastAsia="Arial" w:hAnsi="Arial"/>
          <w:sz w:val="22"/>
          <w:szCs w:val="22"/>
        </w:rPr>
        <w:t xml:space="preserve">Трекер подписок автоматически выявляет все регулярные списания по картам участников группы, категоризирует их, выявляет дубли и предлагает оптимизацию расходов. Участники видят только свои подписки — общий дашборд показывает суммарную нагрузку без детализации по людям.</w:t>
      </w:r>
    </w:p>
    <w:p>
      <w:pPr>
        <w:spacing w:before="60" w:after="0"/>
      </w:pPr>
    </w:p>
    <w:p>
      <w:pPr>
        <w:spacing w:before="200" w:after="120"/>
      </w:pPr>
      <w:r>
        <w:rPr>
          <w:rFonts w:ascii="Arial" w:cs="Arial" w:eastAsia="Arial" w:hAnsi="Arial"/>
          <w:b/>
          <w:bCs/>
          <w:color w:val="1A6B4A"/>
          <w:sz w:val="24"/>
          <w:szCs w:val="24"/>
        </w:rPr>
        <w:t xml:space="preserve">Модуль 1. Автообнаружение</w:t>
      </w:r>
    </w:p>
    <w:p>
      <w:pPr>
        <w:spacing w:before="60" w:after="100"/>
      </w:pPr>
      <w:r>
        <w:rPr>
          <w:rFonts w:ascii="Arial" w:cs="Arial" w:eastAsia="Arial" w:hAnsi="Arial"/>
          <w:sz w:val="22"/>
          <w:szCs w:val="22"/>
        </w:rPr>
        <w:t xml:space="preserve">Алгоритм анализирует транзакции последних 90 дней и выявляет регулярные списания с интервалом 7, 14 или 30 дней. Для каждой подписки:</w:t>
      </w:r>
    </w:p>
    <w:p>
      <w:pPr>
        <w:pStyle w:val="ListParagraph"/>
        <w:numPr>
          <w:ilvl w:val="0"/>
          <w:numId w:val="2"/>
        </w:numPr>
        <w:spacing w:before="40" w:after="60"/>
      </w:pPr>
      <w:r>
        <w:rPr>
          <w:rFonts w:ascii="Arial" w:cs="Arial" w:eastAsia="Arial" w:hAnsi="Arial"/>
          <w:sz w:val="22"/>
          <w:szCs w:val="22"/>
        </w:rPr>
        <w:t xml:space="preserve">Автоматически определяется сервис (Яндекс Плюс, Netflix, IVI, Spotify, 2ГИС Про, Avito Premium и др.) по паттерну суммы и MCC-коду.</w:t>
      </w:r>
    </w:p>
    <w:p>
      <w:pPr>
        <w:pStyle w:val="ListParagraph"/>
        <w:numPr>
          <w:ilvl w:val="0"/>
          <w:numId w:val="2"/>
        </w:numPr>
        <w:spacing w:before="40" w:after="60"/>
      </w:pPr>
      <w:r>
        <w:rPr>
          <w:rFonts w:ascii="Arial" w:cs="Arial" w:eastAsia="Arial" w:hAnsi="Arial"/>
          <w:sz w:val="22"/>
          <w:szCs w:val="22"/>
        </w:rPr>
        <w:t xml:space="preserve">Отображается название, сумма, дата следующего списания, тип (развлечения / работа / образование / здоровье).</w:t>
      </w:r>
    </w:p>
    <w:p>
      <w:pPr>
        <w:pStyle w:val="ListParagraph"/>
        <w:numPr>
          <w:ilvl w:val="0"/>
          <w:numId w:val="2"/>
        </w:numPr>
        <w:spacing w:before="40" w:after="60"/>
      </w:pPr>
      <w:r>
        <w:rPr>
          <w:rFonts w:ascii="Arial" w:cs="Arial" w:eastAsia="Arial" w:hAnsi="Arial"/>
          <w:sz w:val="22"/>
          <w:szCs w:val="22"/>
        </w:rPr>
        <w:t xml:space="preserve">Подписки, которые не списывались более 60 дней, помечаются как «возможно отменены» — уведомление клиенту.</w:t>
      </w:r>
    </w:p>
    <w:p>
      <w:pPr>
        <w:spacing w:before="60" w:after="0"/>
      </w:pPr>
    </w:p>
    <w:p>
      <w:pPr>
        <w:spacing w:before="200" w:after="120"/>
      </w:pPr>
      <w:r>
        <w:rPr>
          <w:rFonts w:ascii="Arial" w:cs="Arial" w:eastAsia="Arial" w:hAnsi="Arial"/>
          <w:b/>
          <w:bCs/>
          <w:color w:val="1A6B4A"/>
          <w:sz w:val="24"/>
          <w:szCs w:val="24"/>
        </w:rPr>
        <w:t xml:space="preserve">Модуль 2. Семейные дубли и вскладчину</w:t>
      </w:r>
    </w:p>
    <w:p>
      <w:pPr>
        <w:spacing w:before="60" w:after="100"/>
      </w:pPr>
      <w:r>
        <w:rPr>
          <w:rFonts w:ascii="Arial" w:cs="Arial" w:eastAsia="Arial" w:hAnsi="Arial"/>
          <w:sz w:val="22"/>
          <w:szCs w:val="22"/>
        </w:rPr>
        <w:t xml:space="preserve">Ключевая фича: система сравнивает подписки участников группы между собой (анонимно — видит только факт совпадения, не имена). Если два и более участника платят за один сервис:</w:t>
      </w:r>
    </w:p>
    <w:p>
      <w:pPr>
        <w:pStyle w:val="ListParagraph"/>
        <w:numPr>
          <w:ilvl w:val="0"/>
          <w:numId w:val="2"/>
        </w:numPr>
        <w:spacing w:before="40" w:after="60"/>
      </w:pPr>
      <w:r>
        <w:rPr>
          <w:rFonts w:ascii="Arial" w:cs="Arial" w:eastAsia="Arial" w:hAnsi="Arial"/>
          <w:sz w:val="22"/>
          <w:szCs w:val="22"/>
        </w:rPr>
        <w:t xml:space="preserve">Банк присылает алерт: «Несколько членов вашей семьи используют Яндекс Музыку. Семейный тариф сэкономит ~340 ₽/мес»</w:t>
      </w:r>
    </w:p>
    <w:p>
      <w:pPr>
        <w:pStyle w:val="ListParagraph"/>
        <w:numPr>
          <w:ilvl w:val="0"/>
          <w:numId w:val="2"/>
        </w:numPr>
        <w:spacing w:before="40" w:after="60"/>
      </w:pPr>
      <w:r>
        <w:rPr>
          <w:rFonts w:ascii="Arial" w:cs="Arial" w:eastAsia="Arial" w:hAnsi="Arial"/>
          <w:sz w:val="22"/>
          <w:szCs w:val="22"/>
        </w:rPr>
        <w:t xml:space="preserve">Один клик — переход на страницу оформления семейного тарифа через партнёрский каталог ВТБ.</w:t>
      </w:r>
    </w:p>
    <w:p>
      <w:pPr>
        <w:pStyle w:val="ListParagraph"/>
        <w:numPr>
          <w:ilvl w:val="0"/>
          <w:numId w:val="2"/>
        </w:numPr>
        <w:spacing w:before="40" w:after="60"/>
      </w:pPr>
      <w:r>
        <w:rPr>
          <w:rFonts w:ascii="Arial" w:cs="Arial" w:eastAsia="Arial" w:hAnsi="Arial"/>
          <w:sz w:val="22"/>
          <w:szCs w:val="22"/>
        </w:rPr>
        <w:t xml:space="preserve">«Подписка вскладчину»: для поддерживаемых сервисов (Netflix, Spotify) банк автоматически делит стоимость семейного тарифа между участниками в заданных пропорциях.</w:t>
      </w:r>
    </w:p>
    <w:p>
      <w:pPr>
        <w:spacing w:before="60" w:after="0"/>
      </w:pPr>
    </w:p>
    <w:p>
      <w:pPr>
        <w:spacing w:before="200" w:after="120"/>
      </w:pPr>
      <w:r>
        <w:rPr>
          <w:rFonts w:ascii="Arial" w:cs="Arial" w:eastAsia="Arial" w:hAnsi="Arial"/>
          <w:b/>
          <w:bCs/>
          <w:color w:val="1A6B4A"/>
          <w:sz w:val="24"/>
          <w:szCs w:val="24"/>
        </w:rPr>
        <w:t xml:space="preserve">Модуль 3. Аналитика и прогноз</w:t>
      </w:r>
    </w:p>
    <w:p>
      <w:pPr>
        <w:pStyle w:val="ListParagraph"/>
        <w:numPr>
          <w:ilvl w:val="0"/>
          <w:numId w:val="2"/>
        </w:numPr>
        <w:spacing w:before="40" w:after="60"/>
      </w:pPr>
      <w:r>
        <w:rPr>
          <w:rFonts w:ascii="Arial" w:cs="Arial" w:eastAsia="Arial" w:hAnsi="Arial"/>
          <w:sz w:val="22"/>
          <w:szCs w:val="22"/>
        </w:rPr>
        <w:t xml:space="preserve">Дашборд: «Ваша семья тратит на подписки 4 200 ₽/мес — это 50 400 ₽ в год».</w:t>
      </w:r>
    </w:p>
    <w:p>
      <w:pPr>
        <w:pStyle w:val="ListParagraph"/>
        <w:numPr>
          <w:ilvl w:val="0"/>
          <w:numId w:val="2"/>
        </w:numPr>
        <w:spacing w:before="40" w:after="60"/>
      </w:pPr>
      <w:r>
        <w:rPr>
          <w:rFonts w:ascii="Arial" w:cs="Arial" w:eastAsia="Arial" w:hAnsi="Arial"/>
          <w:sz w:val="22"/>
          <w:szCs w:val="22"/>
        </w:rPr>
        <w:t xml:space="preserve">Сравнение по категориям: развлечения / работа / образование / здоровье.</w:t>
      </w:r>
    </w:p>
    <w:p>
      <w:pPr>
        <w:pStyle w:val="ListParagraph"/>
        <w:numPr>
          <w:ilvl w:val="0"/>
          <w:numId w:val="2"/>
        </w:numPr>
        <w:spacing w:before="40" w:after="60"/>
      </w:pPr>
      <w:r>
        <w:rPr>
          <w:rFonts w:ascii="Arial" w:cs="Arial" w:eastAsia="Arial" w:hAnsi="Arial"/>
          <w:sz w:val="22"/>
          <w:szCs w:val="22"/>
        </w:rPr>
        <w:t xml:space="preserve">Тренд: рост трат на подписки за последние 6 месяцев (+15%).</w:t>
      </w:r>
    </w:p>
    <w:p>
      <w:pPr>
        <w:pStyle w:val="ListParagraph"/>
        <w:numPr>
          <w:ilvl w:val="0"/>
          <w:numId w:val="2"/>
        </w:numPr>
        <w:spacing w:before="40" w:after="60"/>
      </w:pPr>
      <w:r>
        <w:rPr>
          <w:rFonts w:ascii="Arial" w:cs="Arial" w:eastAsia="Arial" w:hAnsi="Arial"/>
          <w:sz w:val="22"/>
          <w:szCs w:val="22"/>
        </w:rPr>
        <w:t xml:space="preserve">AI-рекомендация: «Вы платите за две музыкальные платформы — рекомендуем оставить одну и сэкономить 299 ₽/мес».</w:t>
      </w:r>
    </w:p>
    <w:p>
      <w:pPr>
        <w:spacing w:before="80" w:after="0"/>
      </w:pPr>
    </w:p>
    <w:p>
      <w:pPr>
        <w:spacing w:before="200" w:after="120"/>
      </w:pPr>
      <w:r>
        <w:rPr>
          <w:rFonts w:ascii="Arial" w:cs="Arial" w:eastAsia="Arial" w:hAnsi="Arial"/>
          <w:b/>
          <w:bCs/>
          <w:color w:val="1A6B4A"/>
          <w:sz w:val="24"/>
          <w:szCs w:val="24"/>
        </w:rPr>
        <w:t xml:space="preserve">Монетизация для банка</w:t>
      </w:r>
    </w:p>
    <w:p>
      <w:pPr>
        <w:pStyle w:val="ListParagraph"/>
        <w:numPr>
          <w:ilvl w:val="0"/>
          <w:numId w:val="2"/>
        </w:numPr>
        <w:spacing w:before="40" w:after="60"/>
      </w:pPr>
      <w:r>
        <w:rPr>
          <w:rFonts w:ascii="Arial" w:cs="Arial" w:eastAsia="Arial" w:hAnsi="Arial"/>
          <w:sz w:val="22"/>
          <w:szCs w:val="22"/>
        </w:rPr>
        <w:t xml:space="preserve">Партнёрские комиссии: ВТБ получает агентское вознаграждение за каждое переключение клиента на семейный тариф через партнёрский каталог.</w:t>
      </w:r>
    </w:p>
    <w:p>
      <w:pPr>
        <w:pStyle w:val="ListParagraph"/>
        <w:numPr>
          <w:ilvl w:val="0"/>
          <w:numId w:val="2"/>
        </w:numPr>
        <w:spacing w:before="40" w:after="60"/>
      </w:pPr>
      <w:r>
        <w:rPr>
          <w:rFonts w:ascii="Arial" w:cs="Arial" w:eastAsia="Arial" w:hAnsi="Arial"/>
          <w:sz w:val="22"/>
          <w:szCs w:val="22"/>
        </w:rPr>
        <w:t xml:space="preserve">Удержание средств в экосистеме: подписки, оплачиваемые через семейный счёт ВТБ, привязывают клиента глубже.</w:t>
      </w:r>
    </w:p>
    <w:p>
      <w:pPr>
        <w:pStyle w:val="ListParagraph"/>
        <w:numPr>
          <w:ilvl w:val="0"/>
          <w:numId w:val="2"/>
        </w:numPr>
        <w:spacing w:before="40" w:after="60"/>
      </w:pPr>
      <w:r>
        <w:rPr>
          <w:rFonts w:ascii="Arial" w:cs="Arial" w:eastAsia="Arial" w:hAnsi="Arial"/>
          <w:sz w:val="22"/>
          <w:szCs w:val="22"/>
        </w:rPr>
        <w:t xml:space="preserve">Данные о подписках: ценнейший поведенческий профиль для персонализированных офферов.</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4. ВТБ Юниор — финансовый помощник для детей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Стратегический — формирует LTV на 10+ лет</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Дети 6–17 лет + родители</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Детская карта (базовый функционал), запланирована геймификация</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Ключевое отличие</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Связка: задача → деньги → обучение → уровень — всё в одном продукте</w:t>
            </w:r>
          </w:p>
        </w:tc>
      </w:tr>
    </w:tbl>
    <w:p>
      <w:pPr>
        <w:spacing w:before="80" w:after="0"/>
      </w:pPr>
    </w:p>
    <w:p>
      <w:pPr>
        <w:spacing w:before="200" w:after="120"/>
      </w:pPr>
      <w:r>
        <w:rPr>
          <w:rFonts w:ascii="Arial" w:cs="Arial" w:eastAsia="Arial" w:hAnsi="Arial"/>
          <w:b/>
          <w:bCs/>
          <w:color w:val="1A6B4A"/>
          <w:sz w:val="24"/>
          <w:szCs w:val="24"/>
        </w:rPr>
        <w:t xml:space="preserve">Возрастные профили</w:t>
      </w:r>
    </w:p>
    <w:p>
      <w:pPr>
        <w:spacing w:before="200" w:after="120"/>
      </w:pPr>
      <w:r>
        <w:rPr>
          <w:rFonts w:ascii="Arial" w:cs="Arial" w:eastAsia="Arial" w:hAnsi="Arial"/>
          <w:b/>
          <w:bCs/>
          <w:color w:val="1A6B4A"/>
          <w:sz w:val="24"/>
          <w:szCs w:val="24"/>
        </w:rPr>
        <w:t xml:space="preserve">Сегмент A: «Копилка» (6–9 лет)</w:t>
      </w:r>
    </w:p>
    <w:p>
      <w:pPr>
        <w:spacing w:before="60" w:after="100"/>
      </w:pPr>
      <w:r>
        <w:rPr>
          <w:rFonts w:ascii="Arial" w:cs="Arial" w:eastAsia="Arial" w:hAnsi="Arial"/>
          <w:sz w:val="22"/>
          <w:szCs w:val="22"/>
        </w:rPr>
        <w:t xml:space="preserve">Самый маленький сегмент — без карты, только цифровой инструмент.</w:t>
      </w:r>
    </w:p>
    <w:p>
      <w:pPr>
        <w:pStyle w:val="ListParagraph"/>
        <w:numPr>
          <w:ilvl w:val="0"/>
          <w:numId w:val="2"/>
        </w:numPr>
        <w:spacing w:before="40" w:after="60"/>
      </w:pPr>
      <w:r>
        <w:rPr>
          <w:rFonts w:ascii="Arial" w:cs="Arial" w:eastAsia="Arial" w:hAnsi="Arial"/>
          <w:sz w:val="22"/>
          <w:szCs w:val="22"/>
        </w:rPr>
        <w:t xml:space="preserve">Виртуальная копилка с целью: ребёнок видит на экране «Коплю на Lego — собрано 650 ₽ из 2 000 ₽».</w:t>
      </w:r>
    </w:p>
    <w:p>
      <w:pPr>
        <w:pStyle w:val="ListParagraph"/>
        <w:numPr>
          <w:ilvl w:val="0"/>
          <w:numId w:val="2"/>
        </w:numPr>
        <w:spacing w:before="40" w:after="60"/>
      </w:pPr>
      <w:r>
        <w:rPr>
          <w:rFonts w:ascii="Arial" w:cs="Arial" w:eastAsia="Arial" w:hAnsi="Arial"/>
          <w:sz w:val="22"/>
          <w:szCs w:val="22"/>
        </w:rPr>
        <w:t xml:space="preserve">Родитель пополняет копилку вручную или настраивает авторегулярное пополнение.</w:t>
      </w:r>
    </w:p>
    <w:p>
      <w:pPr>
        <w:pStyle w:val="ListParagraph"/>
        <w:numPr>
          <w:ilvl w:val="0"/>
          <w:numId w:val="2"/>
        </w:numPr>
        <w:spacing w:before="40" w:after="60"/>
      </w:pPr>
      <w:r>
        <w:rPr>
          <w:rFonts w:ascii="Arial" w:cs="Arial" w:eastAsia="Arial" w:hAnsi="Arial"/>
          <w:sz w:val="22"/>
          <w:szCs w:val="22"/>
        </w:rPr>
        <w:t xml:space="preserve">Прогресс-бар с анимацией — мотивирует ребёнка следить за накоплениями.</w:t>
      </w:r>
    </w:p>
    <w:p>
      <w:pPr>
        <w:pStyle w:val="ListParagraph"/>
        <w:numPr>
          <w:ilvl w:val="0"/>
          <w:numId w:val="2"/>
        </w:numPr>
        <w:spacing w:before="40" w:after="60"/>
      </w:pPr>
      <w:r>
        <w:rPr>
          <w:rFonts w:ascii="Arial" w:cs="Arial" w:eastAsia="Arial" w:hAnsi="Arial"/>
          <w:sz w:val="22"/>
          <w:szCs w:val="22"/>
        </w:rPr>
        <w:t xml:space="preserve">Обучающие мини-мультфильмы: «Почему нужно копить?», «Что такое деньги?» (по 2 минуты).</w:t>
      </w:r>
    </w:p>
    <w:p>
      <w:pPr>
        <w:spacing w:before="60" w:after="0"/>
      </w:pPr>
    </w:p>
    <w:p>
      <w:pPr>
        <w:spacing w:before="200" w:after="120"/>
      </w:pPr>
      <w:r>
        <w:rPr>
          <w:rFonts w:ascii="Arial" w:cs="Arial" w:eastAsia="Arial" w:hAnsi="Arial"/>
          <w:b/>
          <w:bCs/>
          <w:color w:val="1A6B4A"/>
          <w:sz w:val="24"/>
          <w:szCs w:val="24"/>
        </w:rPr>
        <w:t xml:space="preserve">Сегмент B: «Карта Юниор» (10–13 лет) — ключевой сегмент</w:t>
      </w:r>
    </w:p>
    <w:p>
      <w:pPr>
        <w:spacing w:before="60" w:after="100"/>
      </w:pPr>
      <w:r>
        <w:rPr>
          <w:rFonts w:ascii="Arial" w:cs="Arial" w:eastAsia="Arial" w:hAnsi="Arial"/>
          <w:sz w:val="22"/>
          <w:szCs w:val="22"/>
        </w:rPr>
        <w:t xml:space="preserve">Полноценная дебетовая карта с родительским лимитом. Сердце экосистемы ВТБ Юниор.</w:t>
      </w:r>
    </w:p>
    <w:p>
      <w:pPr>
        <w:spacing w:before="60" w:after="100"/>
      </w:pPr>
      <w:r>
        <w:rPr>
          <w:rFonts w:ascii="Arial" w:cs="Arial" w:eastAsia="Arial" w:hAnsi="Arial"/>
          <w:b/>
          <w:bCs/>
          <w:sz w:val="22"/>
          <w:szCs w:val="22"/>
        </w:rPr>
        <w:t xml:space="preserve">Механика «Задача = Деньги»:</w:t>
      </w:r>
    </w:p>
    <w:p>
      <w:pPr>
        <w:pStyle w:val="ListParagraph"/>
        <w:numPr>
          <w:ilvl w:val="0"/>
          <w:numId w:val="2"/>
        </w:numPr>
        <w:spacing w:before="40" w:after="60"/>
      </w:pPr>
      <w:r>
        <w:rPr>
          <w:rFonts w:ascii="Arial" w:cs="Arial" w:eastAsia="Arial" w:hAnsi="Arial"/>
          <w:sz w:val="22"/>
          <w:szCs w:val="22"/>
        </w:rPr>
        <w:t xml:space="preserve">Родитель создаёт задачу в приложении: название, описание, сумма вознаграждения, срок.</w:t>
      </w:r>
    </w:p>
    <w:p>
      <w:pPr>
        <w:pStyle w:val="ListParagraph"/>
        <w:numPr>
          <w:ilvl w:val="0"/>
          <w:numId w:val="2"/>
        </w:numPr>
        <w:spacing w:before="40" w:after="60"/>
      </w:pPr>
      <w:r>
        <w:rPr>
          <w:rFonts w:ascii="Arial" w:cs="Arial" w:eastAsia="Arial" w:hAnsi="Arial"/>
          <w:sz w:val="22"/>
          <w:szCs w:val="22"/>
        </w:rPr>
        <w:t xml:space="preserve">Примеры задач: «Убраться в комнате» (+50 ₽), «Прочитать книгу» (+150 ₽), «Получить пятёрку» (+300 ₽), «Неделя без опозданий» (+200 ₽).</w:t>
      </w:r>
    </w:p>
    <w:p>
      <w:pPr>
        <w:pStyle w:val="ListParagraph"/>
        <w:numPr>
          <w:ilvl w:val="0"/>
          <w:numId w:val="2"/>
        </w:numPr>
        <w:spacing w:before="40" w:after="60"/>
      </w:pPr>
      <w:r>
        <w:rPr>
          <w:rFonts w:ascii="Arial" w:cs="Arial" w:eastAsia="Arial" w:hAnsi="Arial"/>
          <w:sz w:val="22"/>
          <w:szCs w:val="22"/>
        </w:rPr>
        <w:t xml:space="preserve">Ребёнок отмечает задачу как выполненную. Родитель подтверждает. Деньги поступают на карту мгновенно.</w:t>
      </w:r>
    </w:p>
    <w:p>
      <w:pPr>
        <w:pStyle w:val="ListParagraph"/>
        <w:numPr>
          <w:ilvl w:val="0"/>
          <w:numId w:val="2"/>
        </w:numPr>
        <w:spacing w:before="40" w:after="60"/>
      </w:pPr>
      <w:r>
        <w:rPr>
          <w:rFonts w:ascii="Arial" w:cs="Arial" w:eastAsia="Arial" w:hAnsi="Arial"/>
          <w:sz w:val="22"/>
          <w:szCs w:val="22"/>
        </w:rPr>
        <w:t xml:space="preserve">Автоправило «Карманные»: каждую пятницу 300 ₽ — автоматически, если все задачи недели выполнены.</w:t>
      </w:r>
    </w:p>
    <w:p>
      <w:pPr>
        <w:spacing w:before="40" w:after="0"/>
      </w:pPr>
    </w:p>
    <w:p>
      <w:pPr>
        <w:spacing w:before="60" w:after="100"/>
      </w:pPr>
      <w:r>
        <w:rPr>
          <w:rFonts w:ascii="Arial" w:cs="Arial" w:eastAsia="Arial" w:hAnsi="Arial"/>
          <w:b/>
          <w:bCs/>
          <w:sz w:val="22"/>
          <w:szCs w:val="22"/>
        </w:rPr>
        <w:t xml:space="preserve">Механика запроса денег:</w:t>
      </w:r>
    </w:p>
    <w:p>
      <w:pPr>
        <w:pStyle w:val="ListParagraph"/>
        <w:numPr>
          <w:ilvl w:val="0"/>
          <w:numId w:val="2"/>
        </w:numPr>
        <w:spacing w:before="40" w:after="60"/>
      </w:pPr>
      <w:r>
        <w:rPr>
          <w:rFonts w:ascii="Arial" w:cs="Arial" w:eastAsia="Arial" w:hAnsi="Arial"/>
          <w:sz w:val="22"/>
          <w:szCs w:val="22"/>
        </w:rPr>
        <w:t xml:space="preserve">Ребёнок создаёт запрос: выбирает сумму + причину из списка (еда, транспорт, книга, игра) или пишет свою. Лимит: до 3 запросов в день.</w:t>
      </w:r>
    </w:p>
    <w:p>
      <w:pPr>
        <w:pStyle w:val="ListParagraph"/>
        <w:numPr>
          <w:ilvl w:val="0"/>
          <w:numId w:val="2"/>
        </w:numPr>
        <w:spacing w:before="40" w:after="60"/>
      </w:pPr>
      <w:r>
        <w:rPr>
          <w:rFonts w:ascii="Arial" w:cs="Arial" w:eastAsia="Arial" w:hAnsi="Arial"/>
          <w:sz w:val="22"/>
          <w:szCs w:val="22"/>
        </w:rPr>
        <w:t xml:space="preserve">Родителю приходит push: «Саша просит 500 ₽ на кроссовки». Три варианта ответа: Одобрить / Одобрить частично (с указанием суммы) / Отказать с комментарием.</w:t>
      </w:r>
    </w:p>
    <w:p>
      <w:pPr>
        <w:pStyle w:val="ListParagraph"/>
        <w:numPr>
          <w:ilvl w:val="0"/>
          <w:numId w:val="2"/>
        </w:numPr>
        <w:spacing w:before="40" w:after="60"/>
      </w:pPr>
      <w:r>
        <w:rPr>
          <w:rFonts w:ascii="Arial" w:cs="Arial" w:eastAsia="Arial" w:hAnsi="Arial"/>
          <w:sz w:val="22"/>
          <w:szCs w:val="22"/>
        </w:rPr>
        <w:t xml:space="preserve">При одобрении — деньги на карте ребёнка мгновенно. Полная история запросов и решений хранится в приложении.</w:t>
      </w:r>
    </w:p>
    <w:p>
      <w:pPr>
        <w:pStyle w:val="ListParagraph"/>
        <w:numPr>
          <w:ilvl w:val="0"/>
          <w:numId w:val="2"/>
        </w:numPr>
        <w:spacing w:before="40" w:after="60"/>
      </w:pPr>
      <w:r>
        <w:rPr>
          <w:rFonts w:ascii="Arial" w:cs="Arial" w:eastAsia="Arial" w:hAnsi="Arial"/>
          <w:sz w:val="22"/>
          <w:szCs w:val="22"/>
        </w:rPr>
        <w:t xml:space="preserve">Кнопка «Срочная помощь»: ребёнок в любой момент может отправить родителю SOS-уведомление с возможностью мгновенного перевода «на транспорт домой» (фиксированная сумма по умолчанию).</w:t>
      </w:r>
    </w:p>
    <w:p>
      <w:pPr>
        <w:spacing w:before="60" w:after="0"/>
      </w:pPr>
    </w:p>
    <w:p>
      <w:pPr>
        <w:spacing w:before="200" w:after="120"/>
      </w:pPr>
      <w:r>
        <w:rPr>
          <w:rFonts w:ascii="Arial" w:cs="Arial" w:eastAsia="Arial" w:hAnsi="Arial"/>
          <w:b/>
          <w:bCs/>
          <w:color w:val="1A6B4A"/>
          <w:sz w:val="24"/>
          <w:szCs w:val="24"/>
        </w:rPr>
        <w:t xml:space="preserve">Сегмент C: «Карта Старт» (14–17 лет)</w:t>
      </w:r>
    </w:p>
    <w:p>
      <w:pPr>
        <w:spacing w:before="60" w:after="100"/>
      </w:pPr>
      <w:r>
        <w:rPr>
          <w:rFonts w:ascii="Arial" w:cs="Arial" w:eastAsia="Arial" w:hAnsi="Arial"/>
          <w:sz w:val="22"/>
          <w:szCs w:val="22"/>
        </w:rPr>
        <w:t xml:space="preserve">Переход к взрослой финансовой жизни с постепенным расширением самостоятельности.</w:t>
      </w:r>
    </w:p>
    <w:p>
      <w:pPr>
        <w:pStyle w:val="ListParagraph"/>
        <w:numPr>
          <w:ilvl w:val="0"/>
          <w:numId w:val="2"/>
        </w:numPr>
        <w:spacing w:before="40" w:after="60"/>
      </w:pPr>
      <w:r>
        <w:rPr>
          <w:rFonts w:ascii="Arial" w:cs="Arial" w:eastAsia="Arial" w:hAnsi="Arial"/>
          <w:sz w:val="22"/>
          <w:szCs w:val="22"/>
        </w:rPr>
        <w:t xml:space="preserve">Полноценная дебетовая карта с кешбэком 3% на всё (мотивирует использовать карту, а не наличные).</w:t>
      </w:r>
    </w:p>
    <w:p>
      <w:pPr>
        <w:pStyle w:val="ListParagraph"/>
        <w:numPr>
          <w:ilvl w:val="0"/>
          <w:numId w:val="2"/>
        </w:numPr>
        <w:spacing w:before="40" w:after="60"/>
      </w:pPr>
      <w:r>
        <w:rPr>
          <w:rFonts w:ascii="Arial" w:cs="Arial" w:eastAsia="Arial" w:hAnsi="Arial"/>
          <w:sz w:val="22"/>
          <w:szCs w:val="22"/>
        </w:rPr>
        <w:t xml:space="preserve">Собственные категории кешбэка — подросток сам выбирает 2 категории из общего списка.</w:t>
      </w:r>
    </w:p>
    <w:p>
      <w:pPr>
        <w:pStyle w:val="ListParagraph"/>
        <w:numPr>
          <w:ilvl w:val="0"/>
          <w:numId w:val="2"/>
        </w:numPr>
        <w:spacing w:before="40" w:after="60"/>
      </w:pPr>
      <w:r>
        <w:rPr>
          <w:rFonts w:ascii="Arial" w:cs="Arial" w:eastAsia="Arial" w:hAnsi="Arial"/>
          <w:sz w:val="22"/>
          <w:szCs w:val="22"/>
        </w:rPr>
        <w:t xml:space="preserve">Видит агрегированный кешбэк семейной группы — понимает, какие категории «свободны».</w:t>
      </w:r>
    </w:p>
    <w:p>
      <w:pPr>
        <w:pStyle w:val="ListParagraph"/>
        <w:numPr>
          <w:ilvl w:val="0"/>
          <w:numId w:val="2"/>
        </w:numPr>
        <w:spacing w:before="40" w:after="60"/>
      </w:pPr>
      <w:r>
        <w:rPr>
          <w:rFonts w:ascii="Arial" w:cs="Arial" w:eastAsia="Arial" w:hAnsi="Arial"/>
          <w:sz w:val="22"/>
          <w:szCs w:val="22"/>
        </w:rPr>
        <w:t xml:space="preserve">Первый вклад: специальный «Юниор-вклад» — 12% годовых на сумму до 50 000 ₽. Вводит понятие сложного процента на практике.</w:t>
      </w:r>
    </w:p>
    <w:p>
      <w:pPr>
        <w:pStyle w:val="ListParagraph"/>
        <w:numPr>
          <w:ilvl w:val="0"/>
          <w:numId w:val="2"/>
        </w:numPr>
        <w:spacing w:before="40" w:after="60"/>
      </w:pPr>
      <w:r>
        <w:rPr>
          <w:rFonts w:ascii="Arial" w:cs="Arial" w:eastAsia="Arial" w:hAnsi="Arial"/>
          <w:sz w:val="22"/>
          <w:szCs w:val="22"/>
        </w:rPr>
        <w:t xml:space="preserve">Мини-курс «Первые инвестиции» — после открытия вклада разблокируется образовательный модуль об облигациях и акциях.</w:t>
      </w:r>
    </w:p>
    <w:p>
      <w:pPr>
        <w:spacing w:before="80" w:after="0"/>
      </w:pPr>
    </w:p>
    <w:p>
      <w:pPr>
        <w:spacing w:before="200" w:after="120"/>
      </w:pPr>
      <w:r>
        <w:rPr>
          <w:rFonts w:ascii="Arial" w:cs="Arial" w:eastAsia="Arial" w:hAnsi="Arial"/>
          <w:b/>
          <w:bCs/>
          <w:color w:val="1A6B4A"/>
          <w:sz w:val="24"/>
          <w:szCs w:val="24"/>
        </w:rPr>
        <w:t xml:space="preserve">Геймификация и система уровней</w:t>
      </w:r>
    </w:p>
    <w:p>
      <w:pPr>
        <w:spacing w:before="60" w:after="100"/>
      </w:pPr>
      <w:r>
        <w:rPr>
          <w:rFonts w:ascii="Arial" w:cs="Arial" w:eastAsia="Arial" w:hAnsi="Arial"/>
          <w:sz w:val="22"/>
          <w:szCs w:val="22"/>
        </w:rPr>
        <w:t xml:space="preserve">5 уровней ВТБ Юниор: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26"/>
        <w:gridCol w:w="3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Ур.</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Название</w:t>
            </w:r>
          </w:p>
        </w:tc>
        <w:tc>
          <w:tcPr>
            <w:tcW w:type="dxa" w:w="322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Условие</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Привилегия</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2E5A9C"/>
                <w:sz w:val="19"/>
                <w:szCs w:val="19"/>
              </w:rPr>
              <w:t xml:space="preserve">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9"/>
                <w:szCs w:val="19"/>
              </w:rPr>
              <w:t xml:space="preserve">Новичок</w:t>
            </w:r>
          </w:p>
        </w:tc>
        <w:tc>
          <w:tcPr>
            <w:tcW w:type="dxa" w:w="32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sz w:val="19"/>
                <w:szCs w:val="19"/>
              </w:rPr>
              <w:t xml:space="preserve">Открыть карту и сделать 1 покупку</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6B4A"/>
                <w:sz w:val="19"/>
                <w:szCs w:val="19"/>
              </w:rPr>
              <w:t xml:space="preserve">Базовый функционал, квест «Что такое деньги?»</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5A9C"/>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Копилка</w:t>
            </w:r>
          </w:p>
        </w:tc>
        <w:tc>
          <w:tcPr>
            <w:tcW w:type="dxa" w:w="3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Накопить 1 000 ₽ самостоятельно</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4A"/>
                <w:sz w:val="19"/>
                <w:szCs w:val="19"/>
              </w:rPr>
              <w:t xml:space="preserve">+лимит запроса до 1 500 ₽, квест «Сила процентов»</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2E5A9C"/>
                <w:sz w:val="19"/>
                <w:szCs w:val="19"/>
              </w:rPr>
              <w:t xml:space="preserve">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9"/>
                <w:szCs w:val="19"/>
              </w:rPr>
              <w:t xml:space="preserve">Инвестор</w:t>
            </w:r>
          </w:p>
        </w:tc>
        <w:tc>
          <w:tcPr>
            <w:tcW w:type="dxa" w:w="32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sz w:val="19"/>
                <w:szCs w:val="19"/>
              </w:rPr>
              <w:t xml:space="preserve">Выполнить 10 задач и пройти 2 квеста</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6B4A"/>
                <w:sz w:val="19"/>
                <w:szCs w:val="19"/>
              </w:rPr>
              <w:t xml:space="preserve">+кешбэк 1%, квест «Хочу vs Нужно», открыть мини-вклад</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5A9C"/>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Финансист</w:t>
            </w:r>
          </w:p>
        </w:tc>
        <w:tc>
          <w:tcPr>
            <w:tcW w:type="dxa" w:w="3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Накопить 10 000 ₽ и открыть вклад</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4A"/>
                <w:sz w:val="19"/>
                <w:szCs w:val="19"/>
              </w:rPr>
              <w:t xml:space="preserve">+категория кешбэка, квест «Как работают банки»</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2E5A9C"/>
                <w:sz w:val="19"/>
                <w:szCs w:val="19"/>
              </w:rPr>
              <w:t xml:space="preserve">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9"/>
                <w:szCs w:val="19"/>
              </w:rPr>
              <w:t xml:space="preserve">Эксперт</w:t>
            </w:r>
          </w:p>
        </w:tc>
        <w:tc>
          <w:tcPr>
            <w:tcW w:type="dxa" w:w="32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sz w:val="19"/>
                <w:szCs w:val="19"/>
              </w:rPr>
              <w:t xml:space="preserve">Пройти все 5 квестов, оборот 50 000 ₽</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6B4A"/>
                <w:sz w:val="19"/>
                <w:szCs w:val="19"/>
              </w:rPr>
              <w:t xml:space="preserve">Бонус 500 ₽ на карту, статус в профиле, приоритетная поддержка</w:t>
            </w:r>
          </w:p>
        </w:tc>
      </w:tr>
    </w:tbl>
    <w:p>
      <w:pPr>
        <w:spacing w:before="80" w:after="0"/>
      </w:pPr>
    </w:p>
    <w:p>
      <w:pPr>
        <w:spacing w:before="200" w:after="120"/>
      </w:pPr>
      <w:r>
        <w:rPr>
          <w:rFonts w:ascii="Arial" w:cs="Arial" w:eastAsia="Arial" w:hAnsi="Arial"/>
          <w:b/>
          <w:bCs/>
          <w:color w:val="1A6B4A"/>
          <w:sz w:val="24"/>
          <w:szCs w:val="24"/>
        </w:rPr>
        <w:t xml:space="preserve">Финансовые квесты — образовательный модуль</w:t>
      </w:r>
    </w:p>
    <w:p>
      <w:pPr>
        <w:spacing w:before="60" w:after="100"/>
      </w:pPr>
      <w:r>
        <w:rPr>
          <w:rFonts w:ascii="Arial" w:cs="Arial" w:eastAsia="Arial" w:hAnsi="Arial"/>
          <w:sz w:val="22"/>
          <w:szCs w:val="22"/>
        </w:rPr>
        <w:t xml:space="preserve">Квесты — это интерактивные мини-игры (5–10 минут каждая), встроенные прямо в приложение. Прохождение квеста разблокирует бонус на карту или повышает лимит.</w:t>
      </w:r>
    </w:p>
    <w:p>
      <w:pPr>
        <w:pStyle w:val="ListParagraph"/>
        <w:numPr>
          <w:ilvl w:val="0"/>
          <w:numId w:val="2"/>
        </w:numPr>
        <w:spacing w:before="40" w:after="60"/>
      </w:pPr>
      <w:r>
        <w:rPr>
          <w:rFonts w:ascii="Arial" w:cs="Arial" w:eastAsia="Arial" w:hAnsi="Arial"/>
          <w:sz w:val="22"/>
          <w:szCs w:val="22"/>
        </w:rPr>
        <w:t xml:space="preserve">Квест 1. «Что такое деньги?» — история денег в форме комикса + 5 вопросов. Награда: +100 ₽ на карту.</w:t>
      </w:r>
    </w:p>
    <w:p>
      <w:pPr>
        <w:pStyle w:val="ListParagraph"/>
        <w:numPr>
          <w:ilvl w:val="0"/>
          <w:numId w:val="2"/>
        </w:numPr>
        <w:spacing w:before="40" w:after="60"/>
      </w:pPr>
      <w:r>
        <w:rPr>
          <w:rFonts w:ascii="Arial" w:cs="Arial" w:eastAsia="Arial" w:hAnsi="Arial"/>
          <w:sz w:val="22"/>
          <w:szCs w:val="22"/>
        </w:rPr>
        <w:t xml:space="preserve">Квест 2. «Сила процентов» — симулятор: положи 500 ₽ под 10% и посмотри результат через 1/5/10 лет. Интерактивный слайдер. Награда: разблокировка мини-вклада.</w:t>
      </w:r>
    </w:p>
    <w:p>
      <w:pPr>
        <w:pStyle w:val="ListParagraph"/>
        <w:numPr>
          <w:ilvl w:val="0"/>
          <w:numId w:val="2"/>
        </w:numPr>
        <w:spacing w:before="40" w:after="60"/>
      </w:pPr>
      <w:r>
        <w:rPr>
          <w:rFonts w:ascii="Arial" w:cs="Arial" w:eastAsia="Arial" w:hAnsi="Arial"/>
          <w:sz w:val="22"/>
          <w:szCs w:val="22"/>
        </w:rPr>
        <w:t xml:space="preserve">Квест 3. «Хочу vs Нужно» — 30 карточек (велосипед, обед, игровая приставка, учебник). Ребёнок сортирует. AI анализирует и даёт развёрнутую обратную связь.</w:t>
      </w:r>
    </w:p>
    <w:p>
      <w:pPr>
        <w:pStyle w:val="ListParagraph"/>
        <w:numPr>
          <w:ilvl w:val="0"/>
          <w:numId w:val="2"/>
        </w:numPr>
        <w:spacing w:before="40" w:after="60"/>
      </w:pPr>
      <w:r>
        <w:rPr>
          <w:rFonts w:ascii="Arial" w:cs="Arial" w:eastAsia="Arial" w:hAnsi="Arial"/>
          <w:sz w:val="22"/>
          <w:szCs w:val="22"/>
        </w:rPr>
        <w:t xml:space="preserve">Квест 4. «Как работают банки?» — объяснение принципов кредита, депозита, интерчейнджа через анимацию. Тест на понимание. Награда: кешбэк +0.5% на 30 дней.</w:t>
      </w:r>
    </w:p>
    <w:p>
      <w:pPr>
        <w:pStyle w:val="ListParagraph"/>
        <w:numPr>
          <w:ilvl w:val="0"/>
          <w:numId w:val="2"/>
        </w:numPr>
        <w:spacing w:before="40" w:after="60"/>
      </w:pPr>
      <w:r>
        <w:rPr>
          <w:rFonts w:ascii="Arial" w:cs="Arial" w:eastAsia="Arial" w:hAnsi="Arial"/>
          <w:sz w:val="22"/>
          <w:szCs w:val="22"/>
        </w:rPr>
        <w:t xml:space="preserve">Квест 5. «Первый бюджет» — ребёнок распределяет виртуальные 5 000 ₽ на месяц: еда, развлечения, накопления, одежда. AI оценивает решение и объясняет оптимальную стратегию.</w:t>
      </w:r>
    </w:p>
    <w:p>
      <w:pPr>
        <w:spacing w:before="80" w:after="0"/>
      </w:pPr>
    </w:p>
    <w:p>
      <w:pPr>
        <w:spacing w:before="200" w:after="120"/>
      </w:pPr>
      <w:r>
        <w:rPr>
          <w:rFonts w:ascii="Arial" w:cs="Arial" w:eastAsia="Arial" w:hAnsi="Arial"/>
          <w:b/>
          <w:bCs/>
          <w:color w:val="1A6B4A"/>
          <w:sz w:val="24"/>
          <w:szCs w:val="24"/>
        </w:rPr>
        <w:t xml:space="preserve">Монетизация детского сегмента для банка</w:t>
      </w:r>
    </w:p>
    <w:p>
      <w:pPr>
        <w:pStyle w:val="ListParagraph"/>
        <w:numPr>
          <w:ilvl w:val="0"/>
          <w:numId w:val="2"/>
        </w:numPr>
        <w:spacing w:before="40" w:after="60"/>
      </w:pPr>
      <w:r>
        <w:rPr>
          <w:rFonts w:ascii="Arial" w:cs="Arial" w:eastAsia="Arial" w:hAnsi="Arial"/>
          <w:sz w:val="22"/>
          <w:szCs w:val="22"/>
        </w:rPr>
        <w:t xml:space="preserve">Новые карты: каждый ребёнок в группе — это новая дебетовая карта ВТБ + транзакционный оборот.</w:t>
      </w:r>
    </w:p>
    <w:p>
      <w:pPr>
        <w:pStyle w:val="ListParagraph"/>
        <w:numPr>
          <w:ilvl w:val="0"/>
          <w:numId w:val="2"/>
        </w:numPr>
        <w:spacing w:before="40" w:after="60"/>
      </w:pPr>
      <w:r>
        <w:rPr>
          <w:rFonts w:ascii="Arial" w:cs="Arial" w:eastAsia="Arial" w:hAnsi="Arial"/>
          <w:sz w:val="22"/>
          <w:szCs w:val="22"/>
        </w:rPr>
        <w:t xml:space="preserve">LTV 10+ лет: ребёнок в 10 лет, выросший с ВТБ Юниор, в 18 лет становится взрослым клиентом ВТБ. CAC = 0.</w:t>
      </w:r>
    </w:p>
    <w:p>
      <w:pPr>
        <w:pStyle w:val="ListParagraph"/>
        <w:numPr>
          <w:ilvl w:val="0"/>
          <w:numId w:val="2"/>
        </w:numPr>
        <w:spacing w:before="40" w:after="60"/>
      </w:pPr>
      <w:r>
        <w:rPr>
          <w:rFonts w:ascii="Arial" w:cs="Arial" w:eastAsia="Arial" w:hAnsi="Arial"/>
          <w:sz w:val="22"/>
          <w:szCs w:val="22"/>
        </w:rPr>
        <w:t xml:space="preserve">Удержание семьи: если ребёнок в ВТБ Юниор, семья уходит к другому банку значительно реже.</w:t>
      </w:r>
    </w:p>
    <w:p>
      <w:pPr>
        <w:pStyle w:val="ListParagraph"/>
        <w:numPr>
          <w:ilvl w:val="0"/>
          <w:numId w:val="2"/>
        </w:numPr>
        <w:spacing w:before="40" w:after="60"/>
      </w:pPr>
      <w:r>
        <w:rPr>
          <w:rFonts w:ascii="Arial" w:cs="Arial" w:eastAsia="Arial" w:hAnsi="Arial"/>
          <w:sz w:val="22"/>
          <w:szCs w:val="22"/>
        </w:rPr>
        <w:t xml:space="preserve">Первый вклад 14+: формирует привычку к депозитному продукту с подросткового возраста. Банк получает пассивы.</w:t>
      </w:r>
    </w:p>
    <w:p>
      <w:pPr>
        <w:pStyle w:val="ListParagraph"/>
        <w:numPr>
          <w:ilvl w:val="0"/>
          <w:numId w:val="2"/>
        </w:numPr>
        <w:spacing w:before="40" w:after="60"/>
      </w:pPr>
      <w:r>
        <w:rPr>
          <w:rFonts w:ascii="Arial" w:cs="Arial" w:eastAsia="Arial" w:hAnsi="Arial"/>
          <w:sz w:val="22"/>
          <w:szCs w:val="22"/>
        </w:rPr>
        <w:t xml:space="preserve">Данные: паттерны детских трат — ценная аналитика для таргетирования предложений всей семье.</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5. ВТБ Серебряный возраст — сервисы для старшего поколения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Высокий — стабильные пассивы и кросс-сейл</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Участники группы 55+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Базовая защита карт пожилых (запланирована)</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Ключевой принцип</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Пожилой — полноправный клиент. Дети получают заботу, не контроль.</w:t>
            </w:r>
          </w:p>
        </w:tc>
      </w:tr>
    </w:tbl>
    <w:p>
      <w:pPr>
        <w:spacing w:before="80" w:after="0"/>
      </w:pPr>
    </w:p>
    <w:p>
      <w:pPr>
        <w:pBdr>
          <w:left w:val="single" w:color="C0392B" w:sz="12" w:space="10"/>
        </w:pBdr>
        <w:shd w:fill="FDF2F2" w:val="clear"/>
        <w:spacing w:before="120" w:after="160"/>
      </w:pPr>
      <w:r>
        <w:rPr>
          <w:rFonts w:ascii="Arial" w:cs="Arial" w:eastAsia="Arial" w:hAnsi="Arial"/>
          <w:b/>
          <w:bCs/>
          <w:color w:val="C0392B"/>
          <w:sz w:val="22"/>
          <w:szCs w:val="22"/>
        </w:rPr>
        <w:t xml:space="preserve">Важно: </w:t>
      </w:r>
      <w:r>
        <w:rPr>
          <w:rFonts w:ascii="Arial" w:cs="Arial" w:eastAsia="Arial" w:hAnsi="Arial"/>
          <w:color w:val="C0392B"/>
          <w:sz w:val="22"/>
          <w:szCs w:val="22"/>
        </w:rPr>
        <w:t xml:space="preserve">Нет «режима опеки», нет автоблокировок без ведома клиента, нет доступа детей к балансу родителя. Все защитные механики — добровольные, настраиваемые самим пожилым клиентом. Любое ограничение должно ощущаться как персонализация, а не как контроль.</w:t>
      </w:r>
    </w:p>
    <w:p>
      <w:pPr>
        <w:spacing w:before="200" w:after="120"/>
      </w:pPr>
      <w:r>
        <w:rPr>
          <w:rFonts w:ascii="Arial" w:cs="Arial" w:eastAsia="Arial" w:hAnsi="Arial"/>
          <w:b/>
          <w:bCs/>
          <w:color w:val="1A6B4A"/>
          <w:sz w:val="24"/>
          <w:szCs w:val="24"/>
        </w:rPr>
        <w:t xml:space="preserve">Банковские продукты для 55+ (прямая монетизация)</w:t>
      </w:r>
    </w:p>
    <w:p>
      <w:pPr>
        <w:spacing w:before="60" w:after="100"/>
      </w:pPr>
      <w:r>
        <w:rPr>
          <w:rFonts w:ascii="Arial" w:cs="Arial" w:eastAsia="Arial" w:hAnsi="Arial"/>
          <w:b/>
          <w:bCs/>
          <w:sz w:val="22"/>
          <w:szCs w:val="22"/>
        </w:rPr>
        <w:t xml:space="preserve">Кредит с семейным поручительством:</w:t>
      </w:r>
    </w:p>
    <w:p>
      <w:pPr>
        <w:spacing w:before="60" w:after="100"/>
      </w:pPr>
      <w:r>
        <w:rPr>
          <w:rFonts w:ascii="Arial" w:cs="Arial" w:eastAsia="Arial" w:hAnsi="Arial"/>
          <w:sz w:val="22"/>
          <w:szCs w:val="22"/>
        </w:rPr>
        <w:t xml:space="preserve">Дети-участники группы могут выступить созаёмщиками. Совокупный кредитный профиль группы снижает риск для банка → пожилой получает ставку на 1–2% ниже рыночной. Банк получает нового кредитного заёмщика из семьи и снижает риск дефолта.</w:t>
      </w:r>
    </w:p>
    <w:p>
      <w:pPr>
        <w:spacing w:before="40" w:after="0"/>
      </w:pPr>
    </w:p>
    <w:p>
      <w:pPr>
        <w:spacing w:before="60" w:after="100"/>
      </w:pPr>
      <w:r>
        <w:rPr>
          <w:rFonts w:ascii="Arial" w:cs="Arial" w:eastAsia="Arial" w:hAnsi="Arial"/>
          <w:b/>
          <w:bCs/>
          <w:sz w:val="22"/>
          <w:szCs w:val="22"/>
        </w:rPr>
        <w:t xml:space="preserve">Пенсионный вклад «Семейный»:</w:t>
      </w:r>
    </w:p>
    <w:p>
      <w:pPr>
        <w:spacing w:before="60" w:after="100"/>
      </w:pPr>
      <w:r>
        <w:rPr>
          <w:rFonts w:ascii="Arial" w:cs="Arial" w:eastAsia="Arial" w:hAnsi="Arial"/>
          <w:sz w:val="22"/>
          <w:szCs w:val="22"/>
        </w:rPr>
        <w:t xml:space="preserve">Повышенная ставка (до +1.5% к базовой) при наличии группы «Близкие» с 3+ участниками. Пенсия приходит напрямую на вклад, проценты начисляются ежедневно. Банк получает стабильный источник пассивов с предсказуемым сроком.</w:t>
      </w:r>
    </w:p>
    <w:p>
      <w:pPr>
        <w:spacing w:before="40" w:after="0"/>
      </w:pPr>
    </w:p>
    <w:p>
      <w:pPr>
        <w:spacing w:before="60" w:after="100"/>
      </w:pPr>
      <w:r>
        <w:rPr>
          <w:rFonts w:ascii="Arial" w:cs="Arial" w:eastAsia="Arial" w:hAnsi="Arial"/>
          <w:b/>
          <w:bCs/>
          <w:sz w:val="22"/>
          <w:szCs w:val="22"/>
        </w:rPr>
        <w:t xml:space="preserve">Доверительное управление «Семейный капитал»:</w:t>
      </w:r>
    </w:p>
    <w:p>
      <w:pPr>
        <w:spacing w:before="60" w:after="100"/>
      </w:pPr>
      <w:r>
        <w:rPr>
          <w:rFonts w:ascii="Arial" w:cs="Arial" w:eastAsia="Arial" w:hAnsi="Arial"/>
          <w:sz w:val="22"/>
          <w:szCs w:val="22"/>
        </w:rPr>
        <w:t xml:space="preserve">Пожилой клиент передаёт часть сбережений в ДУ ВТБ Капитал. Доходность выше депозита (12–15% годовых). Ключевая опция: назначение наследников-участников группы с возможностью передачи активов без нотариуса в рамках экосистемы ВТБ. Банк получает высокомаржинальный продукт + удерживает капитал в экосистеме при наследовании.</w:t>
      </w:r>
    </w:p>
    <w:p>
      <w:pPr>
        <w:spacing w:before="40" w:after="0"/>
      </w:pPr>
    </w:p>
    <w:p>
      <w:pPr>
        <w:spacing w:before="60" w:after="100"/>
      </w:pPr>
      <w:r>
        <w:rPr>
          <w:rFonts w:ascii="Arial" w:cs="Arial" w:eastAsia="Arial" w:hAnsi="Arial"/>
          <w:b/>
          <w:bCs/>
          <w:sz w:val="22"/>
          <w:szCs w:val="22"/>
        </w:rPr>
        <w:t xml:space="preserve">Семейный полис ДМС:</w:t>
      </w:r>
    </w:p>
    <w:p>
      <w:pPr>
        <w:spacing w:before="60" w:after="100"/>
      </w:pPr>
      <w:r>
        <w:rPr>
          <w:rFonts w:ascii="Arial" w:cs="Arial" w:eastAsia="Arial" w:hAnsi="Arial"/>
          <w:sz w:val="22"/>
          <w:szCs w:val="22"/>
        </w:rPr>
        <w:t xml:space="preserve">Единый страховой полис на всю группу. Участники 55+ включаются в расширенное покрытие (стоматология, кардиология, онкоскрининг). Стоимость делится между взрослыми участниками группы. Банк получает страховую премию; скидка 25–30% за групповое оформление делает предложение конкурентным.</w:t>
      </w:r>
    </w:p>
    <w:p>
      <w:pPr>
        <w:spacing w:before="40" w:after="0"/>
      </w:pPr>
    </w:p>
    <w:p>
      <w:pPr>
        <w:spacing w:before="60" w:after="100"/>
      </w:pPr>
      <w:r>
        <w:rPr>
          <w:rFonts w:ascii="Arial" w:cs="Arial" w:eastAsia="Arial" w:hAnsi="Arial"/>
          <w:b/>
          <w:bCs/>
          <w:sz w:val="22"/>
          <w:szCs w:val="22"/>
        </w:rPr>
        <w:t xml:space="preserve">Карта «Серебряный кешбэк»:</w:t>
      </w:r>
    </w:p>
    <w:p>
      <w:pPr>
        <w:spacing w:before="60" w:after="100"/>
      </w:pPr>
      <w:r>
        <w:rPr>
          <w:rFonts w:ascii="Arial" w:cs="Arial" w:eastAsia="Arial" w:hAnsi="Arial"/>
          <w:sz w:val="22"/>
          <w:szCs w:val="22"/>
        </w:rPr>
        <w:t xml:space="preserve">Дебетовая карта с повышенным кешбэком в обязательных категориях трат: аптеки (10%), медицинские услуги (7%), ЖКХ (5%), такси и транспорт (5%). Отдельная категория «Здоровье» всегда гарантирована, не конкурирует с другими категориями группы. Банк зарабатывает на интерчейндже по высокочастотным транзакциям.</w:t>
      </w:r>
    </w:p>
    <w:p>
      <w:pPr>
        <w:spacing w:before="80" w:after="0"/>
      </w:pPr>
    </w:p>
    <w:p>
      <w:pPr>
        <w:spacing w:before="200" w:after="120"/>
      </w:pPr>
      <w:r>
        <w:rPr>
          <w:rFonts w:ascii="Arial" w:cs="Arial" w:eastAsia="Arial" w:hAnsi="Arial"/>
          <w:b/>
          <w:bCs/>
          <w:color w:val="1A6B4A"/>
          <w:sz w:val="24"/>
          <w:szCs w:val="24"/>
        </w:rPr>
        <w:t xml:space="preserve">Защитные механики — опциональные и уважительные</w:t>
      </w:r>
    </w:p>
    <w:p>
      <w:pPr>
        <w:spacing w:before="60" w:after="100"/>
      </w:pPr>
      <w:r>
        <w:rPr>
          <w:rFonts w:ascii="Arial" w:cs="Arial" w:eastAsia="Arial" w:hAnsi="Arial"/>
          <w:b/>
          <w:bCs/>
          <w:sz w:val="22"/>
          <w:szCs w:val="22"/>
        </w:rPr>
        <w:t xml:space="preserve">Антифрод-ассистент:</w:t>
      </w:r>
    </w:p>
    <w:p>
      <w:pPr>
        <w:spacing w:before="60" w:after="100"/>
      </w:pPr>
      <w:r>
        <w:rPr>
          <w:rFonts w:ascii="Arial" w:cs="Arial" w:eastAsia="Arial" w:hAnsi="Arial"/>
          <w:sz w:val="22"/>
          <w:szCs w:val="22"/>
        </w:rPr>
        <w:t xml:space="preserve">AI-алгоритм мониторит транзакции в реальном времени. При выявлении паттерна мошенничества («звонок с незнакомого номера + крупный перевод незнакомому лицу») транзакция автоматически ставится на паузу на 2 часа. Уведомление получает сам клиент — он сам принимает решение: подтвердить или отменить. Дети получают уведомление только если клиент явно включил эту опцию.</w:t>
      </w:r>
    </w:p>
    <w:p>
      <w:pPr>
        <w:spacing w:before="40" w:after="0"/>
      </w:pPr>
    </w:p>
    <w:p>
      <w:pPr>
        <w:spacing w:before="60" w:after="100"/>
      </w:pPr>
      <w:r>
        <w:rPr>
          <w:rFonts w:ascii="Arial" w:cs="Arial" w:eastAsia="Arial" w:hAnsi="Arial"/>
          <w:b/>
          <w:bCs/>
          <w:sz w:val="22"/>
          <w:szCs w:val="22"/>
        </w:rPr>
        <w:t xml:space="preserve">«Любимые места»:</w:t>
      </w:r>
    </w:p>
    <w:p>
      <w:pPr>
        <w:spacing w:before="60" w:after="100"/>
      </w:pPr>
      <w:r>
        <w:rPr>
          <w:rFonts w:ascii="Arial" w:cs="Arial" w:eastAsia="Arial" w:hAnsi="Arial"/>
          <w:sz w:val="22"/>
          <w:szCs w:val="22"/>
        </w:rPr>
        <w:t xml:space="preserve">Клиент сам добавляет магазины, которые посещает регулярно. При оплате в этих местах — повышенные уведомления и кешбэк. Позиционируется как персонализация, не ограничение. Никакого «белого списка с запретом» — только рекомендации и бонусы.</w:t>
      </w:r>
    </w:p>
    <w:p>
      <w:pPr>
        <w:spacing w:before="40" w:after="0"/>
      </w:pPr>
    </w:p>
    <w:p>
      <w:pPr>
        <w:spacing w:before="60" w:after="100"/>
      </w:pPr>
      <w:r>
        <w:rPr>
          <w:rFonts w:ascii="Arial" w:cs="Arial" w:eastAsia="Arial" w:hAnsi="Arial"/>
          <w:b/>
          <w:bCs/>
          <w:sz w:val="22"/>
          <w:szCs w:val="22"/>
        </w:rPr>
        <w:t xml:space="preserve">Кнопка «Позвать близких»:</w:t>
      </w:r>
    </w:p>
    <w:p>
      <w:pPr>
        <w:spacing w:before="60" w:after="100"/>
      </w:pPr>
      <w:r>
        <w:rPr>
          <w:rFonts w:ascii="Arial" w:cs="Arial" w:eastAsia="Arial" w:hAnsi="Arial"/>
          <w:sz w:val="22"/>
          <w:szCs w:val="22"/>
        </w:rPr>
        <w:t xml:space="preserve">В приложении и (опционально) на физической карте с NFC-чипом — быстрая кнопка, отправляющая уведомление выбранным участникам группы. Инициатива всегда исходит от самого клиента. Не тревожная кнопка — обычный запрос о помощи или просьба позвонить.</w:t>
      </w:r>
    </w:p>
    <w:p>
      <w:pPr>
        <w:spacing w:before="40" w:after="0"/>
      </w:pPr>
    </w:p>
    <w:p>
      <w:pPr>
        <w:spacing w:before="60" w:after="100"/>
      </w:pPr>
      <w:r>
        <w:rPr>
          <w:rFonts w:ascii="Arial" w:cs="Arial" w:eastAsia="Arial" w:hAnsi="Arial"/>
          <w:b/>
          <w:bCs/>
          <w:sz w:val="22"/>
          <w:szCs w:val="22"/>
        </w:rPr>
        <w:t xml:space="preserve">Приоритетная поддержка «55+»:</w:t>
      </w:r>
    </w:p>
    <w:p>
      <w:pPr>
        <w:spacing w:before="60" w:after="100"/>
      </w:pPr>
      <w:r>
        <w:rPr>
          <w:rFonts w:ascii="Arial" w:cs="Arial" w:eastAsia="Arial" w:hAnsi="Arial"/>
          <w:sz w:val="22"/>
          <w:szCs w:val="22"/>
        </w:rPr>
        <w:t xml:space="preserve">При звонке в банк статус «Серебряный возраст» определяется автоматически. Соединение с живым оператором без ожидания. Оператор видит профиль клиента и может предложить выезд специалиста на дом для оформления любого продукта.</w:t>
      </w:r>
    </w:p>
    <w:p>
      <w:pPr>
        <w:spacing w:before="80" w:after="0"/>
      </w:pPr>
    </w:p>
    <w:p>
      <w:pPr>
        <w:spacing w:before="200" w:after="120"/>
      </w:pPr>
      <w:r>
        <w:rPr>
          <w:rFonts w:ascii="Arial" w:cs="Arial" w:eastAsia="Arial" w:hAnsi="Arial"/>
          <w:b/>
          <w:bCs/>
          <w:color w:val="1A6B4A"/>
          <w:sz w:val="24"/>
          <w:szCs w:val="24"/>
        </w:rPr>
        <w:t xml:space="preserve">UX-принципы для старшего поколения</w:t>
      </w:r>
    </w:p>
    <w:p>
      <w:pPr>
        <w:pStyle w:val="ListParagraph"/>
        <w:numPr>
          <w:ilvl w:val="0"/>
          <w:numId w:val="2"/>
        </w:numPr>
        <w:spacing w:before="40" w:after="60"/>
      </w:pPr>
      <w:r>
        <w:rPr>
          <w:rFonts w:ascii="Arial" w:cs="Arial" w:eastAsia="Arial" w:hAnsi="Arial"/>
          <w:sz w:val="22"/>
          <w:szCs w:val="22"/>
        </w:rPr>
        <w:t xml:space="preserve">Режим «Крупный шрифт»: один переключатель увеличивает шрифт на 40%, иконки — на 30%, убирает второстепенные элементы интерфейса. Сохраняется при следующем входе навсегда.</w:t>
      </w:r>
    </w:p>
    <w:p>
      <w:pPr>
        <w:pStyle w:val="ListParagraph"/>
        <w:numPr>
          <w:ilvl w:val="0"/>
          <w:numId w:val="2"/>
        </w:numPr>
        <w:spacing w:before="40" w:after="60"/>
      </w:pPr>
      <w:r>
        <w:rPr>
          <w:rFonts w:ascii="Arial" w:cs="Arial" w:eastAsia="Arial" w:hAnsi="Arial"/>
          <w:sz w:val="22"/>
          <w:szCs w:val="22"/>
        </w:rPr>
        <w:t xml:space="preserve">Голосовые команды: «ВТБ, переведи сыну 1 000 рублей», «Покажи мой баланс», «Оплати ЖКХ». Подтверждение — голосом или биометрией.</w:t>
      </w:r>
    </w:p>
    <w:p>
      <w:pPr>
        <w:pStyle w:val="ListParagraph"/>
        <w:numPr>
          <w:ilvl w:val="0"/>
          <w:numId w:val="2"/>
        </w:numPr>
        <w:spacing w:before="40" w:after="60"/>
      </w:pPr>
      <w:r>
        <w:rPr>
          <w:rFonts w:ascii="Arial" w:cs="Arial" w:eastAsia="Arial" w:hAnsi="Arial"/>
          <w:sz w:val="22"/>
          <w:szCs w:val="22"/>
        </w:rPr>
        <w:t xml:space="preserve">Упрощённое меню: три главных кнопки на главном экране. Все остальные функции — в разделе «Ещё».</w:t>
      </w:r>
    </w:p>
    <w:p>
      <w:pPr>
        <w:pStyle w:val="ListParagraph"/>
        <w:numPr>
          <w:ilvl w:val="0"/>
          <w:numId w:val="2"/>
        </w:numPr>
        <w:spacing w:before="40" w:after="60"/>
      </w:pPr>
      <w:r>
        <w:rPr>
          <w:rFonts w:ascii="Arial" w:cs="Arial" w:eastAsia="Arial" w:hAnsi="Arial"/>
          <w:sz w:val="22"/>
          <w:szCs w:val="22"/>
        </w:rPr>
        <w:t xml:space="preserve">Обучающие инструкции в приложении: каждый новый экран сопровождается опциональной видеоинструкцией (30 секунд).</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Функция 6. Семейный финансовый календарь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Приоритет</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Средний — инструмент удержания и активации</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Пользователи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Вся группа (взрослые — создают события, дети — видят свои)</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Аналог в ВТБ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Отсутствует</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Уникальность</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Привязка событий к платёжным шаблонам и финансовым целям</w:t>
            </w:r>
          </w:p>
        </w:tc>
      </w:tr>
    </w:tbl>
    <w:p>
      <w:pPr>
        <w:spacing w:before="80" w:after="0"/>
      </w:pPr>
    </w:p>
    <w:p>
      <w:pPr>
        <w:spacing w:before="200" w:after="120"/>
      </w:pPr>
      <w:r>
        <w:rPr>
          <w:rFonts w:ascii="Arial" w:cs="Arial" w:eastAsia="Arial" w:hAnsi="Arial"/>
          <w:b/>
          <w:bCs/>
          <w:color w:val="1A6B4A"/>
          <w:sz w:val="24"/>
          <w:szCs w:val="24"/>
        </w:rPr>
        <w:t xml:space="preserve">Описание функции</w:t>
      </w:r>
    </w:p>
    <w:p>
      <w:pPr>
        <w:spacing w:before="60" w:after="100"/>
      </w:pPr>
      <w:r>
        <w:rPr>
          <w:rFonts w:ascii="Arial" w:cs="Arial" w:eastAsia="Arial" w:hAnsi="Arial"/>
          <w:sz w:val="22"/>
          <w:szCs w:val="22"/>
        </w:rPr>
        <w:t xml:space="preserve">Финансовый календарь — это планировщик регулярных платежей и финансовых событий семьи, интегрированный с платёжной системой ВТБ. В отличие от обычного органайзера, здесь каждое событие имеет финансовое измерение: сумму, ответственного и платёжный шаблон.</w:t>
      </w:r>
    </w:p>
    <w:p>
      <w:pPr>
        <w:spacing w:before="60" w:after="0"/>
      </w:pPr>
    </w:p>
    <w:p>
      <w:pPr>
        <w:spacing w:before="200" w:after="120"/>
      </w:pPr>
      <w:r>
        <w:rPr>
          <w:rFonts w:ascii="Arial" w:cs="Arial" w:eastAsia="Arial" w:hAnsi="Arial"/>
          <w:b/>
          <w:bCs/>
          <w:color w:val="1A6B4A"/>
          <w:sz w:val="24"/>
          <w:szCs w:val="24"/>
        </w:rPr>
        <w:t xml:space="preserve">Типы событий</w:t>
      </w:r>
    </w:p>
    <w:p>
      <w:pPr>
        <w:spacing w:before="60" w:after="100"/>
      </w:pPr>
      <w:r>
        <w:rPr>
          <w:rFonts w:ascii="Arial" w:cs="Arial" w:eastAsia="Arial" w:hAnsi="Arial"/>
          <w:b/>
          <w:bCs/>
          <w:sz w:val="22"/>
          <w:szCs w:val="22"/>
        </w:rPr>
        <w:t xml:space="preserve">Регулярные платежи:</w:t>
      </w:r>
    </w:p>
    <w:p>
      <w:pPr>
        <w:pStyle w:val="ListParagraph"/>
        <w:numPr>
          <w:ilvl w:val="0"/>
          <w:numId w:val="2"/>
        </w:numPr>
        <w:spacing w:before="40" w:after="60"/>
      </w:pPr>
      <w:r>
        <w:rPr>
          <w:rFonts w:ascii="Arial" w:cs="Arial" w:eastAsia="Arial" w:hAnsi="Arial"/>
          <w:sz w:val="22"/>
          <w:szCs w:val="22"/>
        </w:rPr>
        <w:t xml:space="preserve">ЖКХ, интернет, телефон — автоматически определяются из истории трат.</w:t>
      </w:r>
    </w:p>
    <w:p>
      <w:pPr>
        <w:pStyle w:val="ListParagraph"/>
        <w:numPr>
          <w:ilvl w:val="0"/>
          <w:numId w:val="2"/>
        </w:numPr>
        <w:spacing w:before="40" w:after="60"/>
      </w:pPr>
      <w:r>
        <w:rPr>
          <w:rFonts w:ascii="Arial" w:cs="Arial" w:eastAsia="Arial" w:hAnsi="Arial"/>
          <w:sz w:val="22"/>
          <w:szCs w:val="22"/>
        </w:rPr>
        <w:t xml:space="preserve">Ипотека и кредиты — синхронизируются с кредитными продуктами ВТБ напрямую.</w:t>
      </w:r>
    </w:p>
    <w:p>
      <w:pPr>
        <w:pStyle w:val="ListParagraph"/>
        <w:numPr>
          <w:ilvl w:val="0"/>
          <w:numId w:val="2"/>
        </w:numPr>
        <w:spacing w:before="40" w:after="60"/>
      </w:pPr>
      <w:r>
        <w:rPr>
          <w:rFonts w:ascii="Arial" w:cs="Arial" w:eastAsia="Arial" w:hAnsi="Arial"/>
          <w:sz w:val="22"/>
          <w:szCs w:val="22"/>
        </w:rPr>
        <w:t xml:space="preserve">Аренда, страховки, налоги — вводятся вручную с указанием даты и суммы.</w:t>
      </w:r>
    </w:p>
    <w:p>
      <w:pPr>
        <w:spacing w:before="40" w:after="0"/>
      </w:pPr>
    </w:p>
    <w:p>
      <w:pPr>
        <w:spacing w:before="60" w:after="100"/>
      </w:pPr>
      <w:r>
        <w:rPr>
          <w:rFonts w:ascii="Arial" w:cs="Arial" w:eastAsia="Arial" w:hAnsi="Arial"/>
          <w:b/>
          <w:bCs/>
          <w:sz w:val="22"/>
          <w:szCs w:val="22"/>
        </w:rPr>
        <w:t xml:space="preserve">Образовательные расходы (ключевой кейс):</w:t>
      </w:r>
    </w:p>
    <w:p>
      <w:pPr>
        <w:pStyle w:val="ListParagraph"/>
        <w:numPr>
          <w:ilvl w:val="0"/>
          <w:numId w:val="2"/>
        </w:numPr>
        <w:spacing w:before="40" w:after="60"/>
      </w:pPr>
      <w:r>
        <w:rPr>
          <w:rFonts w:ascii="Arial" w:cs="Arial" w:eastAsia="Arial" w:hAnsi="Arial"/>
          <w:sz w:val="22"/>
          <w:szCs w:val="22"/>
        </w:rPr>
        <w:t xml:space="preserve">«Оплата за школу Саши — 15 000 ₽, каждое 1-е число»: напоминание за 5 дней, за 1 день, в день платежа.</w:t>
      </w:r>
    </w:p>
    <w:p>
      <w:pPr>
        <w:pStyle w:val="ListParagraph"/>
        <w:numPr>
          <w:ilvl w:val="0"/>
          <w:numId w:val="2"/>
        </w:numPr>
        <w:spacing w:before="40" w:after="60"/>
      </w:pPr>
      <w:r>
        <w:rPr>
          <w:rFonts w:ascii="Arial" w:cs="Arial" w:eastAsia="Arial" w:hAnsi="Arial"/>
          <w:sz w:val="22"/>
          <w:szCs w:val="22"/>
        </w:rPr>
        <w:t xml:space="preserve">«Репетитор по математике — 3 000 ₽, каждую среду»: еженедельное напоминание ответственному участнику.</w:t>
      </w:r>
    </w:p>
    <w:p>
      <w:pPr>
        <w:pStyle w:val="ListParagraph"/>
        <w:numPr>
          <w:ilvl w:val="0"/>
          <w:numId w:val="2"/>
        </w:numPr>
        <w:spacing w:before="40" w:after="60"/>
      </w:pPr>
      <w:r>
        <w:rPr>
          <w:rFonts w:ascii="Arial" w:cs="Arial" w:eastAsia="Arial" w:hAnsi="Arial"/>
          <w:sz w:val="22"/>
          <w:szCs w:val="22"/>
        </w:rPr>
        <w:t xml:space="preserve">«Оплата летнего лагеря — 45 000 ₽, до 15 мая»: связка с целью накоплений из Раздела 1.1.</w:t>
      </w:r>
    </w:p>
    <w:p>
      <w:pPr>
        <w:pStyle w:val="ListParagraph"/>
        <w:numPr>
          <w:ilvl w:val="0"/>
          <w:numId w:val="2"/>
        </w:numPr>
        <w:spacing w:before="40" w:after="60"/>
      </w:pPr>
      <w:r>
        <w:rPr>
          <w:rFonts w:ascii="Arial" w:cs="Arial" w:eastAsia="Arial" w:hAnsi="Arial"/>
          <w:sz w:val="22"/>
          <w:szCs w:val="22"/>
        </w:rPr>
        <w:t xml:space="preserve">«Взнос за кружок робототехники — ежеквартально»: напоминание за 10 дней с предложением автоплатежа.</w:t>
      </w:r>
    </w:p>
    <w:p>
      <w:pPr>
        <w:spacing w:before="40" w:after="0"/>
      </w:pPr>
    </w:p>
    <w:p>
      <w:pPr>
        <w:spacing w:before="60" w:after="100"/>
      </w:pPr>
      <w:r>
        <w:rPr>
          <w:rFonts w:ascii="Arial" w:cs="Arial" w:eastAsia="Arial" w:hAnsi="Arial"/>
          <w:b/>
          <w:bCs/>
          <w:sz w:val="22"/>
          <w:szCs w:val="22"/>
        </w:rPr>
        <w:t xml:space="preserve">Семейные финансовые события:</w:t>
      </w:r>
    </w:p>
    <w:p>
      <w:pPr>
        <w:pStyle w:val="ListParagraph"/>
        <w:numPr>
          <w:ilvl w:val="0"/>
          <w:numId w:val="2"/>
        </w:numPr>
        <w:spacing w:before="40" w:after="60"/>
      </w:pPr>
      <w:r>
        <w:rPr>
          <w:rFonts w:ascii="Arial" w:cs="Arial" w:eastAsia="Arial" w:hAnsi="Arial"/>
          <w:sz w:val="22"/>
          <w:szCs w:val="22"/>
        </w:rPr>
        <w:t xml:space="preserve">Дни рождения участников группы с автоматическим предложением сделать перевод-подарок.</w:t>
      </w:r>
    </w:p>
    <w:p>
      <w:pPr>
        <w:pStyle w:val="ListParagraph"/>
        <w:numPr>
          <w:ilvl w:val="0"/>
          <w:numId w:val="2"/>
        </w:numPr>
        <w:spacing w:before="40" w:after="60"/>
      </w:pPr>
      <w:r>
        <w:rPr>
          <w:rFonts w:ascii="Arial" w:cs="Arial" w:eastAsia="Arial" w:hAnsi="Arial"/>
          <w:sz w:val="22"/>
          <w:szCs w:val="22"/>
        </w:rPr>
        <w:t xml:space="preserve">Плановые крупные покупки: «Купить зимние шины» — связка с копилкой.</w:t>
      </w:r>
    </w:p>
    <w:p>
      <w:pPr>
        <w:pStyle w:val="ListParagraph"/>
        <w:numPr>
          <w:ilvl w:val="0"/>
          <w:numId w:val="2"/>
        </w:numPr>
        <w:spacing w:before="40" w:after="60"/>
      </w:pPr>
      <w:r>
        <w:rPr>
          <w:rFonts w:ascii="Arial" w:cs="Arial" w:eastAsia="Arial" w:hAnsi="Arial"/>
          <w:sz w:val="22"/>
          <w:szCs w:val="22"/>
        </w:rPr>
        <w:t xml:space="preserve">Налоговый календарь: уведомления о сроках подачи деклараций, уплаты налогов.</w:t>
      </w:r>
    </w:p>
    <w:p>
      <w:pPr>
        <w:spacing w:before="60" w:after="0"/>
      </w:pPr>
    </w:p>
    <w:p>
      <w:pPr>
        <w:spacing w:before="200" w:after="120"/>
      </w:pPr>
      <w:r>
        <w:rPr>
          <w:rFonts w:ascii="Arial" w:cs="Arial" w:eastAsia="Arial" w:hAnsi="Arial"/>
          <w:b/>
          <w:bCs/>
          <w:color w:val="1A6B4A"/>
          <w:sz w:val="24"/>
          <w:szCs w:val="24"/>
        </w:rPr>
        <w:t xml:space="preserve">AI-функции календаря</w:t>
      </w:r>
    </w:p>
    <w:p>
      <w:pPr>
        <w:pStyle w:val="ListParagraph"/>
        <w:numPr>
          <w:ilvl w:val="0"/>
          <w:numId w:val="2"/>
        </w:numPr>
        <w:spacing w:before="40" w:after="60"/>
      </w:pPr>
      <w:r>
        <w:rPr>
          <w:rFonts w:ascii="Arial" w:cs="Arial" w:eastAsia="Arial" w:hAnsi="Arial"/>
          <w:sz w:val="22"/>
          <w:szCs w:val="22"/>
        </w:rPr>
        <w:t xml:space="preserve">Автозаполнение: при подключении к продуктам ВТБ (кредиты, ипотека, страховки) — все даты платежей загружаются автоматически.</w:t>
      </w:r>
    </w:p>
    <w:p>
      <w:pPr>
        <w:pStyle w:val="ListParagraph"/>
        <w:numPr>
          <w:ilvl w:val="0"/>
          <w:numId w:val="2"/>
        </w:numPr>
        <w:spacing w:before="40" w:after="60"/>
      </w:pPr>
      <w:r>
        <w:rPr>
          <w:rFonts w:ascii="Arial" w:cs="Arial" w:eastAsia="Arial" w:hAnsi="Arial"/>
          <w:sz w:val="22"/>
          <w:szCs w:val="22"/>
        </w:rPr>
        <w:t xml:space="preserve">Анализ нагрузки: «В октябре у вас 4 крупных платежа суммарно на 62 000 ₽ — рекомендуем отложить эту сумму уже сейчас».</w:t>
      </w:r>
    </w:p>
    <w:p>
      <w:pPr>
        <w:pStyle w:val="ListParagraph"/>
        <w:numPr>
          <w:ilvl w:val="0"/>
          <w:numId w:val="2"/>
        </w:numPr>
        <w:spacing w:before="40" w:after="60"/>
      </w:pPr>
      <w:r>
        <w:rPr>
          <w:rFonts w:ascii="Arial" w:cs="Arial" w:eastAsia="Arial" w:hAnsi="Arial"/>
          <w:sz w:val="22"/>
          <w:szCs w:val="22"/>
        </w:rPr>
        <w:t xml:space="preserve">Прогноз кассового разрыва: AI предупреждает, если ожидаемые траты в конкретный период превышают среднемесячный приход.</w:t>
      </w:r>
    </w:p>
    <w:p>
      <w:pPr>
        <w:pStyle w:val="ListParagraph"/>
        <w:numPr>
          <w:ilvl w:val="0"/>
          <w:numId w:val="2"/>
        </w:numPr>
        <w:spacing w:before="40" w:after="60"/>
      </w:pPr>
      <w:r>
        <w:rPr>
          <w:rFonts w:ascii="Arial" w:cs="Arial" w:eastAsia="Arial" w:hAnsi="Arial"/>
          <w:sz w:val="22"/>
          <w:szCs w:val="22"/>
        </w:rPr>
        <w:t xml:space="preserve">Умные напоминания: алгоритм учитывает, в какое время суток конкретный участник обычно открывает приложение, и отправляет напоминание в это время.</w:t>
      </w:r>
    </w:p>
    <w:p>
      <w:pPr>
        <w:spacing w:before="60" w:after="0"/>
      </w:pPr>
    </w:p>
    <w:p>
      <w:pPr>
        <w:spacing w:before="200" w:after="120"/>
      </w:pPr>
      <w:r>
        <w:rPr>
          <w:rFonts w:ascii="Arial" w:cs="Arial" w:eastAsia="Arial" w:hAnsi="Arial"/>
          <w:b/>
          <w:bCs/>
          <w:color w:val="1A6B4A"/>
          <w:sz w:val="24"/>
          <w:szCs w:val="24"/>
        </w:rPr>
        <w:t xml:space="preserve">Видимость событий</w:t>
      </w:r>
    </w:p>
    <w:p>
      <w:pPr>
        <w:pStyle w:val="ListParagraph"/>
        <w:numPr>
          <w:ilvl w:val="0"/>
          <w:numId w:val="2"/>
        </w:numPr>
        <w:spacing w:before="40" w:after="60"/>
      </w:pPr>
      <w:r>
        <w:rPr>
          <w:rFonts w:ascii="Arial" w:cs="Arial" w:eastAsia="Arial" w:hAnsi="Arial"/>
          <w:sz w:val="22"/>
          <w:szCs w:val="22"/>
        </w:rPr>
        <w:t xml:space="preserve">Взрослые организаторы: видят всё — все платежи и события группы.</w:t>
      </w:r>
    </w:p>
    <w:p>
      <w:pPr>
        <w:pStyle w:val="ListParagraph"/>
        <w:numPr>
          <w:ilvl w:val="0"/>
          <w:numId w:val="2"/>
        </w:numPr>
        <w:spacing w:before="40" w:after="60"/>
      </w:pPr>
      <w:r>
        <w:rPr>
          <w:rFonts w:ascii="Arial" w:cs="Arial" w:eastAsia="Arial" w:hAnsi="Arial"/>
          <w:sz w:val="22"/>
          <w:szCs w:val="22"/>
        </w:rPr>
        <w:t xml:space="preserve">Пожилые участники: видят только свои события + события, которые касаются их (например, визит в поликлинику).</w:t>
      </w:r>
    </w:p>
    <w:p>
      <w:pPr>
        <w:pStyle w:val="ListParagraph"/>
        <w:numPr>
          <w:ilvl w:val="0"/>
          <w:numId w:val="2"/>
        </w:numPr>
        <w:spacing w:before="40" w:after="60"/>
      </w:pPr>
      <w:r>
        <w:rPr>
          <w:rFonts w:ascii="Arial" w:cs="Arial" w:eastAsia="Arial" w:hAnsi="Arial"/>
          <w:sz w:val="22"/>
          <w:szCs w:val="22"/>
        </w:rPr>
        <w:t xml:space="preserve">Подростки (14–17): видят события, назначенные на них (оплата кружка, пополнение проездного) + свои личные.</w:t>
      </w:r>
    </w:p>
    <w:p>
      <w:pPr>
        <w:pStyle w:val="ListParagraph"/>
        <w:numPr>
          <w:ilvl w:val="0"/>
          <w:numId w:val="2"/>
        </w:numPr>
        <w:spacing w:before="40" w:after="60"/>
      </w:pPr>
      <w:r>
        <w:rPr>
          <w:rFonts w:ascii="Arial" w:cs="Arial" w:eastAsia="Arial" w:hAnsi="Arial"/>
          <w:sz w:val="22"/>
          <w:szCs w:val="22"/>
        </w:rPr>
        <w:t xml:space="preserve">Дети (10–13): видят только задачи и напоминания, назначенные им родителями. Взрослые финансовые события — скрыты.</w:t>
      </w:r>
    </w:p>
    <w:p>
      <w:pPr>
        <w:spacing w:before="80" w:after="0"/>
      </w:pPr>
    </w:p>
    <w:p>
      <w:pPr>
        <w:spacing w:before="200" w:after="120"/>
      </w:pPr>
      <w:r>
        <w:rPr>
          <w:rFonts w:ascii="Arial" w:cs="Arial" w:eastAsia="Arial" w:hAnsi="Arial"/>
          <w:b/>
          <w:bCs/>
          <w:color w:val="1A6B4A"/>
          <w:sz w:val="24"/>
          <w:szCs w:val="24"/>
        </w:rPr>
        <w:t xml:space="preserve">Монетизация для банка</w:t>
      </w:r>
    </w:p>
    <w:p>
      <w:pPr>
        <w:pStyle w:val="ListParagraph"/>
        <w:numPr>
          <w:ilvl w:val="0"/>
          <w:numId w:val="2"/>
        </w:numPr>
        <w:spacing w:before="40" w:after="60"/>
      </w:pPr>
      <w:r>
        <w:rPr>
          <w:rFonts w:ascii="Arial" w:cs="Arial" w:eastAsia="Arial" w:hAnsi="Arial"/>
          <w:sz w:val="22"/>
          <w:szCs w:val="22"/>
        </w:rPr>
        <w:t xml:space="preserve">Автоплатёж: каждое событие — потенциальный шаблон автоплатежа. Больше автоплатежей = выше транзакционный оборот.</w:t>
      </w:r>
    </w:p>
    <w:p>
      <w:pPr>
        <w:pStyle w:val="ListParagraph"/>
        <w:numPr>
          <w:ilvl w:val="0"/>
          <w:numId w:val="2"/>
        </w:numPr>
        <w:spacing w:before="40" w:after="60"/>
      </w:pPr>
      <w:r>
        <w:rPr>
          <w:rFonts w:ascii="Arial" w:cs="Arial" w:eastAsia="Arial" w:hAnsi="Arial"/>
          <w:sz w:val="22"/>
          <w:szCs w:val="22"/>
        </w:rPr>
        <w:t xml:space="preserve">Ипотечные и кредитные напоминания: клиент, который регулярно видит свои платежи в интерфейсе ВТБ, более лоялен к банку.</w:t>
      </w:r>
    </w:p>
    <w:p>
      <w:pPr>
        <w:pStyle w:val="ListParagraph"/>
        <w:numPr>
          <w:ilvl w:val="0"/>
          <w:numId w:val="2"/>
        </w:numPr>
        <w:spacing w:before="40" w:after="60"/>
      </w:pPr>
      <w:r>
        <w:rPr>
          <w:rFonts w:ascii="Arial" w:cs="Arial" w:eastAsia="Arial" w:hAnsi="Arial"/>
          <w:sz w:val="22"/>
          <w:szCs w:val="22"/>
        </w:rPr>
        <w:t xml:space="preserve">Рекламные интеграции: «Нужно оплатить кружок? Используй кешбэк на образование» — органичные предложения в контексте события.</w:t>
      </w:r>
    </w:p>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Матрица доступа к данным в группе</w:t>
      </w:r>
    </w:p>
    <w:p>
      <w:pPr>
        <w:spacing w:before="60" w:after="100"/>
      </w:pPr>
      <w:r>
        <w:rPr>
          <w:rFonts w:ascii="Arial" w:cs="Arial" w:eastAsia="Arial" w:hAnsi="Arial"/>
          <w:sz w:val="22"/>
          <w:szCs w:val="22"/>
        </w:rPr>
        <w:t xml:space="preserve">Ключевой принцип: каждый участник по умолчанию видит только свои данные. Совместные данные становятся видны только через явное разрешение или особую ролевую логику. Ни один участник не может видеть баланс другого без его согласия.</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45"/>
        <w:gridCol w:w="1245"/>
        <w:gridCol w:w="1245"/>
        <w:gridCol w:w="1245"/>
        <w:gridCol w:w="124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Данные / действие</w:t>
            </w:r>
          </w:p>
        </w:tc>
        <w:tc>
          <w:tcPr>
            <w:tcW w:type="dxa" w:w="124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Организатор</w:t>
            </w:r>
          </w:p>
        </w:tc>
        <w:tc>
          <w:tcPr>
            <w:tcW w:type="dxa" w:w="124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Супруг(а)</w:t>
            </w:r>
          </w:p>
        </w:tc>
        <w:tc>
          <w:tcPr>
            <w:tcW w:type="dxa" w:w="124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Пожилой 55+</w:t>
            </w:r>
          </w:p>
        </w:tc>
        <w:tc>
          <w:tcPr>
            <w:tcW w:type="dxa" w:w="124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Подросток 14–17</w:t>
            </w:r>
          </w:p>
        </w:tc>
        <w:tc>
          <w:tcPr>
            <w:tcW w:type="dxa" w:w="1245"/>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Ребёнок 10–13</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Свой баланс и история трат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своя карта</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Баланс других участников</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История трат других участников</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Кешбэк группы (общая сумма)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5B00"/>
                <w:sz w:val="16"/>
                <w:szCs w:val="16"/>
              </w:rPr>
              <w:t xml:space="preserve">По желанию</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Аномалия / фрод у пожилого</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Если вкл.</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Если вкл.</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Управляет сам</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Семейный счёт (общий)</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Полный</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чтение</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Баланс карты ребёнка</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своей</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История трат ребёнка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своей</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Запросы денег (создать/получить)</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Получает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Получает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Отправляет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Отправляет</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Установить лимит ребёнку</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Прогресс квестов ребёнка</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Если хочет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своих</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Пригласить / удалить участника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Да</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Категории кешбэка группы</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Управляет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F3864"/>
                <w:sz w:val="16"/>
                <w:szCs w:val="16"/>
              </w:rPr>
              <w:t xml:space="preserve">С согласия</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свои</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Трекер подписок</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Все</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1A6B4A"/>
                <w:sz w:val="16"/>
                <w:szCs w:val="16"/>
              </w:rPr>
              <w:t xml:space="preserve">Все</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свои</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5B00"/>
                <w:sz w:val="16"/>
                <w:szCs w:val="16"/>
              </w:rPr>
              <w:t xml:space="preserve">Только свои</w:t>
            </w:r>
          </w:p>
        </w:tc>
        <w:tc>
          <w:tcPr>
            <w:tcW w:type="dxa" w:w="1245"/>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color w:val="888888"/>
                <w:sz w:val="16"/>
                <w:szCs w:val="16"/>
              </w:rPr>
              <w:t xml:space="preserve">Нет</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8"/>
                <w:szCs w:val="18"/>
              </w:rPr>
              <w:t xml:space="preserve">Финансовый календарь группы</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Все</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1A6B4A"/>
                <w:sz w:val="16"/>
                <w:szCs w:val="16"/>
              </w:rPr>
              <w:t xml:space="preserve">Все</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Свои события</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Назначенные</w:t>
            </w:r>
          </w:p>
        </w:tc>
        <w:tc>
          <w:tcPr>
            <w:tcW w:type="dxa" w:w="1245"/>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color w:val="885B00"/>
                <w:sz w:val="16"/>
                <w:szCs w:val="16"/>
              </w:rPr>
              <w:t xml:space="preserve">Задачи</w:t>
            </w:r>
          </w:p>
        </w:tc>
      </w:tr>
    </w:tbl>
    <w:p>
      <w:pPr>
        <w:pBdr>
          <w:bottom w:val="single" w:color="CCCCCC" w:sz="4"/>
        </w:pBdr>
        <w:spacing w:before="160" w:after="160"/>
      </w:pPr>
    </w:p>
    <w:p>
      <w:pPr>
        <w:pStyle w:val="Heading1"/>
        <w:spacing w:before="360" w:after="180"/>
      </w:pPr>
      <w:r>
        <w:rPr>
          <w:rFonts w:ascii="Arial" w:cs="Arial" w:eastAsia="Arial" w:hAnsi="Arial"/>
          <w:b/>
          <w:bCs/>
          <w:color w:val="1F3864"/>
          <w:sz w:val="32"/>
          <w:szCs w:val="32"/>
        </w:rPr>
        <w:t xml:space="preserve">Выводы и ключевые тезисы для защиты</w:t>
      </w:r>
    </w:p>
    <w:p>
      <w:pPr>
        <w:spacing w:before="200" w:after="120"/>
      </w:pPr>
      <w:r>
        <w:rPr>
          <w:rFonts w:ascii="Arial" w:cs="Arial" w:eastAsia="Arial" w:hAnsi="Arial"/>
          <w:b/>
          <w:bCs/>
          <w:color w:val="1A6B4A"/>
          <w:sz w:val="24"/>
          <w:szCs w:val="24"/>
        </w:rPr>
        <w:t xml:space="preserve">Стратегическое позиционирование</w:t>
      </w:r>
    </w:p>
    <w:p>
      <w:pPr>
        <w:spacing w:before="60" w:after="100"/>
      </w:pPr>
      <w:r>
        <w:rPr>
          <w:rFonts w:ascii="Arial" w:cs="Arial" w:eastAsia="Arial" w:hAnsi="Arial"/>
          <w:sz w:val="22"/>
          <w:szCs w:val="22"/>
        </w:rPr>
        <w:t xml:space="preserve">«Семейный кошелёк» трансформирует ВТБ из транзакционного банка в платформу управления семейными финансами. Продукт создаёт три конкурентных преимущества: сетевой эффект (уход одного участника разрушает ценность для всей группы), возрастной охват (продукт для 6–80+ лет в одной экосистеме) и данные (паттерны семейных трат — уникальный актив для персонализации).</w:t>
      </w:r>
    </w:p>
    <w:p>
      <w:pPr>
        <w:spacing w:before="60" w:after="0"/>
      </w:pPr>
    </w:p>
    <w:p>
      <w:pPr>
        <w:spacing w:before="200" w:after="120"/>
      </w:pPr>
      <w:r>
        <w:rPr>
          <w:rFonts w:ascii="Arial" w:cs="Arial" w:eastAsia="Arial" w:hAnsi="Arial"/>
          <w:b/>
          <w:bCs/>
          <w:color w:val="1A6B4A"/>
          <w:sz w:val="24"/>
          <w:szCs w:val="24"/>
        </w:rPr>
        <w:t xml:space="preserve">Ключевые метрики успеха</w:t>
      </w:r>
    </w:p>
    <w:p>
      <w:pPr>
        <w:pStyle w:val="ListParagraph"/>
        <w:numPr>
          <w:ilvl w:val="0"/>
          <w:numId w:val="2"/>
        </w:numPr>
        <w:spacing w:before="40" w:after="60"/>
      </w:pPr>
      <w:r>
        <w:rPr>
          <w:rFonts w:ascii="Arial" w:cs="Arial" w:eastAsia="Arial" w:hAnsi="Arial"/>
          <w:sz w:val="22"/>
          <w:szCs w:val="22"/>
        </w:rPr>
        <w:t xml:space="preserve">MAU семейных групп — целевой показатель: 3 млн групп к концу первого года.</w:t>
      </w:r>
    </w:p>
    <w:p>
      <w:pPr>
        <w:pStyle w:val="ListParagraph"/>
        <w:numPr>
          <w:ilvl w:val="0"/>
          <w:numId w:val="2"/>
        </w:numPr>
        <w:spacing w:before="40" w:after="60"/>
      </w:pPr>
      <w:r>
        <w:rPr>
          <w:rFonts w:ascii="Arial" w:cs="Arial" w:eastAsia="Arial" w:hAnsi="Arial"/>
          <w:sz w:val="22"/>
          <w:szCs w:val="22"/>
        </w:rPr>
        <w:t xml:space="preserve">Средний размер группы — целевой показатель: 3.5 участника.</w:t>
      </w:r>
    </w:p>
    <w:p>
      <w:pPr>
        <w:pStyle w:val="ListParagraph"/>
        <w:numPr>
          <w:ilvl w:val="0"/>
          <w:numId w:val="2"/>
        </w:numPr>
        <w:spacing w:before="40" w:after="60"/>
      </w:pPr>
      <w:r>
        <w:rPr>
          <w:rFonts w:ascii="Arial" w:cs="Arial" w:eastAsia="Arial" w:hAnsi="Arial"/>
          <w:sz w:val="22"/>
          <w:szCs w:val="22"/>
        </w:rPr>
        <w:t xml:space="preserve">Коэффициент удержания (retention) — целевой показатель: 85% через 12 месяцев (против 70% для одиночных клиентов).</w:t>
      </w:r>
    </w:p>
    <w:p>
      <w:pPr>
        <w:pStyle w:val="ListParagraph"/>
        <w:numPr>
          <w:ilvl w:val="0"/>
          <w:numId w:val="2"/>
        </w:numPr>
        <w:spacing w:before="40" w:after="60"/>
      </w:pPr>
      <w:r>
        <w:rPr>
          <w:rFonts w:ascii="Arial" w:cs="Arial" w:eastAsia="Arial" w:hAnsi="Arial"/>
          <w:sz w:val="22"/>
          <w:szCs w:val="22"/>
        </w:rPr>
        <w:t xml:space="preserve">Кросс-продажи — целевой показатель: 2.8 продукта ВТБ на семью (против 1.9 для одиночных клиентов).</w:t>
      </w:r>
    </w:p>
    <w:p>
      <w:pPr>
        <w:pStyle w:val="ListParagraph"/>
        <w:numPr>
          <w:ilvl w:val="0"/>
          <w:numId w:val="2"/>
        </w:numPr>
        <w:spacing w:before="40" w:after="60"/>
      </w:pPr>
      <w:r>
        <w:rPr>
          <w:rFonts w:ascii="Arial" w:cs="Arial" w:eastAsia="Arial" w:hAnsi="Arial"/>
          <w:sz w:val="22"/>
          <w:szCs w:val="22"/>
        </w:rPr>
        <w:t xml:space="preserve">Новые молодые клиенты через Юниор — целевой показатель: 500 000 карт в год.</w:t>
      </w:r>
    </w:p>
    <w:p>
      <w:pPr>
        <w:spacing w:before="60" w:after="0"/>
      </w:pPr>
    </w:p>
    <w:p>
      <w:pPr>
        <w:spacing w:before="200" w:after="120"/>
      </w:pPr>
      <w:r>
        <w:rPr>
          <w:rFonts w:ascii="Arial" w:cs="Arial" w:eastAsia="Arial" w:hAnsi="Arial"/>
          <w:b/>
          <w:bCs/>
          <w:color w:val="1A6B4A"/>
          <w:sz w:val="24"/>
          <w:szCs w:val="24"/>
        </w:rPr>
        <w:t xml:space="preserve">Приоритет разработки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1632"/>
        <w:gridCol w:w="1631"/>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Функция</w:t>
            </w:r>
          </w:p>
        </w:tc>
        <w:tc>
          <w:tcPr>
            <w:tcW w:type="dxa" w:w="2263"/>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Срок разработки</w:t>
            </w:r>
          </w:p>
        </w:tc>
        <w:tc>
          <w:tcPr>
            <w:tcW w:type="dxa" w:w="163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Приоритет</w:t>
            </w:r>
          </w:p>
        </w:tc>
        <w:tc>
          <w:tcPr>
            <w:tcW w:type="dxa" w:w="163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Зависимости</w:t>
            </w:r>
          </w:p>
        </w:tc>
      </w:tr>
      <w:tr>
        <w:tc>
          <w:tcPr>
            <w:tcW w:type="dxa" w:w="3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bCs/>
                <w:sz w:val="19"/>
                <w:szCs w:val="19"/>
              </w:rPr>
              <w:t xml:space="preserve">Семейный кошелёк + кешбэк-дашборд</w:t>
            </w:r>
          </w:p>
        </w:tc>
        <w:tc>
          <w:tcPr>
            <w:tcW w:type="dxa" w:w="2263"/>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9"/>
                <w:szCs w:val="19"/>
              </w:rPr>
              <w:t xml:space="preserve">Q1 2026 (3 мес.)</w:t>
            </w:r>
          </w:p>
        </w:tc>
        <w:tc>
          <w:tcPr>
            <w:tcW w:type="dxa" w:w="1632"/>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pPr>
              <w:jc w:val="center"/>
            </w:pPr>
            <w:r>
              <w:rPr>
                <w:rFonts w:ascii="Arial" w:cs="Arial" w:eastAsia="Arial" w:hAnsi="Arial"/>
                <w:color w:val="C0392B"/>
                <w:sz w:val="19"/>
                <w:szCs w:val="19"/>
              </w:rPr>
              <w:t xml:space="preserve">Критический</w:t>
            </w:r>
          </w:p>
        </w:tc>
        <w:tc>
          <w:tcPr>
            <w:tcW w:type="dxa" w:w="1631"/>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r>
              <w:rPr>
                <w:rFonts w:ascii="Arial" w:cs="Arial" w:eastAsia="Arial" w:hAnsi="Arial"/>
                <w:color w:val="555555"/>
                <w:sz w:val="17"/>
                <w:szCs w:val="17"/>
              </w:rPr>
              <w:t xml:space="preserve">Группа «Близкие»</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Список задач и финансовые цели</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Q2 2026 (2 мес.)</w:t>
            </w:r>
          </w:p>
        </w:tc>
        <w:tc>
          <w:tcPr>
            <w:tcW w:type="dxa" w:w="1632"/>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6B4A"/>
                <w:sz w:val="19"/>
                <w:szCs w:val="19"/>
              </w:rPr>
              <w:t xml:space="preserve">Высокий</w:t>
            </w:r>
          </w:p>
        </w:tc>
        <w:tc>
          <w:tcPr>
            <w:tcW w:type="dxa" w:w="1631"/>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Семейный счёт</w:t>
            </w:r>
          </w:p>
        </w:tc>
      </w:tr>
      <w:tr>
        <w:tc>
          <w:tcPr>
            <w:tcW w:type="dxa" w:w="3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bCs/>
                <w:sz w:val="19"/>
                <w:szCs w:val="19"/>
              </w:rPr>
              <w:t xml:space="preserve">Трекер подписок</w:t>
            </w:r>
          </w:p>
        </w:tc>
        <w:tc>
          <w:tcPr>
            <w:tcW w:type="dxa" w:w="2263"/>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9"/>
                <w:szCs w:val="19"/>
              </w:rPr>
              <w:t xml:space="preserve">Q2 2026 (3 мес.)</w:t>
            </w:r>
          </w:p>
        </w:tc>
        <w:tc>
          <w:tcPr>
            <w:tcW w:type="dxa" w:w="1632"/>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pPr>
              <w:jc w:val="center"/>
            </w:pPr>
            <w:r>
              <w:rPr>
                <w:rFonts w:ascii="Arial" w:cs="Arial" w:eastAsia="Arial" w:hAnsi="Arial"/>
                <w:color w:val="1A6B4A"/>
                <w:sz w:val="19"/>
                <w:szCs w:val="19"/>
              </w:rPr>
              <w:t xml:space="preserve">Высокий</w:t>
            </w:r>
          </w:p>
        </w:tc>
        <w:tc>
          <w:tcPr>
            <w:tcW w:type="dxa" w:w="1631"/>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r>
              <w:rPr>
                <w:rFonts w:ascii="Arial" w:cs="Arial" w:eastAsia="Arial" w:hAnsi="Arial"/>
                <w:color w:val="555555"/>
                <w:sz w:val="17"/>
                <w:szCs w:val="17"/>
              </w:rPr>
              <w:t xml:space="preserve">Аналитика транзакций</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Финансовый календарь</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Q3 2026 (2 мес.)</w:t>
            </w:r>
          </w:p>
        </w:tc>
        <w:tc>
          <w:tcPr>
            <w:tcW w:type="dxa" w:w="1632"/>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885B00"/>
                <w:sz w:val="19"/>
                <w:szCs w:val="19"/>
              </w:rPr>
              <w:t xml:space="preserve">Средний</w:t>
            </w:r>
          </w:p>
        </w:tc>
        <w:tc>
          <w:tcPr>
            <w:tcW w:type="dxa" w:w="1631"/>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Список задач</w:t>
            </w:r>
          </w:p>
        </w:tc>
      </w:tr>
      <w:tr>
        <w:tc>
          <w:tcPr>
            <w:tcW w:type="dxa" w:w="3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bCs/>
                <w:sz w:val="19"/>
                <w:szCs w:val="19"/>
              </w:rPr>
              <w:t xml:space="preserve">ВТБ Юниор (базовый)</w:t>
            </w:r>
          </w:p>
        </w:tc>
        <w:tc>
          <w:tcPr>
            <w:tcW w:type="dxa" w:w="2263"/>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9"/>
                <w:szCs w:val="19"/>
              </w:rPr>
              <w:t xml:space="preserve">Q3 2026 (4 мес.)</w:t>
            </w:r>
          </w:p>
        </w:tc>
        <w:tc>
          <w:tcPr>
            <w:tcW w:type="dxa" w:w="1632"/>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pPr>
              <w:jc w:val="center"/>
            </w:pPr>
            <w:r>
              <w:rPr>
                <w:rFonts w:ascii="Arial" w:cs="Arial" w:eastAsia="Arial" w:hAnsi="Arial"/>
                <w:color w:val="1A6B4A"/>
                <w:sz w:val="19"/>
                <w:szCs w:val="19"/>
              </w:rPr>
              <w:t xml:space="preserve">Высокий</w:t>
            </w:r>
          </w:p>
        </w:tc>
        <w:tc>
          <w:tcPr>
            <w:tcW w:type="dxa" w:w="1631"/>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r>
              <w:rPr>
                <w:rFonts w:ascii="Arial" w:cs="Arial" w:eastAsia="Arial" w:hAnsi="Arial"/>
                <w:color w:val="555555"/>
                <w:sz w:val="17"/>
                <w:szCs w:val="17"/>
              </w:rPr>
              <w:t xml:space="preserve">Детская карта</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ВТБ Юниор (квесты + уровни)</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Q4 2026 (3 мес.)</w:t>
            </w:r>
          </w:p>
        </w:tc>
        <w:tc>
          <w:tcPr>
            <w:tcW w:type="dxa" w:w="1632"/>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885B00"/>
                <w:sz w:val="19"/>
                <w:szCs w:val="19"/>
              </w:rPr>
              <w:t xml:space="preserve">Средний</w:t>
            </w:r>
          </w:p>
        </w:tc>
        <w:tc>
          <w:tcPr>
            <w:tcW w:type="dxa" w:w="1631"/>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ВТБ Юниор базовый</w:t>
            </w:r>
          </w:p>
        </w:tc>
      </w:tr>
      <w:tr>
        <w:tc>
          <w:tcPr>
            <w:tcW w:type="dxa" w:w="3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bCs/>
                <w:sz w:val="19"/>
                <w:szCs w:val="19"/>
              </w:rPr>
              <w:t xml:space="preserve">Серебряный возраст</w:t>
            </w:r>
          </w:p>
        </w:tc>
        <w:tc>
          <w:tcPr>
            <w:tcW w:type="dxa" w:w="2263"/>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sz w:val="19"/>
                <w:szCs w:val="19"/>
              </w:rPr>
              <w:t xml:space="preserve">Q4 2026 (3 мес.)</w:t>
            </w:r>
          </w:p>
        </w:tc>
        <w:tc>
          <w:tcPr>
            <w:tcW w:type="dxa" w:w="1632"/>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pPr>
              <w:jc w:val="center"/>
            </w:pPr>
            <w:r>
              <w:rPr>
                <w:rFonts w:ascii="Arial" w:cs="Arial" w:eastAsia="Arial" w:hAnsi="Arial"/>
                <w:color w:val="1A6B4A"/>
                <w:sz w:val="19"/>
                <w:szCs w:val="19"/>
              </w:rPr>
              <w:t xml:space="preserve">Высокий</w:t>
            </w:r>
          </w:p>
        </w:tc>
        <w:tc>
          <w:tcPr>
            <w:tcW w:type="dxa" w:w="1631"/>
            <w:tcBorders>
              <w:top w:val="single" w:color="CCCCCC" w:sz="1"/>
              <w:left w:val="single" w:color="CCCCCC" w:sz="1"/>
              <w:bottom w:val="single" w:color="CCCCCC" w:sz="1"/>
              <w:right w:val="single" w:color="CCCCCC" w:sz="1"/>
            </w:tcBorders>
            <w:shd w:fill="F5F7FA" w:val="clear"/>
            <w:tcMar>
              <w:top w:type="dxa" w:w="70"/>
              <w:left w:type="dxa" w:w="80"/>
              <w:bottom w:type="dxa" w:w="70"/>
              <w:right w:type="dxa" w:w="80"/>
            </w:tcMar>
          </w:tcPr>
          <w:p>
            <w:r>
              <w:rPr>
                <w:rFonts w:ascii="Arial" w:cs="Arial" w:eastAsia="Arial" w:hAnsi="Arial"/>
                <w:color w:val="555555"/>
                <w:sz w:val="17"/>
                <w:szCs w:val="17"/>
              </w:rPr>
              <w:t xml:space="preserve">Антифрод API, ДУ</w:t>
            </w:r>
          </w:p>
        </w:tc>
      </w:tr>
    </w:tbl>
    <w:p>
      <w:pPr>
        <w:spacing w:before="100" w:after="0"/>
      </w:pPr>
    </w:p>
    <w:p>
      <w:pPr>
        <w:pBdr>
          <w:top w:val="single" w:color="CCCCCC" w:sz="4"/>
        </w:pBdr>
        <w:spacing w:before="200"/>
        <w:jc w:val="center"/>
      </w:pPr>
      <w:r>
        <w:rPr>
          <w:rFonts w:ascii="Arial" w:cs="Arial" w:eastAsia="Arial" w:hAnsi="Arial"/>
          <w:i/>
          <w:iCs/>
          <w:color w:val="888888"/>
          <w:sz w:val="18"/>
          <w:szCs w:val="18"/>
        </w:rPr>
        <w:t xml:space="preserve">Документ подготовлен в рамках курса по продуктовому менеджменту. ВТБ Банк, 2025.</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pPr>
    <w:r>
      <w:rPr>
        <w:rFonts w:ascii="Arial" w:cs="Arial" w:eastAsia="Arial" w:hAnsi="Arial"/>
        <w:color w:val="888888"/>
        <w:sz w:val="16"/>
        <w:szCs w:val="16"/>
      </w:rPr>
      <w:t xml:space="preserve">Конфиденциально. Только для академического использования.</w:t>
    </w:r>
    <w:r>
      <w:rPr>
        <w:rFonts w:ascii="Arial" w:cs="Arial" w:eastAsia="Arial" w:hAnsi="Arial"/>
        <w:color w:val="888888"/>
        <w:sz w:val="16"/>
        <w:szCs w:val="16"/>
      </w:rPr>
      <w:t xml:space="preserve">    Стр.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C" w:sz="4"/>
      </w:pBdr>
      <w:spacing w:after="100"/>
    </w:pPr>
    <w:r>
      <w:rPr>
        <w:rFonts w:ascii="Arial" w:cs="Arial" w:eastAsia="Arial" w:hAnsi="Arial"/>
        <w:color w:val="2E5A9C"/>
        <w:sz w:val="18"/>
        <w:szCs w:val="18"/>
      </w:rPr>
      <w:t xml:space="preserve">ВТБ Банк — Концепция продукта «Семейный кошелёк»</w:t>
    </w:r>
    <w:r>
      <w:rPr>
        <w:rFonts w:ascii="Arial" w:cs="Arial" w:eastAsia="Arial" w:hAnsi="Arial"/>
        <w:color w:val="888888"/>
        <w:sz w:val="18"/>
        <w:szCs w:val="18"/>
      </w:rPr>
      <w:t xml:space="preserve">   |   Курс по продуктовому менеджменту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A9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2026-03-17T20:20:51.449Z</dcterms:created>
  <dcterms:modified xsi:type="dcterms:W3CDTF">2026-03-17T20:20:51.450Z</dcterms:modified>
</cp:coreProperties>
</file>

<file path=docProps/custom.xml><?xml version="1.0" encoding="utf-8"?>
<Properties xmlns="http://schemas.openxmlformats.org/officeDocument/2006/custom-properties" xmlns:vt="http://schemas.openxmlformats.org/officeDocument/2006/docPropsVTypes"/>
</file>