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  <w:rtl w:val="0"/>
        </w:rPr>
        <w:t xml:space="preserve">Task 1. </w:t>
      </w:r>
    </w:p>
    <w:p w:rsidR="00000000" w:rsidDel="00000000" w:rsidP="00000000" w:rsidRDefault="00000000" w:rsidRPr="00000000" w14:paraId="00000002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Відповідно до податкових ставок (згідно з завданням), маємо наступні класи еквівалентності:</w:t>
      </w:r>
    </w:p>
    <w:p w:rsidR="00000000" w:rsidDel="00000000" w:rsidP="00000000" w:rsidRDefault="00000000" w:rsidRPr="00000000" w14:paraId="00000003">
      <w:pP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Зарплата до 4000 $ включно не оподатковуються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0 – 4000       </w:t>
        <w:tab/>
        <w:t xml:space="preserve"> перший клас еквівалентності.</w:t>
      </w:r>
    </w:p>
    <w:p w:rsidR="00000000" w:rsidDel="00000000" w:rsidP="00000000" w:rsidRDefault="00000000" w:rsidRPr="00000000" w14:paraId="00000005">
      <w:pP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Зарплата від 4001 до 5500 включно оподатковується 10%</w:t>
      </w:r>
    </w:p>
    <w:p w:rsidR="00000000" w:rsidDel="00000000" w:rsidP="00000000" w:rsidRDefault="00000000" w:rsidRPr="00000000" w14:paraId="00000006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4001 – 5500  другий клас еквівалентності.</w:t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Зарплата від 5501 до 33500 включно оподатковується 22%</w:t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5501 – 33500 третій клас еквівалентності.</w:t>
      </w:r>
    </w:p>
    <w:p w:rsidR="00000000" w:rsidDel="00000000" w:rsidP="00000000" w:rsidRDefault="00000000" w:rsidRPr="00000000" w14:paraId="00000009">
      <w:pP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Зарплата від 33501 $ і вище оподатковується 40%</w:t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33501 -          четвертий клас еквівалентності.</w:t>
      </w:r>
    </w:p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Отже, значення будуть відповідати наступним класам еквівалентності:</w:t>
      </w:r>
    </w:p>
    <w:p w:rsidR="00000000" w:rsidDel="00000000" w:rsidP="00000000" w:rsidRDefault="00000000" w:rsidRPr="00000000" w14:paraId="0000000C">
      <w:pPr>
        <w:spacing w:after="120" w:before="120" w:line="240" w:lineRule="auto"/>
        <w:rPr>
          <w:rFonts w:ascii="Roboto Mono" w:cs="Roboto Mono" w:eastAsia="Roboto Mono" w:hAnsi="Roboto Mono"/>
          <w:color w:val="1c1e21"/>
          <w:sz w:val="20"/>
          <w:szCs w:val="20"/>
        </w:rPr>
      </w:pPr>
      <w:r w:rsidDel="00000000" w:rsidR="00000000" w:rsidRPr="00000000">
        <w:rPr>
          <w:color w:val="1c1e21"/>
          <w:rtl w:val="0"/>
        </w:rPr>
        <w:t xml:space="preserve">а)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0"/>
          <w:szCs w:val="20"/>
          <w:rtl w:val="0"/>
        </w:rPr>
        <w:t xml:space="preserve">4800$ - 1к</w:t>
      </w:r>
      <w:r w:rsidDel="00000000" w:rsidR="00000000" w:rsidRPr="00000000">
        <w:rPr>
          <w:color w:val="1c1e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0"/>
          <w:szCs w:val="20"/>
          <w:rtl w:val="0"/>
        </w:rPr>
        <w:t xml:space="preserve">14000$ - 3к</w:t>
      </w:r>
      <w:r w:rsidDel="00000000" w:rsidR="00000000" w:rsidRPr="00000000">
        <w:rPr>
          <w:color w:val="1c1e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0"/>
          <w:szCs w:val="20"/>
          <w:rtl w:val="0"/>
        </w:rPr>
        <w:t xml:space="preserve">28000$ - 3к;</w:t>
      </w:r>
    </w:p>
    <w:p w:rsidR="00000000" w:rsidDel="00000000" w:rsidP="00000000" w:rsidRDefault="00000000" w:rsidRPr="00000000" w14:paraId="0000000D">
      <w:pPr>
        <w:spacing w:after="120" w:before="120" w:line="24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б)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0"/>
          <w:szCs w:val="20"/>
          <w:rtl w:val="0"/>
        </w:rPr>
        <w:t xml:space="preserve">5200$ - 2к</w:t>
      </w:r>
      <w:r w:rsidDel="00000000" w:rsidR="00000000" w:rsidRPr="00000000">
        <w:rPr>
          <w:color w:val="1c1e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0"/>
          <w:szCs w:val="20"/>
          <w:rtl w:val="0"/>
        </w:rPr>
        <w:t xml:space="preserve">5500$ - 2к</w:t>
      </w:r>
      <w:r w:rsidDel="00000000" w:rsidR="00000000" w:rsidRPr="00000000">
        <w:rPr>
          <w:color w:val="1c1e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0"/>
          <w:szCs w:val="20"/>
          <w:rtl w:val="0"/>
        </w:rPr>
        <w:t xml:space="preserve">28000$ - 3к;</w:t>
      </w:r>
      <w:r w:rsidDel="00000000" w:rsidR="00000000" w:rsidRPr="00000000">
        <w:rPr>
          <w:color w:val="1c1e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before="120" w:line="240" w:lineRule="auto"/>
        <w:rPr>
          <w:color w:val="1c1e21"/>
        </w:rPr>
      </w:pPr>
      <w:r w:rsidDel="00000000" w:rsidR="00000000" w:rsidRPr="00000000">
        <w:rPr>
          <w:color w:val="1c1e21"/>
          <w:rtl w:val="0"/>
        </w:rPr>
        <w:t xml:space="preserve">в)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0"/>
          <w:szCs w:val="20"/>
          <w:rtl w:val="0"/>
        </w:rPr>
        <w:t xml:space="preserve">28001$ - 3к</w:t>
      </w:r>
      <w:r w:rsidDel="00000000" w:rsidR="00000000" w:rsidRPr="00000000">
        <w:rPr>
          <w:color w:val="1c1e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0"/>
          <w:szCs w:val="20"/>
          <w:rtl w:val="0"/>
        </w:rPr>
        <w:t xml:space="preserve">32000$ - 3к</w:t>
      </w:r>
      <w:r w:rsidDel="00000000" w:rsidR="00000000" w:rsidRPr="00000000">
        <w:rPr>
          <w:color w:val="1c1e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0"/>
          <w:szCs w:val="20"/>
          <w:rtl w:val="0"/>
        </w:rPr>
        <w:t xml:space="preserve">35000$ - 4к;</w:t>
      </w:r>
      <w:r w:rsidDel="00000000" w:rsidR="00000000" w:rsidRPr="00000000">
        <w:rPr>
          <w:color w:val="1c1e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before="120" w:line="240" w:lineRule="auto"/>
        <w:rPr>
          <w:rFonts w:ascii="Roboto Mono" w:cs="Roboto Mono" w:eastAsia="Roboto Mono" w:hAnsi="Roboto Mono"/>
          <w:color w:val="1c1e21"/>
          <w:sz w:val="20"/>
          <w:szCs w:val="20"/>
          <w:u w:val="single"/>
        </w:rPr>
      </w:pPr>
      <w:r w:rsidDel="00000000" w:rsidR="00000000" w:rsidRPr="00000000">
        <w:rPr>
          <w:color w:val="1c1e21"/>
          <w:u w:val="single"/>
          <w:rtl w:val="0"/>
        </w:rPr>
        <w:t xml:space="preserve">г)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0"/>
          <w:szCs w:val="20"/>
          <w:u w:val="single"/>
          <w:rtl w:val="0"/>
        </w:rPr>
        <w:t xml:space="preserve">5800$ - 3к</w:t>
      </w:r>
      <w:r w:rsidDel="00000000" w:rsidR="00000000" w:rsidRPr="00000000">
        <w:rPr>
          <w:color w:val="1c1e2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0"/>
          <w:szCs w:val="20"/>
          <w:u w:val="single"/>
          <w:rtl w:val="0"/>
        </w:rPr>
        <w:t xml:space="preserve">28000$ - 3к</w:t>
      </w:r>
      <w:r w:rsidDel="00000000" w:rsidR="00000000" w:rsidRPr="00000000">
        <w:rPr>
          <w:color w:val="1c1e2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0"/>
          <w:szCs w:val="20"/>
          <w:u w:val="single"/>
          <w:rtl w:val="0"/>
        </w:rPr>
        <w:t xml:space="preserve">32000$ - 3к.</w:t>
      </w:r>
    </w:p>
    <w:p w:rsidR="00000000" w:rsidDel="00000000" w:rsidP="00000000" w:rsidRDefault="00000000" w:rsidRPr="00000000" w14:paraId="00000010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Отже, група значень «Г» належать до одного класу еквівалентності.</w:t>
      </w:r>
    </w:p>
    <w:p w:rsidR="00000000" w:rsidDel="00000000" w:rsidP="00000000" w:rsidRDefault="00000000" w:rsidRPr="00000000" w14:paraId="00000011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  <w:rtl w:val="0"/>
        </w:rPr>
        <w:t xml:space="preserve">Task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Згідно з умовами задачі отримаємо наступні класи еквівалентності:</w:t>
      </w:r>
    </w:p>
    <w:p w:rsidR="00000000" w:rsidDel="00000000" w:rsidP="00000000" w:rsidRDefault="00000000" w:rsidRPr="00000000" w14:paraId="00000014">
      <w:pP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Термін роботи менше або дорівнює 2 рокам;</w:t>
      </w:r>
    </w:p>
    <w:p w:rsidR="00000000" w:rsidDel="00000000" w:rsidP="00000000" w:rsidRDefault="00000000" w:rsidRPr="00000000" w14:paraId="00000015">
      <w:pP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Термін роботи більше 2-х років, але менше ніж 5 років;</w:t>
      </w:r>
    </w:p>
    <w:p w:rsidR="00000000" w:rsidDel="00000000" w:rsidP="00000000" w:rsidRDefault="00000000" w:rsidRPr="00000000" w14:paraId="00000016">
      <w:pP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Термін роботи більше 5-ти років, але менше ніж 10 років;</w:t>
      </w:r>
    </w:p>
    <w:p w:rsidR="00000000" w:rsidDel="00000000" w:rsidP="00000000" w:rsidRDefault="00000000" w:rsidRPr="00000000" w14:paraId="00000017">
      <w:pP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Термін роботи 10 років та більше.</w:t>
      </w:r>
    </w:p>
    <w:p w:rsidR="00000000" w:rsidDel="00000000" w:rsidP="00000000" w:rsidRDefault="00000000" w:rsidRPr="00000000" w14:paraId="00000018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Отже, мінімальна кількість тест кейсів необхідна, щоб протестувати всі класи еквівалентності, буде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- по одному для кожного класу еквівалентності.</w:t>
      </w:r>
    </w:p>
    <w:p w:rsidR="00000000" w:rsidDel="00000000" w:rsidP="00000000" w:rsidRDefault="00000000" w:rsidRPr="00000000" w14:paraId="00000019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  <w:rtl w:val="0"/>
        </w:rPr>
        <w:t xml:space="preserve">Task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Припустимо, що всі вказані розміри дисплея є окремими класами еквівалентності:</w:t>
      </w:r>
    </w:p>
    <w:p w:rsidR="00000000" w:rsidDel="00000000" w:rsidP="00000000" w:rsidRDefault="00000000" w:rsidRPr="00000000" w14:paraId="0000001C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640х480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перший клас еквівалентності.</w:t>
      </w:r>
    </w:p>
    <w:p w:rsidR="00000000" w:rsidDel="00000000" w:rsidP="00000000" w:rsidRDefault="00000000" w:rsidRPr="00000000" w14:paraId="0000001D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1280х720 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другий клас еквівалентності.</w:t>
      </w:r>
    </w:p>
    <w:p w:rsidR="00000000" w:rsidDel="00000000" w:rsidP="00000000" w:rsidRDefault="00000000" w:rsidRPr="00000000" w14:paraId="0000001E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1600х1200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третій клас еквівалентності.</w:t>
      </w:r>
    </w:p>
    <w:p w:rsidR="00000000" w:rsidDel="00000000" w:rsidP="00000000" w:rsidRDefault="00000000" w:rsidRPr="00000000" w14:paraId="0000001F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1920х1080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четвертий клас еквівалентності.</w:t>
      </w:r>
    </w:p>
    <w:p w:rsidR="00000000" w:rsidDel="00000000" w:rsidP="00000000" w:rsidRDefault="00000000" w:rsidRPr="00000000" w14:paraId="00000020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Потрібно виконати перевірку. Кожен тест повинен перевірити, чи може програма програвати відео на дисплеї відповідного розміру.</w:t>
      </w:r>
    </w:p>
    <w:p w:rsidR="00000000" w:rsidDel="00000000" w:rsidP="00000000" w:rsidRDefault="00000000" w:rsidRPr="00000000" w14:paraId="00000021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Таким чином, повинна бути проведена перевірка по одному тесту для кожного клас еквівалентності.</w:t>
      </w:r>
    </w:p>
    <w:p w:rsidR="00000000" w:rsidDel="00000000" w:rsidP="00000000" w:rsidRDefault="00000000" w:rsidRPr="00000000" w14:paraId="00000022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Оскільки, у нас є 4 класи еквівалентності то проведених тестів буде 4.</w:t>
      </w:r>
    </w:p>
    <w:p w:rsidR="00000000" w:rsidDel="00000000" w:rsidP="00000000" w:rsidRDefault="00000000" w:rsidRPr="00000000" w14:paraId="00000023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в) переконатися, що програма може програвати відео на дисплеях всіх вказаних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розмірів (4 тести)</w:t>
      </w:r>
    </w:p>
    <w:p w:rsidR="00000000" w:rsidDel="00000000" w:rsidP="00000000" w:rsidRDefault="00000000" w:rsidRPr="00000000" w14:paraId="00000024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Результатом застосування техніки класів еквівалентності буде варіант «В» з запропонованих наборів тест кейсів.</w:t>
      </w:r>
    </w:p>
    <w:p w:rsidR="00000000" w:rsidDel="00000000" w:rsidP="00000000" w:rsidRDefault="00000000" w:rsidRPr="00000000" w14:paraId="00000025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  <w:rtl w:val="0"/>
        </w:rPr>
        <w:t xml:space="preserve">Task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120" w:before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Відповідно до вимог задачі, класи еквівалентності та граничні значення  для досягнення 100% покриття</w:t>
      </w:r>
      <w:r w:rsidDel="00000000" w:rsidR="00000000" w:rsidRPr="00000000">
        <w:rPr>
          <w:rtl w:val="0"/>
        </w:rPr>
        <w:t xml:space="preserve"> будуть наступними:</w:t>
      </w:r>
    </w:p>
    <w:p w:rsidR="00000000" w:rsidDel="00000000" w:rsidP="00000000" w:rsidRDefault="00000000" w:rsidRPr="00000000" w14:paraId="00000028">
      <w:pPr>
        <w:spacing w:after="120" w:before="120" w:line="240" w:lineRule="auto"/>
        <w:ind w:left="0" w:firstLine="425.19685039370086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Клас еквівалентності: від 0 до 1000 кроків (включно).</w:t>
      </w:r>
    </w:p>
    <w:p w:rsidR="00000000" w:rsidDel="00000000" w:rsidP="00000000" w:rsidRDefault="00000000" w:rsidRPr="00000000" w14:paraId="00000029">
      <w:pPr>
        <w:spacing w:after="120" w:before="120" w:line="240" w:lineRule="auto"/>
        <w:ind w:left="0" w:firstLine="425.19685039370086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Клас еквівалентності: більше 1000 до 2000 (включно).</w:t>
      </w:r>
    </w:p>
    <w:p w:rsidR="00000000" w:rsidDel="00000000" w:rsidP="00000000" w:rsidRDefault="00000000" w:rsidRPr="00000000" w14:paraId="0000002A">
      <w:pPr>
        <w:spacing w:after="120" w:before="120" w:line="240" w:lineRule="auto"/>
        <w:ind w:left="0" w:firstLine="425.19685039370086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Клас еквівалентності: більше 2000 до 4000 (включно).</w:t>
      </w:r>
    </w:p>
    <w:p w:rsidR="00000000" w:rsidDel="00000000" w:rsidP="00000000" w:rsidRDefault="00000000" w:rsidRPr="00000000" w14:paraId="0000002B">
      <w:pPr>
        <w:spacing w:after="120" w:before="120" w:line="240" w:lineRule="auto"/>
        <w:ind w:left="0" w:firstLine="425.19685039370086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Клас еквівалентності: більше 4000 до 6000 (включно).</w:t>
      </w:r>
    </w:p>
    <w:p w:rsidR="00000000" w:rsidDel="00000000" w:rsidP="00000000" w:rsidRDefault="00000000" w:rsidRPr="00000000" w14:paraId="0000002C">
      <w:pPr>
        <w:spacing w:after="120" w:before="120" w:line="240" w:lineRule="auto"/>
        <w:ind w:left="0" w:firstLine="425.19685039370086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Клас еквівалентності: більше 6000.</w:t>
      </w:r>
    </w:p>
    <w:p w:rsidR="00000000" w:rsidDel="00000000" w:rsidP="00000000" w:rsidRDefault="00000000" w:rsidRPr="00000000" w14:paraId="0000002D">
      <w:pPr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Граничні значення: 0, 1000, 1001, 2000, 2001, 4000, 4001, 6000, 6001</w:t>
      </w:r>
    </w:p>
    <w:p w:rsidR="00000000" w:rsidDel="00000000" w:rsidP="00000000" w:rsidRDefault="00000000" w:rsidRPr="00000000" w14:paraId="0000002E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u w:val="single"/>
          <w:rtl w:val="0"/>
        </w:rPr>
        <w:t xml:space="preserve">Task 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Техніка граничних значень вимагає тестування на границях кожного діапазону. Згідно з умовами задачі маємо наступні діапазони:</w:t>
      </w:r>
    </w:p>
    <w:p w:rsidR="00000000" w:rsidDel="00000000" w:rsidP="00000000" w:rsidRDefault="00000000" w:rsidRPr="00000000" w14:paraId="00000031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1-49, 50-59, 60-69, 70-79, 80-89, 90-100.</w:t>
      </w:r>
    </w:p>
    <w:p w:rsidR="00000000" w:rsidDel="00000000" w:rsidP="00000000" w:rsidRDefault="00000000" w:rsidRPr="00000000" w14:paraId="00000032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Для кожного діапазону ми маємо два</w:t>
      </w:r>
    </w:p>
    <w:p w:rsidR="00000000" w:rsidDel="00000000" w:rsidP="00000000" w:rsidRDefault="00000000" w:rsidRPr="00000000" w14:paraId="00000033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Граничні значення для цих діапазонів будуть наступні:</w:t>
      </w:r>
    </w:p>
    <w:p w:rsidR="00000000" w:rsidDel="00000000" w:rsidP="00000000" w:rsidRDefault="00000000" w:rsidRPr="00000000" w14:paraId="00000034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0 (невалідне значення)</w:t>
      </w:r>
    </w:p>
    <w:p w:rsidR="00000000" w:rsidDel="00000000" w:rsidP="00000000" w:rsidRDefault="00000000" w:rsidRPr="00000000" w14:paraId="00000035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1, 49, 50, 59, 60, 69, 70, 79, 80, 89, 90, 100 (валідні значення)</w:t>
      </w:r>
    </w:p>
    <w:p w:rsidR="00000000" w:rsidDel="00000000" w:rsidP="00000000" w:rsidRDefault="00000000" w:rsidRPr="00000000" w14:paraId="00000036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101 (невалідне значення)</w:t>
      </w:r>
    </w:p>
    <w:p w:rsidR="00000000" w:rsidDel="00000000" w:rsidP="00000000" w:rsidRDefault="00000000" w:rsidRPr="00000000" w14:paraId="00000037">
      <w:pPr>
        <w:spacing w:after="120" w:before="12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Всього потрібно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14 тестів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для досягнення 100% покриття.</w:t>
      </w:r>
    </w:p>
    <w:p w:rsidR="00000000" w:rsidDel="00000000" w:rsidP="00000000" w:rsidRDefault="00000000" w:rsidRPr="00000000" w14:paraId="00000038">
      <w:pP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7.71653543307366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