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84F54" w:rsidRPr="00584F54" w:rsidRDefault="00584F54" w:rsidP="00584F54">
      <w:pPr>
        <w:bidi/>
      </w:pPr>
      <w:r w:rsidRPr="00584F54">
        <w:t xml:space="preserve">Tool Details - </w:t>
      </w:r>
      <w:proofErr w:type="spellStart"/>
      <w:r w:rsidRPr="00584F54">
        <w:t>GetAllocationPolicy</w:t>
      </w:r>
      <w:bookmarkStart w:id="0" w:name="_GoBack"/>
      <w:bookmarkEnd w:id="0"/>
      <w:proofErr w:type="spellEnd"/>
    </w:p>
    <w:p w:rsidR="00584F54" w:rsidRPr="00584F54" w:rsidRDefault="00584F54" w:rsidP="00584F54">
      <w:pPr>
        <w:bidi/>
        <w:rPr>
          <w:rFonts w:hint="cs"/>
          <w:rtl/>
        </w:rPr>
      </w:pPr>
      <w:r w:rsidRPr="00584F54">
        <mc:AlternateContent>
          <mc:Choice Requires="wps">
            <w:drawing>
              <wp:inline distT="0" distB="0" distL="0" distR="0">
                <wp:extent cx="5963339" cy="306705"/>
                <wp:effectExtent l="0" t="0" r="0" b="0"/>
                <wp:docPr id="1" name="מלבן 1" descr="https://portal.plan-t.org.il/Design/New2/popup/src/img/close-ico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63339"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84F54" w:rsidRPr="00584F54" w:rsidRDefault="00584F54" w:rsidP="00584F54">
                            <w:pPr>
                              <w:jc w:val="center"/>
                            </w:pPr>
                            <w:r w:rsidRPr="00584F54">
                              <w:rPr>
                                <w:rtl/>
                              </w:rPr>
                              <w:t>עריכת גרסה</w:t>
                            </w:r>
                            <w:r w:rsidRPr="00584F54">
                              <w:t xml:space="preserve"> - AllocationPolicyUpdateAgent@v6d79452e-70b0-44c9-838f-3a0a8f2410f7</w:t>
                            </w:r>
                          </w:p>
                          <w:p w:rsidR="00584F54" w:rsidRDefault="00584F54" w:rsidP="00584F54">
                            <w:pPr>
                              <w:jc w:val="center"/>
                            </w:pPr>
                          </w:p>
                        </w:txbxContent>
                      </wps:txbx>
                      <wps:bodyPr rot="0" vert="horz" wrap="square" lIns="91440" tIns="45720" rIns="91440" bIns="45720" anchor="t" anchorCtr="0" upright="1">
                        <a:noAutofit/>
                      </wps:bodyPr>
                    </wps:wsp>
                  </a:graphicData>
                </a:graphic>
              </wp:inline>
            </w:drawing>
          </mc:Choice>
          <mc:Fallback>
            <w:pict>
              <v:rect id="מלבן 1" o:spid="_x0000_s1026" alt="https://portal.plan-t.org.il/Design/New2/popup/src/img/close-icon.svg" style="width:469.5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" filled="f" stroked="f">
                <o:lock v:ext="edit" aspectratio="t"/>
                <v:textbox>
                  <w:txbxContent>
                    <w:p w:rsidR="00584F54" w:rsidRPr="00584F54" w:rsidRDefault="00584F54" w:rsidP="00584F54">
                      <w:pPr>
                        <w:jc w:val="center"/>
                      </w:pPr>
                      <w:r w:rsidRPr="00584F54">
                        <w:rPr>
                          <w:rtl/>
                        </w:rPr>
                        <w:t>עריכת גרסה</w:t>
                      </w:r>
                      <w:r w:rsidRPr="00584F54">
                        <w:t xml:space="preserve"> - AllocationPolicyUpdateAgent@v6d79452e-70b0-44c9-838f-3a0a8f2410f7</w:t>
                      </w:r>
                    </w:p>
                    <w:p w:rsidR="00584F54" w:rsidRDefault="00584F54" w:rsidP="00584F54">
                      <w:pPr>
                        <w:jc w:val="center"/>
                      </w:pPr>
                    </w:p>
                  </w:txbxContent>
                </v:textbox>
                <w10:wrap anchorx="page"/>
                <w10:anchorlock/>
              </v:rect>
            </w:pict>
          </mc:Fallback>
        </mc:AlternateContent>
      </w:r>
    </w:p>
    <w:p w:rsidR="00584F54" w:rsidRPr="00584F54" w:rsidRDefault="00584F54" w:rsidP="00584F54">
      <w:pPr>
        <w:bidi/>
      </w:pPr>
      <w:r w:rsidRPr="00584F54">
        <w:rPr>
          <w:b/>
          <w:bCs/>
          <w:rtl/>
        </w:rPr>
        <w:t>שם</w:t>
      </w:r>
      <w:r w:rsidRPr="00584F54">
        <w:rPr>
          <w:b/>
          <w:bCs/>
        </w:rPr>
        <w:t>:</w:t>
      </w:r>
      <w:r w:rsidRPr="00584F54">
        <w:t xml:space="preserve"> </w:t>
      </w:r>
      <w:proofErr w:type="spellStart"/>
      <w:r w:rsidRPr="00584F54">
        <w:t>GetAllocationPolicy</w:t>
      </w:r>
      <w:proofErr w:type="spellEnd"/>
    </w:p>
    <w:p w:rsidR="00584F54" w:rsidRPr="00584F54" w:rsidRDefault="00584F54" w:rsidP="00584F54">
      <w:pPr>
        <w:bidi/>
      </w:pPr>
      <w:r w:rsidRPr="00584F54">
        <w:rPr>
          <w:b/>
          <w:bCs/>
          <w:rtl/>
        </w:rPr>
        <w:t>מזהה</w:t>
      </w:r>
      <w:r w:rsidRPr="00584F54">
        <w:rPr>
          <w:b/>
          <w:bCs/>
        </w:rPr>
        <w:t>:</w:t>
      </w:r>
      <w:r w:rsidRPr="00584F54">
        <w:t xml:space="preserve"> </w:t>
      </w:r>
      <w:proofErr w:type="spellStart"/>
      <w:r w:rsidRPr="00584F54">
        <w:t>Ofek.AIAssistantTools.GetAllocationPolicyTool</w:t>
      </w:r>
      <w:proofErr w:type="spellEnd"/>
    </w:p>
    <w:p w:rsidR="00584F54" w:rsidRPr="00584F54" w:rsidRDefault="00584F54" w:rsidP="00584F54">
      <w:pPr>
        <w:bidi/>
      </w:pPr>
      <w:r w:rsidRPr="00584F54">
        <w:rPr>
          <w:b/>
          <w:bCs/>
          <w:rtl/>
        </w:rPr>
        <w:t>תיאור (מהקוד)</w:t>
      </w:r>
      <w:r w:rsidRPr="00584F54">
        <w:rPr>
          <w:b/>
          <w:bCs/>
        </w:rPr>
        <w:t>:</w:t>
      </w:r>
      <w:r w:rsidRPr="00584F54">
        <w:t xml:space="preserve"> </w:t>
      </w:r>
      <w:r w:rsidRPr="00584F54">
        <w:rPr>
          <w:rtl/>
        </w:rPr>
        <w:t xml:space="preserve">מחזיר את מדיניות </w:t>
      </w:r>
      <w:proofErr w:type="spellStart"/>
      <w:r w:rsidRPr="00584F54">
        <w:rPr>
          <w:rtl/>
        </w:rPr>
        <w:t>האלוקציה</w:t>
      </w:r>
      <w:proofErr w:type="spellEnd"/>
      <w:r w:rsidRPr="00584F54">
        <w:rPr>
          <w:rtl/>
        </w:rPr>
        <w:t xml:space="preserve"> והחשיפות המלאה של המשרד/יועץ: כל 5 </w:t>
      </w:r>
      <w:proofErr w:type="spellStart"/>
      <w:r w:rsidRPr="00584F54">
        <w:rPr>
          <w:rtl/>
        </w:rPr>
        <w:t>פרופילי</w:t>
      </w:r>
      <w:proofErr w:type="spellEnd"/>
      <w:r w:rsidRPr="00584F54">
        <w:rPr>
          <w:rtl/>
        </w:rPr>
        <w:t xml:space="preserve"> הסיכון בקריאה אחת - פילוח הנכסים המומלץ (שוק ההון, אלטרנטיבי, נדלן ללא מגורים, מזומנים) וטווחי החשיפה המותרים לכל מרכיב. זהו הקלט לעדכון/בחינה של מדיניות </w:t>
      </w:r>
      <w:proofErr w:type="spellStart"/>
      <w:r w:rsidRPr="00584F54">
        <w:rPr>
          <w:rtl/>
        </w:rPr>
        <w:t>האלוקציה</w:t>
      </w:r>
      <w:proofErr w:type="spellEnd"/>
      <w:r w:rsidRPr="00584F54">
        <w:rPr>
          <w:rtl/>
        </w:rPr>
        <w:t>. יש לקרוא לו פעם אחת בלבד</w:t>
      </w:r>
      <w:r w:rsidRPr="00584F54">
        <w:t>.</w:t>
      </w:r>
    </w:p>
    <w:p w:rsidR="00584F54" w:rsidRPr="00584F54" w:rsidRDefault="00584F54" w:rsidP="00584F54">
      <w:pPr>
        <w:bidi/>
      </w:pPr>
      <w:r w:rsidRPr="00584F54">
        <w:rPr>
          <w:rtl/>
        </w:rPr>
        <w:t>תוספת לתיאור</w:t>
      </w:r>
      <w:r w:rsidRPr="00584F54">
        <w:t xml:space="preserve"> (</w:t>
      </w:r>
      <w:r w:rsidRPr="00584F54">
        <w:rPr>
          <w:rtl/>
        </w:rPr>
        <w:t>מתווספת לטקסט של המפתח בשליחה ל</w:t>
      </w:r>
      <w:r w:rsidRPr="00584F54">
        <w:t>-LLM):</w:t>
      </w:r>
    </w:p>
    <w:p w:rsidR="00584F54" w:rsidRDefault="00584F54" w:rsidP="00584F54">
      <w:pPr>
        <w:bidi/>
      </w:pPr>
      <w:r>
        <w:rPr>
          <w:rFonts w:cs="Arial"/>
          <w:rtl/>
        </w:rPr>
        <w:t xml:space="preserve">הנתונים מייצגים את מדיניות היעד הקיימת ואת גבולותיה, ולא את </w:t>
      </w:r>
      <w:proofErr w:type="spellStart"/>
      <w:r>
        <w:rPr>
          <w:rFonts w:cs="Arial"/>
          <w:rtl/>
        </w:rPr>
        <w:t>ההחזקות</w:t>
      </w:r>
      <w:proofErr w:type="spellEnd"/>
      <w:r>
        <w:rPr>
          <w:rFonts w:cs="Arial"/>
          <w:rtl/>
        </w:rPr>
        <w:t xml:space="preserve"> או החשיפות שנמדדו בפועל בתיק לקוח. השליפה אינה משנה, שומרת או מאשרת מדיניות; בדיקות, השוואות והצעות לשינוי מבוצעות על ידי הסוכן בהתאם למשימתו.</w:t>
      </w:r>
    </w:p>
    <w:p w:rsidR="00584F54" w:rsidRDefault="00584F54" w:rsidP="00584F54">
      <w:pPr>
        <w:bidi/>
      </w:pPr>
    </w:p>
    <w:p w:rsidR="00584F54" w:rsidRDefault="00584F54" w:rsidP="00584F54">
      <w:pPr>
        <w:bidi/>
      </w:pPr>
      <w:r>
        <w:rPr>
          <w:rFonts w:cs="Arial"/>
          <w:rtl/>
        </w:rPr>
        <w:t>שייך כל נתון לפרופיל ולרכיב שאליהם הוא שייך. זיהוי והתאמה נעשים באמצעות הקודים שהוחזרו, ולא באמצעות מיקום במערך או דמיון בין שמות. שמור את שמות התצוגה כפי שהתקבלו, לרבות מיסוך תקין.</w:t>
      </w:r>
    </w:p>
    <w:p w:rsidR="00584F54" w:rsidRDefault="00584F54" w:rsidP="00584F54">
      <w:pPr>
        <w:bidi/>
      </w:pPr>
    </w:p>
    <w:p w:rsidR="001F4599" w:rsidRDefault="00584F54" w:rsidP="00584F54">
      <w:pPr>
        <w:bidi/>
        <w:rPr>
          <w:rtl/>
        </w:rPr>
      </w:pPr>
      <w:r>
        <w:rPr>
          <w:rFonts w:cs="Arial"/>
          <w:rtl/>
        </w:rPr>
        <w:t>הבחן בין ערך אפס לבין נתון חסר, נתון שלא הוחזר וכשל בשליפה. אין להשלים ערכי מדיניות או גבולות שלא התקבלו.</w:t>
      </w:r>
    </w:p>
    <w:p w:rsidR="00584F54" w:rsidRDefault="00584F54" w:rsidP="00584F54">
      <w:pPr>
        <w:bidi/>
        <w:rPr>
          <w:rtl/>
        </w:rPr>
      </w:pPr>
    </w:p>
    <w:p w:rsidR="00584F54" w:rsidRDefault="00584F54" w:rsidP="00584F54">
      <w:pPr>
        <w:bidi/>
      </w:pPr>
      <w:r>
        <w:rPr>
          <w:rFonts w:ascii="Heebo" w:hAnsi="Heebo"/>
          <w:b/>
          <w:bCs/>
          <w:color w:val="333333"/>
          <w:sz w:val="21"/>
          <w:szCs w:val="21"/>
          <w:shd w:val="clear" w:color="auto" w:fill="FFFFFF"/>
          <w:rtl/>
        </w:rPr>
        <w:t>תוספת לתיאור בסוכן זה (מתווספת אחרי תוספת הכלי, בגרסה זו בלבד)</w:t>
      </w:r>
      <w:r>
        <w:rPr>
          <w:rFonts w:ascii="Heebo" w:hAnsi="Heebo"/>
          <w:b/>
          <w:bCs/>
          <w:color w:val="333333"/>
          <w:sz w:val="21"/>
          <w:szCs w:val="21"/>
          <w:shd w:val="clear" w:color="auto" w:fill="FFFFFF"/>
        </w:rPr>
        <w:t>:</w:t>
      </w:r>
      <w:r>
        <w:rPr>
          <w:rtl/>
        </w:rPr>
        <w:br/>
      </w:r>
      <w:r>
        <w:rPr>
          <w:rtl/>
        </w:rPr>
        <w:br/>
      </w:r>
      <w:r>
        <w:rPr>
          <w:rFonts w:cs="Arial"/>
          <w:rtl/>
        </w:rPr>
        <w:t>בדוק את תקינות מבנה המדיניות לפני מחקר וחישוב הצעה: בדיוק חמישה פרופילים בקודים 1 עד 5, כל קוד פעם אחת וללא פרופיל נוסף, ולכל פרופיל שם, פילוח וטווחי חשיפה.</w:t>
      </w:r>
    </w:p>
    <w:p w:rsidR="00584F54" w:rsidRDefault="00584F54" w:rsidP="00584F54">
      <w:pPr>
        <w:bidi/>
      </w:pPr>
    </w:p>
    <w:p w:rsidR="00584F54" w:rsidRDefault="00584F54" w:rsidP="00584F54">
      <w:pPr>
        <w:bidi/>
      </w:pPr>
      <w:r>
        <w:rPr>
          <w:rFonts w:cs="Arial"/>
          <w:rtl/>
        </w:rPr>
        <w:t xml:space="preserve">בכל פילוח נדרשת רשומה יחידה לכל אחד מארבעת הרכיבים המתועדים, ללא רכיב נוסף או כפילות, וסכום הערכים בדיוק 100. ערכי </w:t>
      </w:r>
      <w:r>
        <w:t>Value</w:t>
      </w:r>
      <w:r>
        <w:rPr>
          <w:rFonts w:cs="Arial"/>
          <w:rtl/>
        </w:rPr>
        <w:t xml:space="preserve"> וערכי </w:t>
      </w:r>
      <w:r>
        <w:t>Min</w:t>
      </w:r>
      <w:r>
        <w:rPr>
          <w:rFonts w:cs="Arial"/>
          <w:rtl/>
        </w:rPr>
        <w:t xml:space="preserve"> ו-</w:t>
      </w:r>
      <w:r>
        <w:t>Max</w:t>
      </w:r>
      <w:r>
        <w:rPr>
          <w:rFonts w:cs="Arial"/>
          <w:rtl/>
        </w:rPr>
        <w:t xml:space="preserve"> הנדרשים לחישוב חייבים להיות מספרים סופיים בתחום 0–100; אין להמיר מחרוזות, ערכים ממוסכים או ערכים בוליאניים למספרים. בכל טווח נדרש </w:t>
      </w:r>
      <w:r>
        <w:t>Min</w:t>
      </w:r>
      <w:r>
        <w:rPr>
          <w:rFonts w:cs="Arial"/>
          <w:rtl/>
        </w:rPr>
        <w:t xml:space="preserve"> אינו גדול מ-</w:t>
      </w:r>
      <w:r>
        <w:t>Max</w:t>
      </w:r>
      <w:r>
        <w:rPr>
          <w:rFonts w:cs="Arial"/>
          <w:rtl/>
        </w:rPr>
        <w:t>.</w:t>
      </w:r>
    </w:p>
    <w:p w:rsidR="00584F54" w:rsidRDefault="00584F54" w:rsidP="00584F54">
      <w:pPr>
        <w:bidi/>
      </w:pPr>
    </w:p>
    <w:p w:rsidR="00584F54" w:rsidRDefault="00584F54" w:rsidP="00584F54">
      <w:pPr>
        <w:bidi/>
      </w:pPr>
      <w:r>
        <w:rPr>
          <w:rFonts w:cs="Arial"/>
          <w:rtl/>
        </w:rPr>
        <w:t xml:space="preserve">לצורך חישוב ההצעה בלבד, מפה </w:t>
      </w:r>
      <w:r>
        <w:t>equity</w:t>
      </w:r>
      <w:r>
        <w:rPr>
          <w:rFonts w:cs="Arial"/>
          <w:rtl/>
        </w:rPr>
        <w:t xml:space="preserve"> לטווח </w:t>
      </w:r>
      <w:r>
        <w:t>equity, alternative</w:t>
      </w:r>
      <w:r>
        <w:rPr>
          <w:rFonts w:cs="Arial"/>
          <w:rtl/>
        </w:rPr>
        <w:t xml:space="preserve"> לטווח </w:t>
      </w:r>
      <w:r>
        <w:t xml:space="preserve">alternative, </w:t>
      </w:r>
      <w:proofErr w:type="spellStart"/>
      <w:r>
        <w:t>realEstate</w:t>
      </w:r>
      <w:proofErr w:type="spellEnd"/>
      <w:r>
        <w:rPr>
          <w:rFonts w:cs="Arial"/>
          <w:rtl/>
        </w:rPr>
        <w:t xml:space="preserve"> לטווח </w:t>
      </w:r>
      <w:proofErr w:type="spellStart"/>
      <w:r>
        <w:t>realEstate</w:t>
      </w:r>
      <w:proofErr w:type="spellEnd"/>
      <w:r>
        <w:rPr>
          <w:rFonts w:cs="Arial"/>
          <w:rtl/>
        </w:rPr>
        <w:t>, ו-</w:t>
      </w:r>
      <w:r>
        <w:t>cash</w:t>
      </w:r>
      <w:r>
        <w:rPr>
          <w:rFonts w:cs="Arial"/>
          <w:rtl/>
        </w:rPr>
        <w:t xml:space="preserve"> לטווח </w:t>
      </w:r>
      <w:proofErr w:type="spellStart"/>
      <w:r>
        <w:t>cashExp</w:t>
      </w:r>
      <w:proofErr w:type="spellEnd"/>
      <w:r>
        <w:rPr>
          <w:rFonts w:cs="Arial"/>
          <w:rtl/>
        </w:rPr>
        <w:t xml:space="preserve">. עבור </w:t>
      </w:r>
      <w:r>
        <w:t>cash</w:t>
      </w:r>
      <w:r>
        <w:rPr>
          <w:rFonts w:cs="Arial"/>
          <w:rtl/>
        </w:rPr>
        <w:t xml:space="preserve"> שבפילוח, גבולות החישוב הם ערכי </w:t>
      </w:r>
      <w:r>
        <w:t>Min</w:t>
      </w:r>
      <w:r>
        <w:rPr>
          <w:rFonts w:cs="Arial"/>
          <w:rtl/>
        </w:rPr>
        <w:t xml:space="preserve"> ו-</w:t>
      </w:r>
      <w:r>
        <w:t>Max</w:t>
      </w:r>
      <w:r>
        <w:rPr>
          <w:rFonts w:cs="Arial"/>
          <w:rtl/>
        </w:rPr>
        <w:t xml:space="preserve"> שהוחזרו ברשומת </w:t>
      </w:r>
      <w:proofErr w:type="spellStart"/>
      <w:r>
        <w:t>cashExp</w:t>
      </w:r>
      <w:proofErr w:type="spellEnd"/>
      <w:r>
        <w:rPr>
          <w:rFonts w:cs="Arial"/>
          <w:rtl/>
        </w:rPr>
        <w:t xml:space="preserve"> של אותו פרופיל. זהו מיפוי חישובי מפורש של הסוכן, ואינו קביעה שהשדות </w:t>
      </w:r>
      <w:r>
        <w:t>cash</w:t>
      </w:r>
      <w:r>
        <w:rPr>
          <w:rFonts w:cs="Arial"/>
          <w:rtl/>
        </w:rPr>
        <w:t xml:space="preserve"> ו-</w:t>
      </w:r>
      <w:proofErr w:type="spellStart"/>
      <w:r>
        <w:t>cashExp</w:t>
      </w:r>
      <w:proofErr w:type="spellEnd"/>
      <w:r>
        <w:rPr>
          <w:rFonts w:cs="Arial"/>
          <w:rtl/>
        </w:rPr>
        <w:t xml:space="preserve"> זהים או ניתנים להחלפה בנתוני המקור. אין לדרוש רשומת חשיפה נוספת בקוד </w:t>
      </w:r>
      <w:r>
        <w:t>cash</w:t>
      </w:r>
      <w:r>
        <w:rPr>
          <w:rFonts w:cs="Arial"/>
          <w:rtl/>
        </w:rPr>
        <w:t xml:space="preserve">; היעדרה אינו פגם מבני כאשר קיימת רשומת </w:t>
      </w:r>
      <w:proofErr w:type="spellStart"/>
      <w:r>
        <w:t>cashExp</w:t>
      </w:r>
      <w:proofErr w:type="spellEnd"/>
      <w:r>
        <w:rPr>
          <w:rFonts w:cs="Arial"/>
          <w:rtl/>
        </w:rPr>
        <w:t xml:space="preserve"> יחידה ותקינה. דרוש רשומה יחידה לכל קוד חשיפה המשמש במיפוי; אין לבחור בין כפילויות או למזג אותן. אם </w:t>
      </w:r>
      <w:proofErr w:type="spellStart"/>
      <w:r>
        <w:t>cashExp</w:t>
      </w:r>
      <w:proofErr w:type="spellEnd"/>
      <w:r>
        <w:rPr>
          <w:rFonts w:cs="Arial"/>
          <w:rtl/>
        </w:rPr>
        <w:t xml:space="preserve"> חסר, כפול או אינו עומד </w:t>
      </w:r>
      <w:r>
        <w:rPr>
          <w:rFonts w:cs="Arial"/>
          <w:rtl/>
        </w:rPr>
        <w:lastRenderedPageBreak/>
        <w:t>בבדיקות התקינות שלעיל, זהו פגם מבני ואין להשלים לו גבולות בהשערה. אין להשתמש ב-</w:t>
      </w:r>
      <w:r>
        <w:t xml:space="preserve">risk, abroad, </w:t>
      </w:r>
      <w:proofErr w:type="spellStart"/>
      <w:r>
        <w:t>fx</w:t>
      </w:r>
      <w:proofErr w:type="spellEnd"/>
      <w:r>
        <w:rPr>
          <w:rFonts w:cs="Arial"/>
          <w:rtl/>
        </w:rPr>
        <w:t xml:space="preserve"> או </w:t>
      </w:r>
      <w:proofErr w:type="spellStart"/>
      <w:r>
        <w:t>cashHold</w:t>
      </w:r>
      <w:proofErr w:type="spellEnd"/>
      <w:r>
        <w:rPr>
          <w:rFonts w:cs="Arial"/>
          <w:rtl/>
        </w:rPr>
        <w:t xml:space="preserve"> לחישוב הפילוח.</w:t>
      </w:r>
    </w:p>
    <w:p w:rsidR="00584F54" w:rsidRDefault="00584F54" w:rsidP="00584F54">
      <w:pPr>
        <w:bidi/>
      </w:pPr>
    </w:p>
    <w:p w:rsidR="00584F54" w:rsidRDefault="00584F54" w:rsidP="00584F54">
      <w:pPr>
        <w:bidi/>
      </w:pPr>
      <w:r>
        <w:rPr>
          <w:rFonts w:cs="Arial"/>
          <w:rtl/>
        </w:rPr>
        <w:t>הבחן בין פגם במבנה הנתונים לבין חריגה של ערך קיים מטווח ממופה. חריגה קיימת אינה פגם במבנה הנתונים, אינה מונעת מחקר ואינה פוסלת את הפרופיל מראש מבחינת הצעה, גם אם כל חמשת הפרופילים חורגים. שמור את הערכים המקוריים כפי שהתקבלו וסמן את החריגות לבדיקה.</w:t>
      </w:r>
    </w:p>
    <w:p w:rsidR="00584F54" w:rsidRDefault="00584F54" w:rsidP="00584F54">
      <w:pPr>
        <w:bidi/>
      </w:pPr>
    </w:p>
    <w:p w:rsidR="00584F54" w:rsidRDefault="00584F54" w:rsidP="00584F54">
      <w:pPr>
        <w:bidi/>
      </w:pPr>
      <w:r>
        <w:rPr>
          <w:rFonts w:cs="Arial"/>
          <w:rtl/>
        </w:rPr>
        <w:t xml:space="preserve">הגבולות נשארים קבועים; אין להציע שינוי בטווחי החשיפה. ניתן להציע שינוי בפרופיל חורג רק לפי המחקר המאומת וכללי החישוב </w:t>
      </w:r>
      <w:proofErr w:type="spellStart"/>
      <w:r>
        <w:rPr>
          <w:rFonts w:cs="Arial"/>
          <w:rtl/>
        </w:rPr>
        <w:t>שבפרומפט</w:t>
      </w:r>
      <w:proofErr w:type="spellEnd"/>
      <w:r>
        <w:rPr>
          <w:rFonts w:cs="Arial"/>
          <w:rtl/>
        </w:rPr>
        <w:t xml:space="preserve"> הסוכן. ההצעה הסופית לאותו פרופיל חייבת להביא את כל ארבעת רכיביו לתוך הטווחים הממופים, לרבות רכיבים שלא שונו, ולעמוד בכל יתר בדיקות ההצעה. שיפור חלקי שמשאיר חריגה אינו הצעה תקפה.</w:t>
      </w:r>
    </w:p>
    <w:p w:rsidR="00584F54" w:rsidRDefault="00584F54" w:rsidP="00584F54">
      <w:pPr>
        <w:bidi/>
      </w:pPr>
    </w:p>
    <w:p w:rsidR="00584F54" w:rsidRPr="00584F54" w:rsidRDefault="00584F54" w:rsidP="00584F54">
      <w:pPr>
        <w:bidi/>
        <w:rPr>
          <w:rFonts w:hint="cs"/>
          <w:rtl/>
        </w:rPr>
      </w:pPr>
      <w:r>
        <w:rPr>
          <w:rFonts w:cs="Arial"/>
          <w:rtl/>
        </w:rPr>
        <w:t>חריגה כשלעצמה אינה ביסוס לשינוי, להשלמת משקל או לעקיפת ספי המחקר. אם לא חושבה חבילה תקפה, השאר את הפרופיל בערכיו המקוריים וציין את המגבלה. פרופיל שלא השתנה משתתף בבדיקת הסדר בין הפרופילים, אך אין להציג חריגה שנותרה בו כאילו תוקנה. השליפה ובדיקת התקינות אינן מתירות שינוי או שמירה של נתוני המקור.</w:t>
      </w:r>
      <w:r>
        <w:rPr>
          <w:rFonts w:cs="Arial"/>
          <w:rtl/>
        </w:rPr>
        <w:br/>
      </w:r>
      <w:r>
        <w:rPr>
          <w:rFonts w:cs="Arial"/>
          <w:rtl/>
        </w:rPr>
        <w:br/>
      </w:r>
      <w:r>
        <w:rPr>
          <w:rFonts w:ascii="Heebo" w:hAnsi="Heebo"/>
          <w:b/>
          <w:bCs/>
          <w:color w:val="333333"/>
          <w:sz w:val="21"/>
          <w:szCs w:val="21"/>
          <w:shd w:val="clear" w:color="auto" w:fill="FFFFFF"/>
          <w:rtl/>
        </w:rPr>
        <w:t>פרמטרים</w:t>
      </w:r>
      <w:r>
        <w:rPr>
          <w:rFonts w:ascii="Heebo" w:hAnsi="Heebo"/>
          <w:b/>
          <w:bCs/>
          <w:color w:val="333333"/>
          <w:sz w:val="21"/>
          <w:szCs w:val="21"/>
          <w:shd w:val="clear" w:color="auto" w:fill="FFFFFF"/>
        </w:rPr>
        <w:t xml:space="preserve"> (Input)</w:t>
      </w:r>
      <w:r>
        <w:rPr>
          <w:rFonts w:ascii="Heebo" w:hAnsi="Heebo"/>
          <w:b/>
          <w:bCs/>
          <w:color w:val="333333"/>
          <w:sz w:val="21"/>
          <w:szCs w:val="21"/>
          <w:shd w:val="clear" w:color="auto" w:fill="FFFFFF"/>
          <w:rtl/>
        </w:rPr>
        <w:br/>
      </w:r>
      <w:r>
        <w:rPr>
          <w:rFonts w:ascii="Heebo" w:hAnsi="Heebo"/>
          <w:b/>
          <w:bCs/>
          <w:color w:val="333333"/>
          <w:sz w:val="21"/>
          <w:szCs w:val="21"/>
          <w:shd w:val="clear" w:color="auto" w:fill="FFFFFF"/>
          <w:rtl/>
        </w:rPr>
        <w:br/>
      </w:r>
    </w:p>
    <w:sectPr w:rsidR="00584F54" w:rsidRPr="00584F5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ebo">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F54"/>
    <w:rsid w:val="00584F54"/>
    <w:rsid w:val="00947A16"/>
    <w:rsid w:val="00C1564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E15DD"/>
  <w15:chartTrackingRefBased/>
  <w15:docId w15:val="{D3210C97-3E72-431A-A6A8-206B6C24E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0187638">
      <w:bodyDiv w:val="1"/>
      <w:marLeft w:val="0"/>
      <w:marRight w:val="0"/>
      <w:marTop w:val="0"/>
      <w:marBottom w:val="0"/>
      <w:divBdr>
        <w:top w:val="none" w:sz="0" w:space="0" w:color="auto"/>
        <w:left w:val="none" w:sz="0" w:space="0" w:color="auto"/>
        <w:bottom w:val="none" w:sz="0" w:space="0" w:color="auto"/>
        <w:right w:val="none" w:sz="0" w:space="0" w:color="auto"/>
      </w:divBdr>
      <w:divsChild>
        <w:div w:id="1999385873">
          <w:marLeft w:val="0"/>
          <w:marRight w:val="0"/>
          <w:marTop w:val="0"/>
          <w:marBottom w:val="0"/>
          <w:divBdr>
            <w:top w:val="none" w:sz="0" w:space="0" w:color="auto"/>
            <w:left w:val="none" w:sz="0" w:space="0" w:color="auto"/>
            <w:bottom w:val="none" w:sz="0" w:space="0" w:color="auto"/>
            <w:right w:val="none" w:sz="0" w:space="0" w:color="auto"/>
          </w:divBdr>
          <w:divsChild>
            <w:div w:id="817188926">
              <w:marLeft w:val="0"/>
              <w:marRight w:val="0"/>
              <w:marTop w:val="0"/>
              <w:marBottom w:val="0"/>
              <w:divBdr>
                <w:top w:val="none" w:sz="0" w:space="0" w:color="auto"/>
                <w:left w:val="none" w:sz="0" w:space="0" w:color="auto"/>
                <w:bottom w:val="none" w:sz="0" w:space="0" w:color="auto"/>
                <w:right w:val="none" w:sz="0" w:space="0" w:color="auto"/>
              </w:divBdr>
            </w:div>
          </w:divsChild>
        </w:div>
        <w:div w:id="454831882">
          <w:marLeft w:val="0"/>
          <w:marRight w:val="0"/>
          <w:marTop w:val="0"/>
          <w:marBottom w:val="0"/>
          <w:divBdr>
            <w:top w:val="none" w:sz="0" w:space="0" w:color="auto"/>
            <w:left w:val="none" w:sz="0" w:space="0" w:color="auto"/>
            <w:bottom w:val="none" w:sz="0" w:space="0" w:color="auto"/>
            <w:right w:val="none" w:sz="0" w:space="0" w:color="auto"/>
          </w:divBdr>
          <w:divsChild>
            <w:div w:id="355741163">
              <w:marLeft w:val="0"/>
              <w:marRight w:val="0"/>
              <w:marTop w:val="0"/>
              <w:marBottom w:val="0"/>
              <w:divBdr>
                <w:top w:val="none" w:sz="0" w:space="0" w:color="auto"/>
                <w:left w:val="none" w:sz="0" w:space="0" w:color="auto"/>
                <w:bottom w:val="none" w:sz="0" w:space="0" w:color="auto"/>
                <w:right w:val="none" w:sz="0" w:space="0" w:color="auto"/>
              </w:divBdr>
              <w:divsChild>
                <w:div w:id="2068800142">
                  <w:marLeft w:val="0"/>
                  <w:marRight w:val="0"/>
                  <w:marTop w:val="0"/>
                  <w:marBottom w:val="0"/>
                  <w:divBdr>
                    <w:top w:val="none" w:sz="0" w:space="0" w:color="auto"/>
                    <w:left w:val="none" w:sz="0" w:space="0" w:color="auto"/>
                    <w:bottom w:val="none" w:sz="0" w:space="0" w:color="auto"/>
                    <w:right w:val="none" w:sz="0" w:space="0" w:color="auto"/>
                  </w:divBdr>
                  <w:divsChild>
                    <w:div w:id="803498118">
                      <w:marLeft w:val="0"/>
                      <w:marRight w:val="0"/>
                      <w:marTop w:val="0"/>
                      <w:marBottom w:val="180"/>
                      <w:divBdr>
                        <w:top w:val="none" w:sz="0" w:space="0" w:color="auto"/>
                        <w:left w:val="none" w:sz="0" w:space="0" w:color="auto"/>
                        <w:bottom w:val="none" w:sz="0" w:space="0" w:color="auto"/>
                        <w:right w:val="none" w:sz="0" w:space="0" w:color="auto"/>
                      </w:divBdr>
                      <w:divsChild>
                        <w:div w:id="1980261692">
                          <w:marLeft w:val="0"/>
                          <w:marRight w:val="0"/>
                          <w:marTop w:val="0"/>
                          <w:marBottom w:val="0"/>
                          <w:divBdr>
                            <w:top w:val="none" w:sz="0" w:space="0" w:color="auto"/>
                            <w:left w:val="none" w:sz="0" w:space="0" w:color="auto"/>
                            <w:bottom w:val="none" w:sz="0" w:space="0" w:color="auto"/>
                            <w:right w:val="none" w:sz="0" w:space="0" w:color="auto"/>
                          </w:divBdr>
                        </w:div>
                        <w:div w:id="1154294331">
                          <w:marLeft w:val="0"/>
                          <w:marRight w:val="0"/>
                          <w:marTop w:val="0"/>
                          <w:marBottom w:val="0"/>
                          <w:divBdr>
                            <w:top w:val="none" w:sz="0" w:space="0" w:color="auto"/>
                            <w:left w:val="none" w:sz="0" w:space="0" w:color="auto"/>
                            <w:bottom w:val="none" w:sz="0" w:space="0" w:color="auto"/>
                            <w:right w:val="none" w:sz="0" w:space="0" w:color="auto"/>
                          </w:divBdr>
                        </w:div>
                        <w:div w:id="895313074">
                          <w:marLeft w:val="0"/>
                          <w:marRight w:val="0"/>
                          <w:marTop w:val="0"/>
                          <w:marBottom w:val="0"/>
                          <w:divBdr>
                            <w:top w:val="none" w:sz="0" w:space="0" w:color="auto"/>
                            <w:left w:val="none" w:sz="0" w:space="0" w:color="auto"/>
                            <w:bottom w:val="none" w:sz="0" w:space="0" w:color="auto"/>
                            <w:right w:val="none" w:sz="0" w:space="0" w:color="auto"/>
                          </w:divBdr>
                        </w:div>
                        <w:div w:id="729233246">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8617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497</Words>
  <Characters>2488</Characters>
  <Application>Microsoft Office Word</Application>
  <DocSecurity>0</DocSecurity>
  <Lines>20</Lines>
  <Paragraphs>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 Koifman</dc:creator>
  <cp:keywords/>
  <dc:description/>
  <cp:lastModifiedBy>Natali Koifman</cp:lastModifiedBy>
  <cp:revision>1</cp:revision>
  <dcterms:created xsi:type="dcterms:W3CDTF">2026-10-20T12:08:00Z</dcterms:created>
  <dcterms:modified xsi:type="dcterms:W3CDTF">2026-10-20T12:15:00Z</dcterms:modified>
</cp:coreProperties>
</file>