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pPr>
      <w:r>
        <w:rPr>
          <w:rFonts w:ascii="Arial" w:cs="Arial" w:eastAsia="Arial" w:hAnsi="Arial"/>
          <w:b/>
          <w:bCs/>
          <w:color w:val="8FA3B5"/>
          <w:spacing w:val="40"/>
          <w:sz w:val="20"/>
          <w:szCs w:val="20"/>
        </w:rPr>
        <w:t xml:space="preserve">RESEARCH MEMO</w:t>
      </w:r>
    </w:p>
    <w:p>
      <w:pPr>
        <w:spacing w:before="0" w:after="160"/>
      </w:pPr>
      <w:r>
        <w:rPr>
          <w:rFonts w:ascii="Arial" w:cs="Arial" w:eastAsia="Arial" w:hAnsi="Arial"/>
          <w:b/>
          <w:bCs/>
          <w:color w:val="2C3A4A"/>
          <w:sz w:val="40"/>
          <w:szCs w:val="40"/>
        </w:rPr>
        <w:t xml:space="preserve">Corpus Exploration: Initial Findings from Merged Pipeline Data</w:t>
      </w:r>
    </w:p>
    <w:p>
      <w:pPr>
        <w:spacing w:before="0" w:after="240"/>
      </w:pPr>
      <w:r>
        <w:rPr>
          <w:rFonts w:ascii="Arial" w:cs="Arial" w:eastAsia="Arial" w:hAnsi="Arial"/>
          <w:i/>
          <w:iCs/>
          <w:color w:val="4A7FA5"/>
          <w:sz w:val="24"/>
          <w:szCs w:val="24"/>
        </w:rPr>
        <w:t xml:space="preserve">What the policy corpus looks like after Phase 1 and 2 pipeline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FA3B5"/>
                <w:sz w:val="20"/>
                <w:szCs w:val="20"/>
              </w:rPr>
              <w:t xml:space="preserve">To:</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3A4A"/>
                <w:sz w:val="20"/>
                <w:szCs w:val="20"/>
              </w:rPr>
              <w:t xml:space="preserve">Markus Luczak-Roesch and Alex Beattie</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FA3B5"/>
                <w:sz w:val="20"/>
                <w:szCs w:val="20"/>
              </w:rPr>
              <w:t xml:space="preserve">From:</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3A4A"/>
                <w:sz w:val="20"/>
                <w:szCs w:val="20"/>
              </w:rPr>
              <w:t xml:space="preserve">Natalia Albert</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FA3B5"/>
                <w:sz w:val="20"/>
                <w:szCs w:val="20"/>
              </w:rPr>
              <w:t xml:space="preserve">Date:</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3A4A"/>
                <w:sz w:val="20"/>
                <w:szCs w:val="20"/>
              </w:rPr>
              <w:t xml:space="preserve">February 2026</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FA3B5"/>
                <w:sz w:val="20"/>
                <w:szCs w:val="20"/>
              </w:rPr>
              <w:t xml:space="preserve">Re:</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3A4A"/>
                <w:sz w:val="20"/>
                <w:szCs w:val="20"/>
              </w:rPr>
              <w:t xml:space="preserve">Initial corpus exploration — merged term and metadata analysis</w:t>
            </w:r>
          </w:p>
        </w:tc>
      </w:tr>
      <w:tr>
        <w:tc>
          <w:tcPr>
            <w:tcW w:type="dxa" w:w="18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8FA3B5"/>
                <w:sz w:val="20"/>
                <w:szCs w:val="20"/>
              </w:rPr>
              <w:t xml:space="preserve">Pipeline stage:</w:t>
            </w:r>
          </w:p>
        </w:tc>
        <w:tc>
          <w:tcPr>
            <w:tcW w:type="dxa" w:w="756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2C3A4A"/>
                <w:sz w:val="20"/>
                <w:szCs w:val="20"/>
              </w:rPr>
              <w:t xml:space="preserve">Post Script 05 — first time term counts and document metadata are merged</w:t>
            </w:r>
          </w:p>
        </w:tc>
      </w:tr>
    </w:tbl>
    <w:p>
      <w:pPr>
        <w:pBdr>
          <w:bottom w:val="single" w:color="D6E2EE" w:sz="4"/>
        </w:pBdr>
        <w:spacing w:before="80" w:after="80"/>
      </w:pPr>
      <w:r>
        <w:rPr>
          <w:rFonts w:ascii="Arial" w:cs="Arial" w:eastAsia="Arial" w:hAnsi="Arial"/>
          <w:sz w:val="4"/>
          <w:szCs w:val="4"/>
        </w:rPr>
        <w:t xml:space="preserve"/>
      </w:r>
    </w:p>
    <w:p>
      <w:pPr>
        <w:pStyle w:val="Heading1"/>
        <w:pBdr>
          <w:bottom w:val="single" w:color="4A7FA5" w:sz="8"/>
        </w:pBdr>
        <w:spacing w:before="320" w:after="120"/>
      </w:pPr>
      <w:r>
        <w:rPr>
          <w:rFonts w:ascii="Arial" w:cs="Arial" w:eastAsia="Arial" w:hAnsi="Arial"/>
          <w:b/>
          <w:bCs/>
          <w:color w:val="2C3A4A"/>
          <w:sz w:val="28"/>
          <w:szCs w:val="28"/>
        </w:rPr>
        <w:t xml:space="preserve">1. Overview</w:t>
      </w:r>
    </w:p>
    <w:p>
      <w:pPr>
        <w:spacing w:before="0" w:after="160"/>
        <w:jc w:val="left"/>
      </w:pPr>
      <w:r>
        <w:rPr>
          <w:rFonts w:ascii="Arial" w:cs="Arial" w:eastAsia="Arial" w:hAnsi="Arial"/>
          <w:b w:val="false"/>
          <w:bCs w:val="false"/>
          <w:i w:val="false"/>
          <w:iCs w:val="false"/>
          <w:color w:val="2C3A4A"/>
          <w:sz w:val="22"/>
          <w:szCs w:val="22"/>
        </w:rPr>
        <w:t xml:space="preserve">This memo reports the initial findings from running the full Phase 1 and Phase 2 pipeline against the NZ housing policy corpus. Scripts 01–05 have now been successfully run, producing a merged dataset that links term frequency data to document metadata for the first time. The findings below are exploratory — they are intended to orient the team to what the corpus contains and flag methodological considerations before the variation testing phase begins.</w:t>
      </w:r>
    </w:p>
    <w:p>
      <w:pPr>
        <w:pStyle w:val="Heading1"/>
        <w:pBdr>
          <w:bottom w:val="single" w:color="4A7FA5" w:sz="8"/>
        </w:pBdr>
        <w:spacing w:before="320" w:after="120"/>
      </w:pPr>
      <w:r>
        <w:rPr>
          <w:rFonts w:ascii="Arial" w:cs="Arial" w:eastAsia="Arial" w:hAnsi="Arial"/>
          <w:b/>
          <w:bCs/>
          <w:color w:val="2C3A4A"/>
          <w:sz w:val="28"/>
          <w:szCs w:val="28"/>
        </w:rPr>
        <w:t xml:space="preserve">2. Corpus Summary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4320"/>
      </w:tblGrid>
      <w:tr>
        <w:tc>
          <w:tcPr>
            <w:tcW w:type="dxa" w:w="5040"/>
            <w:tcBorders>
              <w:top w:val="single" w:color="D6E2EE" w:sz="1"/>
              <w:left w:val="single" w:color="D6E2EE" w:sz="1"/>
              <w:bottom w:val="single" w:color="D6E2EE" w:sz="1"/>
              <w:right w:val="single" w:color="D6E2EE" w:sz="1"/>
            </w:tcBorders>
            <w:shd w:fill="EBF3F9" w:val="clear"/>
            <w:tcMar>
              <w:top w:type="dxa" w:w="80"/>
              <w:left w:type="dxa" w:w="120"/>
              <w:bottom w:type="dxa" w:w="80"/>
              <w:right w:type="dxa" w:w="120"/>
            </w:tcMar>
          </w:tcPr>
          <w:p>
            <w:r>
              <w:rPr>
                <w:rFonts w:ascii="Arial" w:cs="Arial" w:eastAsia="Arial" w:hAnsi="Arial"/>
                <w:b/>
                <w:bCs/>
                <w:color w:val="4A7FA5"/>
                <w:sz w:val="20"/>
                <w:szCs w:val="20"/>
              </w:rPr>
              <w:t xml:space="preserve">Metric</w:t>
            </w:r>
          </w:p>
        </w:tc>
        <w:tc>
          <w:tcPr>
            <w:tcW w:type="dxa" w:w="4320"/>
            <w:tcBorders>
              <w:top w:val="single" w:color="D6E2EE" w:sz="1"/>
              <w:left w:val="single" w:color="D6E2EE" w:sz="1"/>
              <w:bottom w:val="single" w:color="D6E2EE" w:sz="1"/>
              <w:right w:val="single" w:color="D6E2EE" w:sz="1"/>
            </w:tcBorders>
            <w:shd w:fill="EBF3F9" w:val="clear"/>
            <w:tcMar>
              <w:top w:type="dxa" w:w="80"/>
              <w:left w:type="dxa" w:w="120"/>
              <w:bottom w:type="dxa" w:w="80"/>
              <w:right w:type="dxa" w:w="120"/>
            </w:tcMar>
          </w:tcPr>
          <w:p>
            <w:r>
              <w:rPr>
                <w:rFonts w:ascii="Arial" w:cs="Arial" w:eastAsia="Arial" w:hAnsi="Arial"/>
                <w:b/>
                <w:bCs/>
                <w:color w:val="4A7FA5"/>
                <w:sz w:val="20"/>
                <w:szCs w:val="20"/>
              </w:rPr>
              <w:t xml:space="preserve">Value</w:t>
            </w:r>
          </w:p>
        </w:tc>
      </w:tr>
      <w:tr>
        <w:tc>
          <w:tcPr>
            <w:tcW w:type="dxa" w:w="504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Total term match rows</w:t>
            </w:r>
          </w:p>
        </w:tc>
        <w:tc>
          <w:tcPr>
            <w:tcW w:type="dxa" w:w="4320"/>
            <w:tcBorders>
              <w:top w:val="single" w:color="D6E2EE" w:sz="1"/>
              <w:left w:val="single" w:color="D6E2EE" w:sz="1"/>
              <w:bottom w:val="single" w:color="D6E2EE" w:sz="1"/>
              <w:right w:val="single" w:color="D6E2EE" w:sz="1"/>
            </w:tcBorders>
            <w:tcMar>
              <w:top w:type="dxa" w:w="80"/>
              <w:left w:type="dxa" w:w="120"/>
              <w:bottom w:type="dxa" w:w="80"/>
              <w:right w:type="dxa" w:w="120"/>
            </w:tcMar>
          </w:tcPr>
          <w:p>
            <w:r>
              <w:rPr>
                <w:rFonts w:ascii="Arial" w:cs="Arial" w:eastAsia="Arial" w:hAnsi="Arial"/>
                <w:b/>
                <w:bCs/>
                <w:color w:val="4A7FA5"/>
                <w:sz w:val="20"/>
                <w:szCs w:val="20"/>
              </w:rPr>
              <w:t xml:space="preserve">70,257</w:t>
            </w:r>
          </w:p>
        </w:tc>
      </w:tr>
      <w:tr>
        <w:tc>
          <w:tcPr>
            <w:tcW w:type="dxa" w:w="504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Unique documents with matches</w:t>
            </w:r>
          </w:p>
        </w:tc>
        <w:tc>
          <w:tcPr>
            <w:tcW w:type="dxa" w:w="4320"/>
            <w:tcBorders>
              <w:top w:val="single" w:color="D6E2EE" w:sz="1"/>
              <w:left w:val="single" w:color="D6E2EE" w:sz="1"/>
              <w:bottom w:val="single" w:color="D6E2EE" w:sz="1"/>
              <w:right w:val="single" w:color="D6E2EE" w:sz="1"/>
            </w:tcBorders>
            <w:tcMar>
              <w:top w:type="dxa" w:w="80"/>
              <w:left w:type="dxa" w:w="120"/>
              <w:bottom w:type="dxa" w:w="80"/>
              <w:right w:type="dxa" w:w="120"/>
            </w:tcMar>
          </w:tcPr>
          <w:p>
            <w:r>
              <w:rPr>
                <w:rFonts w:ascii="Arial" w:cs="Arial" w:eastAsia="Arial" w:hAnsi="Arial"/>
                <w:b/>
                <w:bCs/>
                <w:color w:val="4A7FA5"/>
                <w:sz w:val="20"/>
                <w:szCs w:val="20"/>
              </w:rPr>
              <w:t xml:space="preserve">6,922 of 7,080</w:t>
            </w:r>
          </w:p>
        </w:tc>
      </w:tr>
      <w:tr>
        <w:tc>
          <w:tcPr>
            <w:tcW w:type="dxa" w:w="504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Unique terms matched</w:t>
            </w:r>
          </w:p>
        </w:tc>
        <w:tc>
          <w:tcPr>
            <w:tcW w:type="dxa" w:w="4320"/>
            <w:tcBorders>
              <w:top w:val="single" w:color="D6E2EE" w:sz="1"/>
              <w:left w:val="single" w:color="D6E2EE" w:sz="1"/>
              <w:bottom w:val="single" w:color="D6E2EE" w:sz="1"/>
              <w:right w:val="single" w:color="D6E2EE" w:sz="1"/>
            </w:tcBorders>
            <w:tcMar>
              <w:top w:type="dxa" w:w="80"/>
              <w:left w:type="dxa" w:w="120"/>
              <w:bottom w:type="dxa" w:w="80"/>
              <w:right w:type="dxa" w:w="120"/>
            </w:tcMar>
          </w:tcPr>
          <w:p>
            <w:r>
              <w:rPr>
                <w:rFonts w:ascii="Arial" w:cs="Arial" w:eastAsia="Arial" w:hAnsi="Arial"/>
                <w:b/>
                <w:bCs/>
                <w:color w:val="4A7FA5"/>
                <w:sz w:val="20"/>
                <w:szCs w:val="20"/>
              </w:rPr>
              <w:t xml:space="preserve">105</w:t>
            </w:r>
          </w:p>
        </w:tc>
      </w:tr>
      <w:tr>
        <w:tc>
          <w:tcPr>
            <w:tcW w:type="dxa" w:w="504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Total term mentions across corpus</w:t>
            </w:r>
          </w:p>
        </w:tc>
        <w:tc>
          <w:tcPr>
            <w:tcW w:type="dxa" w:w="4320"/>
            <w:tcBorders>
              <w:top w:val="single" w:color="D6E2EE" w:sz="1"/>
              <w:left w:val="single" w:color="D6E2EE" w:sz="1"/>
              <w:bottom w:val="single" w:color="D6E2EE" w:sz="1"/>
              <w:right w:val="single" w:color="D6E2EE" w:sz="1"/>
            </w:tcBorders>
            <w:tcMar>
              <w:top w:type="dxa" w:w="80"/>
              <w:left w:type="dxa" w:w="120"/>
              <w:bottom w:type="dxa" w:w="80"/>
              <w:right w:type="dxa" w:w="120"/>
            </w:tcMar>
          </w:tcPr>
          <w:p>
            <w:r>
              <w:rPr>
                <w:rFonts w:ascii="Arial" w:cs="Arial" w:eastAsia="Arial" w:hAnsi="Arial"/>
                <w:b/>
                <w:bCs/>
                <w:color w:val="4A7FA5"/>
                <w:sz w:val="20"/>
                <w:szCs w:val="20"/>
              </w:rPr>
              <w:t xml:space="preserve">863,913</w:t>
            </w:r>
          </w:p>
        </w:tc>
      </w:tr>
      <w:tr>
        <w:tc>
          <w:tcPr>
            <w:tcW w:type="dxa" w:w="504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Documents with no term matches</w:t>
            </w:r>
          </w:p>
        </w:tc>
        <w:tc>
          <w:tcPr>
            <w:tcW w:type="dxa" w:w="4320"/>
            <w:tcBorders>
              <w:top w:val="single" w:color="D6E2EE" w:sz="1"/>
              <w:left w:val="single" w:color="D6E2EE" w:sz="1"/>
              <w:bottom w:val="single" w:color="D6E2EE" w:sz="1"/>
              <w:right w:val="single" w:color="D6E2EE" w:sz="1"/>
            </w:tcBorders>
            <w:tcMar>
              <w:top w:type="dxa" w:w="80"/>
              <w:left w:type="dxa" w:w="120"/>
              <w:bottom w:type="dxa" w:w="80"/>
              <w:right w:type="dxa" w:w="120"/>
            </w:tcMar>
          </w:tcPr>
          <w:p>
            <w:r>
              <w:rPr>
                <w:rFonts w:ascii="Arial" w:cs="Arial" w:eastAsia="Arial" w:hAnsi="Arial"/>
                <w:b/>
                <w:bCs/>
                <w:color w:val="B07D3A"/>
                <w:sz w:val="20"/>
                <w:szCs w:val="20"/>
              </w:rPr>
              <w:t xml:space="preserve">158</w:t>
            </w:r>
          </w:p>
        </w:tc>
      </w:tr>
    </w:tbl>
    <w:p>
      <w:pPr>
        <w:spacing w:before="0" w:after="160"/>
      </w:pPr>
    </w:p>
    <w:p>
      <w:pPr>
        <w:spacing w:before="0" w:after="240"/>
        <w:jc w:val="left"/>
      </w:pPr>
      <w:r>
        <w:rPr>
          <w:rFonts w:ascii="Arial" w:cs="Arial" w:eastAsia="Arial" w:hAnsi="Arial"/>
          <w:b w:val="false"/>
          <w:bCs w:val="false"/>
          <w:i w:val="false"/>
          <w:iCs w:val="false"/>
          <w:color w:val="2C3A4A"/>
          <w:sz w:val="22"/>
          <w:szCs w:val="22"/>
        </w:rPr>
        <w:t xml:space="preserve">The pipeline matched terms in 97.8% of documents, which is a strong initial result. The 158 unmatched documents warrant inspection — they may be scanned PDFs where text extraction failed, or very short documents with limited content.</w:t>
      </w:r>
    </w:p>
    <w:p>
      <w:pPr>
        <w:pStyle w:val="Heading1"/>
        <w:pBdr>
          <w:bottom w:val="single" w:color="4A7FA5" w:sz="8"/>
        </w:pBdr>
        <w:spacing w:before="320" w:after="120"/>
      </w:pPr>
      <w:r>
        <w:rPr>
          <w:rFonts w:ascii="Arial" w:cs="Arial" w:eastAsia="Arial" w:hAnsi="Arial"/>
          <w:b/>
          <w:bCs/>
          <w:color w:val="2C3A4A"/>
          <w:sz w:val="28"/>
          <w:szCs w:val="28"/>
        </w:rPr>
        <w:t xml:space="preserve">3. Term Frequency by Four Pillars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40"/>
        <w:gridCol w:w="2160"/>
        <w:gridCol w:w="2160"/>
      </w:tblGrid>
      <w:tr>
        <w:tc>
          <w:tcPr>
            <w:tcW w:type="dxa" w:w="5040"/>
            <w:tcBorders>
              <w:top w:val="single" w:color="D6E2EE" w:sz="1"/>
              <w:left w:val="single" w:color="D6E2EE" w:sz="1"/>
              <w:bottom w:val="single" w:color="D6E2EE" w:sz="1"/>
              <w:right w:val="single" w:color="D6E2EE" w:sz="1"/>
            </w:tcBorders>
            <w:shd w:fill="EBF3F9" w:val="clear"/>
            <w:tcMar>
              <w:top w:type="dxa" w:w="80"/>
              <w:left w:type="dxa" w:w="120"/>
              <w:bottom w:type="dxa" w:w="80"/>
              <w:right w:type="dxa" w:w="120"/>
            </w:tcMar>
          </w:tcPr>
          <w:p>
            <w:r>
              <w:rPr>
                <w:rFonts w:ascii="Arial" w:cs="Arial" w:eastAsia="Arial" w:hAnsi="Arial"/>
                <w:b/>
                <w:bCs/>
                <w:color w:val="4A7FA5"/>
                <w:sz w:val="20"/>
                <w:szCs w:val="20"/>
              </w:rPr>
              <w:t xml:space="preserve">Category</w:t>
            </w:r>
          </w:p>
        </w:tc>
        <w:tc>
          <w:tcPr>
            <w:tcW w:type="dxa" w:w="2160"/>
            <w:tcBorders>
              <w:top w:val="single" w:color="D6E2EE" w:sz="1"/>
              <w:left w:val="single" w:color="D6E2EE" w:sz="1"/>
              <w:bottom w:val="single" w:color="D6E2EE" w:sz="1"/>
              <w:right w:val="single" w:color="D6E2EE" w:sz="1"/>
            </w:tcBorders>
            <w:shd w:fill="EBF3F9" w:val="clear"/>
            <w:tcMar>
              <w:top w:type="dxa" w:w="80"/>
              <w:left w:type="dxa" w:w="120"/>
              <w:bottom w:type="dxa" w:w="80"/>
              <w:right w:type="dxa" w:w="120"/>
            </w:tcMar>
          </w:tcPr>
          <w:p>
            <w:r>
              <w:rPr>
                <w:rFonts w:ascii="Arial" w:cs="Arial" w:eastAsia="Arial" w:hAnsi="Arial"/>
                <w:b/>
                <w:bCs/>
                <w:color w:val="4A7FA5"/>
                <w:sz w:val="20"/>
                <w:szCs w:val="20"/>
              </w:rPr>
              <w:t xml:space="preserve">Total mentions</w:t>
            </w:r>
          </w:p>
        </w:tc>
        <w:tc>
          <w:tcPr>
            <w:tcW w:type="dxa" w:w="2160"/>
            <w:tcBorders>
              <w:top w:val="single" w:color="D6E2EE" w:sz="1"/>
              <w:left w:val="single" w:color="D6E2EE" w:sz="1"/>
              <w:bottom w:val="single" w:color="D6E2EE" w:sz="1"/>
              <w:right w:val="single" w:color="D6E2EE" w:sz="1"/>
            </w:tcBorders>
            <w:shd w:fill="EBF3F9" w:val="clear"/>
            <w:tcMar>
              <w:top w:type="dxa" w:w="80"/>
              <w:left w:type="dxa" w:w="120"/>
              <w:bottom w:type="dxa" w:w="80"/>
              <w:right w:type="dxa" w:w="120"/>
            </w:tcMar>
          </w:tcPr>
          <w:p>
            <w:r>
              <w:rPr>
                <w:rFonts w:ascii="Arial" w:cs="Arial" w:eastAsia="Arial" w:hAnsi="Arial"/>
                <w:b/>
                <w:bCs/>
                <w:color w:val="4A7FA5"/>
                <w:sz w:val="20"/>
                <w:szCs w:val="20"/>
              </w:rPr>
              <w:t xml:space="preserve">% of total</w:t>
            </w:r>
          </w:p>
        </w:tc>
      </w:tr>
      <w:tr>
        <w:tc>
          <w:tcPr>
            <w:tcW w:type="dxa" w:w="43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2C3A4A"/>
                <w:sz w:val="20"/>
                <w:szCs w:val="20"/>
              </w:rPr>
              <w:t xml:space="preserve">Groups</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4A7FA5"/>
                <w:sz w:val="20"/>
                <w:szCs w:val="20"/>
              </w:rPr>
              <w:t xml:space="preserve">462,489</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5A6E82"/>
                <w:sz w:val="20"/>
                <w:szCs w:val="20"/>
              </w:rPr>
              <w:t xml:space="preserve">53.6%</w:t>
            </w:r>
          </w:p>
        </w:tc>
      </w:tr>
      <w:tr>
        <w:tc>
          <w:tcPr>
            <w:tcW w:type="dxa" w:w="43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Institutions</w:t>
            </w:r>
          </w:p>
        </w:tc>
        <w:tc>
          <w:tcPr>
            <w:tcW w:type="dxa" w:w="25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4A7FA5"/>
                <w:sz w:val="20"/>
                <w:szCs w:val="20"/>
              </w:rPr>
              <w:t xml:space="preserve">218,748</w:t>
            </w:r>
          </w:p>
        </w:tc>
        <w:tc>
          <w:tcPr>
            <w:tcW w:type="dxa" w:w="25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5A6E82"/>
                <w:sz w:val="20"/>
                <w:szCs w:val="20"/>
              </w:rPr>
              <w:t xml:space="preserve">25.3%</w:t>
            </w:r>
          </w:p>
        </w:tc>
      </w:tr>
      <w:tr>
        <w:tc>
          <w:tcPr>
            <w:tcW w:type="dxa" w:w="43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2C3A4A"/>
                <w:sz w:val="20"/>
                <w:szCs w:val="20"/>
              </w:rPr>
              <w:t xml:space="preserve">Social Cohesion Dimensions</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4A7FA5"/>
                <w:sz w:val="20"/>
                <w:szCs w:val="20"/>
              </w:rPr>
              <w:t xml:space="preserve">165,272</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5A6E82"/>
                <w:sz w:val="20"/>
                <w:szCs w:val="20"/>
              </w:rPr>
              <w:t xml:space="preserve">19.1%</w:t>
            </w:r>
          </w:p>
        </w:tc>
      </w:tr>
      <w:tr>
        <w:tc>
          <w:tcPr>
            <w:tcW w:type="dxa" w:w="43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Housing Policy Instruments</w:t>
            </w:r>
          </w:p>
        </w:tc>
        <w:tc>
          <w:tcPr>
            <w:tcW w:type="dxa" w:w="25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4A7FA5"/>
                <w:sz w:val="20"/>
                <w:szCs w:val="20"/>
              </w:rPr>
              <w:t xml:space="preserve">17,404</w:t>
            </w:r>
          </w:p>
        </w:tc>
        <w:tc>
          <w:tcPr>
            <w:tcW w:type="dxa" w:w="25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5A6E82"/>
                <w:sz w:val="20"/>
                <w:szCs w:val="20"/>
              </w:rPr>
              <w:t xml:space="preserve">2.0%</w:t>
            </w:r>
          </w:p>
        </w:tc>
      </w:tr>
    </w:tbl>
    <w:p>
      <w:pPr>
        <w:spacing w:before="0" w:after="160"/>
      </w:pPr>
    </w:p>
    <w:p>
      <w:pPr>
        <w:pStyle w:val="Heading2"/>
        <w:spacing w:before="280" w:after="80"/>
      </w:pPr>
      <w:r>
        <w:rPr>
          <w:rFonts w:ascii="Arial" w:cs="Arial" w:eastAsia="Arial" w:hAnsi="Arial"/>
          <w:b/>
          <w:bCs/>
          <w:color w:val="4A7FA5"/>
          <w:sz w:val="24"/>
          <w:szCs w:val="24"/>
        </w:rPr>
        <w:t xml:space="preserve">3.1 The imbalance problem</w:t>
      </w:r>
    </w:p>
    <w:p>
      <w:pPr>
        <w:spacing w:before="0" w:after="160"/>
        <w:jc w:val="left"/>
      </w:pPr>
      <w:r>
        <w:rPr>
          <w:rFonts w:ascii="Arial" w:cs="Arial" w:eastAsia="Arial" w:hAnsi="Arial"/>
          <w:b w:val="false"/>
          <w:bCs w:val="false"/>
          <w:i w:val="false"/>
          <w:iCs w:val="false"/>
          <w:color w:val="2C3A4A"/>
          <w:sz w:val="22"/>
          <w:szCs w:val="22"/>
        </w:rPr>
        <w:t xml:space="preserve">This distribution reveals a significant methodological concern. The Groups category dominates with 53.6% of all term mentions, while Housing Policy Instruments accounts for only 2.0% — a ratio of approximately 26:1. This is not inherently problematic, but it has direct implications for the variation testing strategy:</w:t>
      </w:r>
    </w:p>
    <w:p>
      <w:pPr>
        <w:pStyle w:val="ListParagraph"/>
        <w:numPr>
          <w:ilvl w:val="0"/>
          <w:numId w:val="2"/>
        </w:numPr>
        <w:spacing w:before="0" w:after="80"/>
      </w:pPr>
      <w:r>
        <w:rPr>
          <w:rFonts w:ascii="Arial" w:cs="Arial" w:eastAsia="Arial" w:hAnsi="Arial"/>
          <w:color w:val="2C3A4A"/>
          <w:sz w:val="22"/>
          <w:szCs w:val="22"/>
        </w:rPr>
        <w:t xml:space="preserve">Dict 4 (the deliberately imbalanced dictionary) is designed precisely to stress-test this scenario</w:t>
      </w:r>
    </w:p>
    <w:p>
      <w:pPr>
        <w:pStyle w:val="ListParagraph"/>
        <w:numPr>
          <w:ilvl w:val="0"/>
          <w:numId w:val="2"/>
        </w:numPr>
        <w:spacing w:before="0" w:after="80"/>
      </w:pPr>
      <w:r>
        <w:rPr>
          <w:rFonts w:ascii="Arial" w:cs="Arial" w:eastAsia="Arial" w:hAnsi="Arial"/>
          <w:color w:val="2C3A4A"/>
          <w:sz w:val="22"/>
          <w:szCs w:val="22"/>
        </w:rPr>
        <w:t xml:space="preserve">The recall threshold of ≥90% must be evaluated per category, not just overall — a high aggregate score could mask near-zero recall on Housing Policy Instruments</w:t>
      </w:r>
    </w:p>
    <w:p>
      <w:pPr>
        <w:pStyle w:val="ListParagraph"/>
        <w:numPr>
          <w:ilvl w:val="0"/>
          <w:numId w:val="2"/>
        </w:numPr>
        <w:spacing w:before="0" w:after="80"/>
      </w:pPr>
      <w:r>
        <w:rPr>
          <w:rFonts w:ascii="Arial" w:cs="Arial" w:eastAsia="Arial" w:hAnsi="Arial"/>
          <w:color w:val="2C3A4A"/>
          <w:sz w:val="22"/>
          <w:szCs w:val="22"/>
        </w:rPr>
        <w:t xml:space="preserve">This imbalance may reflect genuine corpus content (NZ policy is heavily focused on groups and institutional relationships) rather than a dictionary flaw</w:t>
      </w:r>
    </w:p>
    <w:p>
      <w:pPr>
        <w:spacing w:before="0" w:after="80"/>
      </w:pPr>
    </w:p>
    <w:p>
      <w:pPr>
        <w:spacing w:before="0" w:after="240"/>
        <w:jc w:val="left"/>
      </w:pPr>
      <w:r>
        <w:rPr>
          <w:rFonts w:ascii="Arial" w:cs="Arial" w:eastAsia="Arial" w:hAnsi="Arial"/>
          <w:b w:val="false"/>
          <w:bCs w:val="false"/>
          <w:i/>
          <w:iCs/>
          <w:color w:val="4A7FA5"/>
          <w:sz w:val="22"/>
          <w:szCs w:val="22"/>
        </w:rPr>
        <w:t xml:space="preserve">Recommendation: when running the 12 variation combinations in Phase 5, report precision and recall separately for each of the Four Pillars categories, not just aggregate scores.</w:t>
      </w:r>
    </w:p>
    <w:p>
      <w:pPr>
        <w:pStyle w:val="Heading1"/>
        <w:pBdr>
          <w:bottom w:val="single" w:color="4A7FA5" w:sz="8"/>
        </w:pBdr>
        <w:spacing w:before="320" w:after="120"/>
      </w:pPr>
      <w:r>
        <w:rPr>
          <w:rFonts w:ascii="Arial" w:cs="Arial" w:eastAsia="Arial" w:hAnsi="Arial"/>
          <w:b/>
          <w:bCs/>
          <w:color w:val="2C3A4A"/>
          <w:sz w:val="28"/>
          <w:szCs w:val="28"/>
        </w:rPr>
        <w:t xml:space="preserve">4. Top 20 Most Frequent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2520"/>
        <w:gridCol w:w="2520"/>
      </w:tblGrid>
      <w:tr>
        <w:tc>
          <w:tcPr>
            <w:tcW w:type="dxa" w:w="4320"/>
            <w:tcBorders>
              <w:top w:val="single" w:color="D6E2EE" w:sz="1"/>
              <w:left w:val="single" w:color="D6E2EE" w:sz="1"/>
              <w:bottom w:val="single" w:color="D6E2EE" w:sz="1"/>
              <w:right w:val="single" w:color="D6E2EE" w:sz="1"/>
            </w:tcBorders>
            <w:shd w:fill="EBF3F9" w:val="clear"/>
            <w:tcMar>
              <w:top w:type="dxa" w:w="80"/>
              <w:left w:type="dxa" w:w="120"/>
              <w:bottom w:type="dxa" w:w="80"/>
              <w:right w:type="dxa" w:w="120"/>
            </w:tcMar>
          </w:tcPr>
          <w:p>
            <w:r>
              <w:rPr>
                <w:rFonts w:ascii="Arial" w:cs="Arial" w:eastAsia="Arial" w:hAnsi="Arial"/>
                <w:b/>
                <w:bCs/>
                <w:color w:val="4A7FA5"/>
                <w:sz w:val="20"/>
                <w:szCs w:val="20"/>
              </w:rPr>
              <w:t xml:space="preserve">Term</w:t>
            </w:r>
          </w:p>
        </w:tc>
        <w:tc>
          <w:tcPr>
            <w:tcW w:type="dxa" w:w="2520"/>
            <w:tcBorders>
              <w:top w:val="single" w:color="D6E2EE" w:sz="1"/>
              <w:left w:val="single" w:color="D6E2EE" w:sz="1"/>
              <w:bottom w:val="single" w:color="D6E2EE" w:sz="1"/>
              <w:right w:val="single" w:color="D6E2EE" w:sz="1"/>
            </w:tcBorders>
            <w:shd w:fill="EBF3F9" w:val="clear"/>
            <w:tcMar>
              <w:top w:type="dxa" w:w="80"/>
              <w:left w:type="dxa" w:w="120"/>
              <w:bottom w:type="dxa" w:w="80"/>
              <w:right w:type="dxa" w:w="120"/>
            </w:tcMar>
          </w:tcPr>
          <w:p>
            <w:r>
              <w:rPr>
                <w:rFonts w:ascii="Arial" w:cs="Arial" w:eastAsia="Arial" w:hAnsi="Arial"/>
                <w:b/>
                <w:bCs/>
                <w:color w:val="4A7FA5"/>
                <w:sz w:val="20"/>
                <w:szCs w:val="20"/>
              </w:rPr>
              <w:t xml:space="preserve">Total mentions</w:t>
            </w:r>
          </w:p>
        </w:tc>
        <w:tc>
          <w:tcPr>
            <w:tcW w:type="dxa" w:w="2520"/>
            <w:tcBorders>
              <w:top w:val="single" w:color="D6E2EE" w:sz="1"/>
              <w:left w:val="single" w:color="D6E2EE" w:sz="1"/>
              <w:bottom w:val="single" w:color="D6E2EE" w:sz="1"/>
              <w:right w:val="single" w:color="D6E2EE" w:sz="1"/>
            </w:tcBorders>
            <w:shd w:fill="EBF3F9" w:val="clear"/>
            <w:tcMar>
              <w:top w:type="dxa" w:w="80"/>
              <w:left w:type="dxa" w:w="120"/>
              <w:bottom w:type="dxa" w:w="80"/>
              <w:right w:type="dxa" w:w="120"/>
            </w:tcMar>
          </w:tcPr>
          <w:p>
            <w:r>
              <w:rPr>
                <w:rFonts w:ascii="Arial" w:cs="Arial" w:eastAsia="Arial" w:hAnsi="Arial"/>
                <w:b/>
                <w:bCs/>
                <w:color w:val="4A7FA5"/>
                <w:sz w:val="20"/>
                <w:szCs w:val="20"/>
              </w:rPr>
              <w:t xml:space="preserve">Category</w:t>
            </w:r>
          </w:p>
        </w:tc>
      </w:tr>
      <w:tr>
        <w:tc>
          <w:tcPr>
            <w:tcW w:type="dxa" w:w="43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2C3A4A"/>
                <w:sz w:val="20"/>
                <w:szCs w:val="20"/>
              </w:rPr>
              <w:t xml:space="preserve">Māori</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4A7FA5"/>
                <w:sz w:val="20"/>
                <w:szCs w:val="20"/>
              </w:rPr>
              <w:t xml:space="preserve">206,175</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5A6E82"/>
                <w:sz w:val="20"/>
                <w:szCs w:val="20"/>
              </w:rPr>
              <w:t xml:space="preserve">Groups</w:t>
            </w:r>
          </w:p>
        </w:tc>
      </w:tr>
      <w:tr>
        <w:tc>
          <w:tcPr>
            <w:tcW w:type="dxa" w:w="43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Communities</w:t>
            </w:r>
          </w:p>
        </w:tc>
        <w:tc>
          <w:tcPr>
            <w:tcW w:type="dxa" w:w="25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4A7FA5"/>
                <w:sz w:val="20"/>
                <w:szCs w:val="20"/>
              </w:rPr>
              <w:t xml:space="preserve">83,280</w:t>
            </w:r>
          </w:p>
        </w:tc>
        <w:tc>
          <w:tcPr>
            <w:tcW w:type="dxa" w:w="25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5A6E82"/>
                <w:sz w:val="20"/>
                <w:szCs w:val="20"/>
              </w:rPr>
              <w:t xml:space="preserve">Groups</w:t>
            </w:r>
          </w:p>
        </w:tc>
      </w:tr>
      <w:tr>
        <w:tc>
          <w:tcPr>
            <w:tcW w:type="dxa" w:w="43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2C3A4A"/>
                <w:sz w:val="20"/>
                <w:szCs w:val="20"/>
              </w:rPr>
              <w:t xml:space="preserve">trust</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4A7FA5"/>
                <w:sz w:val="20"/>
                <w:szCs w:val="20"/>
              </w:rPr>
              <w:t xml:space="preserve">69,126</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5A6E82"/>
                <w:sz w:val="20"/>
                <w:szCs w:val="20"/>
              </w:rPr>
              <w:t xml:space="preserve">Social Cohesion Dimensions</w:t>
            </w:r>
          </w:p>
        </w:tc>
      </w:tr>
      <w:tr>
        <w:tc>
          <w:tcPr>
            <w:tcW w:type="dxa" w:w="43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Iwi</w:t>
            </w:r>
          </w:p>
        </w:tc>
        <w:tc>
          <w:tcPr>
            <w:tcW w:type="dxa" w:w="25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4A7FA5"/>
                <w:sz w:val="20"/>
                <w:szCs w:val="20"/>
              </w:rPr>
              <w:t xml:space="preserve">60,707</w:t>
            </w:r>
          </w:p>
        </w:tc>
        <w:tc>
          <w:tcPr>
            <w:tcW w:type="dxa" w:w="25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5A6E82"/>
                <w:sz w:val="20"/>
                <w:szCs w:val="20"/>
              </w:rPr>
              <w:t xml:space="preserve">Groups</w:t>
            </w:r>
          </w:p>
        </w:tc>
      </w:tr>
      <w:tr>
        <w:tc>
          <w:tcPr>
            <w:tcW w:type="dxa" w:w="43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2C3A4A"/>
                <w:sz w:val="20"/>
                <w:szCs w:val="20"/>
              </w:rPr>
              <w:t xml:space="preserve">Families</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4A7FA5"/>
                <w:sz w:val="20"/>
                <w:szCs w:val="20"/>
              </w:rPr>
              <w:t xml:space="preserve">52,261</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5A6E82"/>
                <w:sz w:val="20"/>
                <w:szCs w:val="20"/>
              </w:rPr>
              <w:t xml:space="preserve">Groups</w:t>
            </w:r>
          </w:p>
        </w:tc>
      </w:tr>
      <w:tr>
        <w:tc>
          <w:tcPr>
            <w:tcW w:type="dxa" w:w="43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respect</w:t>
            </w:r>
          </w:p>
        </w:tc>
        <w:tc>
          <w:tcPr>
            <w:tcW w:type="dxa" w:w="25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4A7FA5"/>
                <w:sz w:val="20"/>
                <w:szCs w:val="20"/>
              </w:rPr>
              <w:t xml:space="preserve">50,635</w:t>
            </w:r>
          </w:p>
        </w:tc>
        <w:tc>
          <w:tcPr>
            <w:tcW w:type="dxa" w:w="25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5A6E82"/>
                <w:sz w:val="20"/>
                <w:szCs w:val="20"/>
              </w:rPr>
              <w:t xml:space="preserve">Social Cohesion Dimensions</w:t>
            </w:r>
          </w:p>
        </w:tc>
      </w:tr>
      <w:tr>
        <w:tc>
          <w:tcPr>
            <w:tcW w:type="dxa" w:w="43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2C3A4A"/>
                <w:sz w:val="20"/>
                <w:szCs w:val="20"/>
              </w:rPr>
              <w:t xml:space="preserve">Owners</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4A7FA5"/>
                <w:sz w:val="20"/>
                <w:szCs w:val="20"/>
              </w:rPr>
              <w:t xml:space="preserve">39,125</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5A6E82"/>
                <w:sz w:val="20"/>
                <w:szCs w:val="20"/>
              </w:rPr>
              <w:t xml:space="preserve">Groups</w:t>
            </w:r>
          </w:p>
        </w:tc>
      </w:tr>
      <w:tr>
        <w:tc>
          <w:tcPr>
            <w:tcW w:type="dxa" w:w="43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Councils</w:t>
            </w:r>
          </w:p>
        </w:tc>
        <w:tc>
          <w:tcPr>
            <w:tcW w:type="dxa" w:w="25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4A7FA5"/>
                <w:sz w:val="20"/>
                <w:szCs w:val="20"/>
              </w:rPr>
              <w:t xml:space="preserve">30,348</w:t>
            </w:r>
          </w:p>
        </w:tc>
        <w:tc>
          <w:tcPr>
            <w:tcW w:type="dxa" w:w="25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5A6E82"/>
                <w:sz w:val="20"/>
                <w:szCs w:val="20"/>
              </w:rPr>
              <w:t xml:space="preserve">Institutions</w:t>
            </w:r>
          </w:p>
        </w:tc>
      </w:tr>
      <w:tr>
        <w:tc>
          <w:tcPr>
            <w:tcW w:type="dxa" w:w="43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2C3A4A"/>
                <w:sz w:val="20"/>
                <w:szCs w:val="20"/>
              </w:rPr>
              <w:t xml:space="preserve">Kāinga Ora</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4A7FA5"/>
                <w:sz w:val="20"/>
                <w:szCs w:val="20"/>
              </w:rPr>
              <w:t xml:space="preserve">26,775</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5A6E82"/>
                <w:sz w:val="20"/>
                <w:szCs w:val="20"/>
              </w:rPr>
              <w:t xml:space="preserve">Institutions</w:t>
            </w:r>
          </w:p>
        </w:tc>
      </w:tr>
      <w:tr>
        <w:tc>
          <w:tcPr>
            <w:tcW w:type="dxa" w:w="43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The Crown</w:t>
            </w:r>
          </w:p>
        </w:tc>
        <w:tc>
          <w:tcPr>
            <w:tcW w:type="dxa" w:w="25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4A7FA5"/>
                <w:sz w:val="20"/>
                <w:szCs w:val="20"/>
              </w:rPr>
              <w:t xml:space="preserve">23,619</w:t>
            </w:r>
          </w:p>
        </w:tc>
        <w:tc>
          <w:tcPr>
            <w:tcW w:type="dxa" w:w="25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5A6E82"/>
                <w:sz w:val="20"/>
                <w:szCs w:val="20"/>
              </w:rPr>
              <w:t xml:space="preserve">Institutions</w:t>
            </w:r>
          </w:p>
        </w:tc>
      </w:tr>
      <w:tr>
        <w:tc>
          <w:tcPr>
            <w:tcW w:type="dxa" w:w="43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2C3A4A"/>
                <w:sz w:val="20"/>
                <w:szCs w:val="20"/>
              </w:rPr>
              <w:t xml:space="preserve">Businesses</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4A7FA5"/>
                <w:sz w:val="20"/>
                <w:szCs w:val="20"/>
              </w:rPr>
              <w:t xml:space="preserve">22,314</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5A6E82"/>
                <w:sz w:val="20"/>
                <w:szCs w:val="20"/>
              </w:rPr>
              <w:t xml:space="preserve">Groups</w:t>
            </w:r>
          </w:p>
        </w:tc>
      </w:tr>
      <w:tr>
        <w:tc>
          <w:tcPr>
            <w:tcW w:type="dxa" w:w="43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participation</w:t>
            </w:r>
          </w:p>
        </w:tc>
        <w:tc>
          <w:tcPr>
            <w:tcW w:type="dxa" w:w="25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4A7FA5"/>
                <w:sz w:val="20"/>
                <w:szCs w:val="20"/>
              </w:rPr>
              <w:t xml:space="preserve">16,430</w:t>
            </w:r>
          </w:p>
        </w:tc>
        <w:tc>
          <w:tcPr>
            <w:tcW w:type="dxa" w:w="25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5A6E82"/>
                <w:sz w:val="20"/>
                <w:szCs w:val="20"/>
              </w:rPr>
              <w:t xml:space="preserve">Social Cohesion Dimensions</w:t>
            </w:r>
          </w:p>
        </w:tc>
      </w:tr>
      <w:tr>
        <w:tc>
          <w:tcPr>
            <w:tcW w:type="dxa" w:w="43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2C3A4A"/>
                <w:sz w:val="20"/>
                <w:szCs w:val="20"/>
              </w:rPr>
              <w:t xml:space="preserve">Cabinet</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4A7FA5"/>
                <w:sz w:val="20"/>
                <w:szCs w:val="20"/>
              </w:rPr>
              <w:t xml:space="preserve">13,519</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5A6E82"/>
                <w:sz w:val="20"/>
                <w:szCs w:val="20"/>
              </w:rPr>
              <w:t xml:space="preserve">Institutions</w:t>
            </w:r>
          </w:p>
        </w:tc>
      </w:tr>
      <w:tr>
        <w:tc>
          <w:tcPr>
            <w:tcW w:type="dxa" w:w="43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central government</w:t>
            </w:r>
          </w:p>
        </w:tc>
        <w:tc>
          <w:tcPr>
            <w:tcW w:type="dxa" w:w="25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4A7FA5"/>
                <w:sz w:val="20"/>
                <w:szCs w:val="20"/>
              </w:rPr>
              <w:t xml:space="preserve">12,173</w:t>
            </w:r>
          </w:p>
        </w:tc>
        <w:tc>
          <w:tcPr>
            <w:tcW w:type="dxa" w:w="252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5A6E82"/>
                <w:sz w:val="20"/>
                <w:szCs w:val="20"/>
              </w:rPr>
              <w:t xml:space="preserve">Institutions</w:t>
            </w:r>
          </w:p>
        </w:tc>
      </w:tr>
      <w:tr>
        <w:tc>
          <w:tcPr>
            <w:tcW w:type="dxa" w:w="43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2C3A4A"/>
                <w:sz w:val="20"/>
                <w:szCs w:val="20"/>
              </w:rPr>
              <w:t xml:space="preserve">Hapū</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4A7FA5"/>
                <w:sz w:val="20"/>
                <w:szCs w:val="20"/>
              </w:rPr>
              <w:t xml:space="preserve">12,127</w:t>
            </w:r>
          </w:p>
        </w:tc>
        <w:tc>
          <w:tcPr>
            <w:tcW w:type="dxa" w:w="252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5A6E82"/>
                <w:sz w:val="20"/>
                <w:szCs w:val="20"/>
              </w:rPr>
              <w:t xml:space="preserve">Groups</w:t>
            </w:r>
          </w:p>
        </w:tc>
      </w:tr>
    </w:tbl>
    <w:p>
      <w:pPr>
        <w:spacing w:before="0" w:after="160"/>
      </w:pPr>
    </w:p>
    <w:p>
      <w:pPr>
        <w:pStyle w:val="Heading2"/>
        <w:spacing w:before="280" w:after="80"/>
      </w:pPr>
      <w:r>
        <w:rPr>
          <w:rFonts w:ascii="Arial" w:cs="Arial" w:eastAsia="Arial" w:hAnsi="Arial"/>
          <w:b/>
          <w:bCs/>
          <w:color w:val="4A7FA5"/>
          <w:sz w:val="24"/>
          <w:szCs w:val="24"/>
        </w:rPr>
        <w:t xml:space="preserve">4.1 Indigeneity as a central organising concept</w:t>
      </w:r>
    </w:p>
    <w:p>
      <w:pPr>
        <w:spacing w:before="0" w:after="160"/>
        <w:jc w:val="left"/>
      </w:pPr>
      <w:r>
        <w:rPr>
          <w:rFonts w:ascii="Arial" w:cs="Arial" w:eastAsia="Arial" w:hAnsi="Arial"/>
          <w:b w:val="false"/>
          <w:bCs w:val="false"/>
          <w:i w:val="false"/>
          <w:iCs w:val="false"/>
          <w:color w:val="2C3A4A"/>
          <w:sz w:val="22"/>
          <w:szCs w:val="22"/>
        </w:rPr>
        <w:t xml:space="preserve">The dominance of Māori (206,175 mentions) — nearly 2.5 times more frequent than the next term — is theoretically significant, not just methodologically concerning. The top terms collectively tell a story: NZ housing and social policy is deeply organised around indigenous rights, land governance, and Crown-Māori relationships. Terms like Iwi, Hapū, Kāinga Ora, and The Crown appear in the top 15 alongside more generic social cohesion terms like trust, respect, and participation.</w:t>
      </w:r>
    </w:p>
    <w:p>
      <w:pPr>
        <w:spacing w:before="0" w:after="240"/>
        <w:jc w:val="left"/>
      </w:pPr>
      <w:r>
        <w:rPr>
          <w:rFonts w:ascii="Arial" w:cs="Arial" w:eastAsia="Arial" w:hAnsi="Arial"/>
          <w:b w:val="false"/>
          <w:bCs w:val="false"/>
          <w:i/>
          <w:iCs/>
          <w:color w:val="4A7FA5"/>
          <w:sz w:val="22"/>
          <w:szCs w:val="22"/>
        </w:rPr>
        <w:t xml:space="preserve">This raises an important interpretive question for Paper 2: is the network capturing housing policy specifically, or NZ governance broadly? This is worth discussing with the supervisory team before the variation testing phase.</w:t>
      </w:r>
    </w:p>
    <w:p>
      <w:pPr>
        <w:pStyle w:val="Heading1"/>
        <w:pBdr>
          <w:bottom w:val="single" w:color="4A7FA5" w:sz="8"/>
        </w:pBdr>
        <w:spacing w:before="320" w:after="120"/>
      </w:pPr>
      <w:r>
        <w:rPr>
          <w:rFonts w:ascii="Arial" w:cs="Arial" w:eastAsia="Arial" w:hAnsi="Arial"/>
          <w:b/>
          <w:bCs/>
          <w:color w:val="2C3A4A"/>
          <w:sz w:val="28"/>
          <w:szCs w:val="28"/>
        </w:rPr>
        <w:t xml:space="preserve">5. Most Active Publishers</w:t>
      </w:r>
    </w:p>
    <w:p>
      <w:pPr>
        <w:spacing w:before="0" w:after="160"/>
        <w:jc w:val="left"/>
      </w:pPr>
      <w:r>
        <w:rPr>
          <w:rFonts w:ascii="Arial" w:cs="Arial" w:eastAsia="Arial" w:hAnsi="Arial"/>
          <w:b w:val="false"/>
          <w:bCs w:val="false"/>
          <w:i w:val="false"/>
          <w:iCs w:val="false"/>
          <w:color w:val="2C3A4A"/>
          <w:sz w:val="22"/>
          <w:szCs w:val="22"/>
        </w:rPr>
        <w:t xml:space="preserve">The top publishers by document count reveal something unexpected about the corpus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D6E2EE" w:sz="1"/>
              <w:left w:val="single" w:color="D6E2EE" w:sz="1"/>
              <w:bottom w:val="single" w:color="D6E2EE" w:sz="1"/>
              <w:right w:val="single" w:color="D6E2EE" w:sz="1"/>
            </w:tcBorders>
            <w:shd w:fill="EBF3F9" w:val="clear"/>
            <w:tcMar>
              <w:top w:type="dxa" w:w="80"/>
              <w:left w:type="dxa" w:w="120"/>
              <w:bottom w:type="dxa" w:w="80"/>
              <w:right w:type="dxa" w:w="120"/>
            </w:tcMar>
          </w:tcPr>
          <w:p>
            <w:r>
              <w:rPr>
                <w:rFonts w:ascii="Arial" w:cs="Arial" w:eastAsia="Arial" w:hAnsi="Arial"/>
                <w:b/>
                <w:bCs/>
                <w:color w:val="4A7FA5"/>
                <w:sz w:val="20"/>
                <w:szCs w:val="20"/>
              </w:rPr>
              <w:t xml:space="preserve">Publisher</w:t>
            </w:r>
          </w:p>
        </w:tc>
        <w:tc>
          <w:tcPr>
            <w:tcW w:type="dxa" w:w="3600"/>
            <w:tcBorders>
              <w:top w:val="single" w:color="D6E2EE" w:sz="1"/>
              <w:left w:val="single" w:color="D6E2EE" w:sz="1"/>
              <w:bottom w:val="single" w:color="D6E2EE" w:sz="1"/>
              <w:right w:val="single" w:color="D6E2EE" w:sz="1"/>
            </w:tcBorders>
            <w:shd w:fill="EBF3F9" w:val="clear"/>
            <w:tcMar>
              <w:top w:type="dxa" w:w="80"/>
              <w:left w:type="dxa" w:w="120"/>
              <w:bottom w:type="dxa" w:w="80"/>
              <w:right w:type="dxa" w:w="120"/>
            </w:tcMar>
          </w:tcPr>
          <w:p>
            <w:r>
              <w:rPr>
                <w:rFonts w:ascii="Arial" w:cs="Arial" w:eastAsia="Arial" w:hAnsi="Arial"/>
                <w:b/>
                <w:bCs/>
                <w:color w:val="4A7FA5"/>
                <w:sz w:val="20"/>
                <w:szCs w:val="20"/>
              </w:rPr>
              <w:t xml:space="preserve">Documents</w:t>
            </w:r>
          </w:p>
        </w:tc>
      </w:tr>
      <w:tr>
        <w:tc>
          <w:tcPr>
            <w:tcW w:type="dxa" w:w="576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2C3A4A"/>
                <w:sz w:val="20"/>
                <w:szCs w:val="20"/>
              </w:rPr>
              <w:t xml:space="preserve">Ministry of Social Development</w:t>
            </w:r>
          </w:p>
        </w:tc>
        <w:tc>
          <w:tcPr>
            <w:tcW w:type="dxa" w:w="360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b/>
                <w:bCs/>
                <w:color w:val="4A7FA5"/>
                <w:sz w:val="20"/>
                <w:szCs w:val="20"/>
              </w:rPr>
              <w:t xml:space="preserve">711</w:t>
            </w:r>
          </w:p>
        </w:tc>
      </w:tr>
      <w:tr>
        <w:tc>
          <w:tcPr>
            <w:tcW w:type="dxa" w:w="576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Government of New Zealand</w:t>
            </w:r>
          </w:p>
        </w:tc>
        <w:tc>
          <w:tcPr>
            <w:tcW w:type="dxa" w:w="360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b/>
                <w:bCs/>
                <w:color w:val="4A7FA5"/>
                <w:sz w:val="20"/>
                <w:szCs w:val="20"/>
              </w:rPr>
              <w:t xml:space="preserve">610</w:t>
            </w:r>
          </w:p>
        </w:tc>
      </w:tr>
      <w:tr>
        <w:tc>
          <w:tcPr>
            <w:tcW w:type="dxa" w:w="576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2C3A4A"/>
                <w:sz w:val="20"/>
                <w:szCs w:val="20"/>
              </w:rPr>
              <w:t xml:space="preserve">Wellington, New Zealand</w:t>
            </w:r>
          </w:p>
        </w:tc>
        <w:tc>
          <w:tcPr>
            <w:tcW w:type="dxa" w:w="360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b/>
                <w:bCs/>
                <w:color w:val="4A7FA5"/>
                <w:sz w:val="20"/>
                <w:szCs w:val="20"/>
              </w:rPr>
              <w:t xml:space="preserve">515</w:t>
            </w:r>
          </w:p>
        </w:tc>
      </w:tr>
      <w:tr>
        <w:tc>
          <w:tcPr>
            <w:tcW w:type="dxa" w:w="576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Tauranga, New Zealand</w:t>
            </w:r>
          </w:p>
        </w:tc>
        <w:tc>
          <w:tcPr>
            <w:tcW w:type="dxa" w:w="360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b/>
                <w:bCs/>
                <w:color w:val="4A7FA5"/>
                <w:sz w:val="20"/>
                <w:szCs w:val="20"/>
              </w:rPr>
              <w:t xml:space="preserve">482</w:t>
            </w:r>
          </w:p>
        </w:tc>
      </w:tr>
      <w:tr>
        <w:tc>
          <w:tcPr>
            <w:tcW w:type="dxa" w:w="576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2C3A4A"/>
                <w:sz w:val="20"/>
                <w:szCs w:val="20"/>
              </w:rPr>
              <w:t xml:space="preserve">Environment Canterbury</w:t>
            </w:r>
          </w:p>
        </w:tc>
        <w:tc>
          <w:tcPr>
            <w:tcW w:type="dxa" w:w="360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b/>
                <w:bCs/>
                <w:color w:val="4A7FA5"/>
                <w:sz w:val="20"/>
                <w:szCs w:val="20"/>
              </w:rPr>
              <w:t xml:space="preserve">447</w:t>
            </w:r>
          </w:p>
        </w:tc>
      </w:tr>
      <w:tr>
        <w:tc>
          <w:tcPr>
            <w:tcW w:type="dxa" w:w="576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NZ Ministry of Health</w:t>
            </w:r>
          </w:p>
        </w:tc>
        <w:tc>
          <w:tcPr>
            <w:tcW w:type="dxa" w:w="360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b/>
                <w:bCs/>
                <w:color w:val="4A7FA5"/>
                <w:sz w:val="20"/>
                <w:szCs w:val="20"/>
              </w:rPr>
              <w:t xml:space="preserve">363</w:t>
            </w:r>
          </w:p>
        </w:tc>
      </w:tr>
      <w:tr>
        <w:tc>
          <w:tcPr>
            <w:tcW w:type="dxa" w:w="576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2C3A4A"/>
                <w:sz w:val="20"/>
                <w:szCs w:val="20"/>
              </w:rPr>
              <w:t xml:space="preserve">Royal Commission — Abuse in Care</w:t>
            </w:r>
          </w:p>
        </w:tc>
        <w:tc>
          <w:tcPr>
            <w:tcW w:type="dxa" w:w="360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b/>
                <w:bCs/>
                <w:color w:val="4A7FA5"/>
                <w:sz w:val="20"/>
                <w:szCs w:val="20"/>
              </w:rPr>
              <w:t xml:space="preserve">354</w:t>
            </w:r>
          </w:p>
        </w:tc>
      </w:tr>
      <w:tr>
        <w:tc>
          <w:tcPr>
            <w:tcW w:type="dxa" w:w="576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Ministry for the Environment</w:t>
            </w:r>
          </w:p>
        </w:tc>
        <w:tc>
          <w:tcPr>
            <w:tcW w:type="dxa" w:w="360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b/>
                <w:bCs/>
                <w:color w:val="4A7FA5"/>
                <w:sz w:val="20"/>
                <w:szCs w:val="20"/>
              </w:rPr>
              <w:t xml:space="preserve">303</w:t>
            </w:r>
          </w:p>
        </w:tc>
      </w:tr>
      <w:tr>
        <w:tc>
          <w:tcPr>
            <w:tcW w:type="dxa" w:w="576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color w:val="2C3A4A"/>
                <w:sz w:val="20"/>
                <w:szCs w:val="20"/>
              </w:rPr>
              <w:t xml:space="preserve">Housing New Zealand</w:t>
            </w:r>
          </w:p>
        </w:tc>
        <w:tc>
          <w:tcPr>
            <w:tcW w:type="dxa" w:w="3600"/>
            <w:tcBorders>
              <w:top w:val="single" w:color="D6E2EE" w:sz="1"/>
              <w:left w:val="single" w:color="D6E2EE" w:sz="1"/>
              <w:bottom w:val="single" w:color="D6E2EE" w:sz="1"/>
              <w:right w:val="single" w:color="D6E2EE" w:sz="1"/>
            </w:tcBorders>
            <w:shd w:fill="FFFFFF" w:val="clear"/>
            <w:tcMar>
              <w:top w:type="dxa" w:w="80"/>
              <w:left w:type="dxa" w:w="120"/>
              <w:bottom w:type="dxa" w:w="80"/>
              <w:right w:type="dxa" w:w="120"/>
            </w:tcMar>
          </w:tcPr>
          <w:p>
            <w:r>
              <w:rPr>
                <w:rFonts w:ascii="Arial" w:cs="Arial" w:eastAsia="Arial" w:hAnsi="Arial"/>
                <w:b/>
                <w:bCs/>
                <w:color w:val="4A7FA5"/>
                <w:sz w:val="20"/>
                <w:szCs w:val="20"/>
              </w:rPr>
              <w:t xml:space="preserve">186</w:t>
            </w:r>
          </w:p>
        </w:tc>
      </w:tr>
      <w:tr>
        <w:tc>
          <w:tcPr>
            <w:tcW w:type="dxa" w:w="576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color w:val="2C3A4A"/>
                <w:sz w:val="20"/>
                <w:szCs w:val="20"/>
              </w:rPr>
              <w:t xml:space="preserve">Local Government New Zealand</w:t>
            </w:r>
          </w:p>
        </w:tc>
        <w:tc>
          <w:tcPr>
            <w:tcW w:type="dxa" w:w="3600"/>
            <w:tcBorders>
              <w:top w:val="single" w:color="D6E2EE" w:sz="1"/>
              <w:left w:val="single" w:color="D6E2EE" w:sz="1"/>
              <w:bottom w:val="single" w:color="D6E2EE" w:sz="1"/>
              <w:right w:val="single" w:color="D6E2EE" w:sz="1"/>
            </w:tcBorders>
            <w:shd w:fill="F7F9FB" w:val="clear"/>
            <w:tcMar>
              <w:top w:type="dxa" w:w="80"/>
              <w:left w:type="dxa" w:w="120"/>
              <w:bottom w:type="dxa" w:w="80"/>
              <w:right w:type="dxa" w:w="120"/>
            </w:tcMar>
          </w:tcPr>
          <w:p>
            <w:r>
              <w:rPr>
                <w:rFonts w:ascii="Arial" w:cs="Arial" w:eastAsia="Arial" w:hAnsi="Arial"/>
                <w:b/>
                <w:bCs/>
                <w:color w:val="4A7FA5"/>
                <w:sz w:val="20"/>
                <w:szCs w:val="20"/>
              </w:rPr>
              <w:t xml:space="preserve">98</w:t>
            </w:r>
          </w:p>
        </w:tc>
      </w:tr>
    </w:tbl>
    <w:p>
      <w:pPr>
        <w:spacing w:before="0" w:after="160"/>
      </w:pPr>
    </w:p>
    <w:p>
      <w:pPr>
        <w:spacing w:before="0" w:after="240"/>
        <w:jc w:val="left"/>
      </w:pPr>
      <w:r>
        <w:rPr>
          <w:rFonts w:ascii="Arial" w:cs="Arial" w:eastAsia="Arial" w:hAnsi="Arial"/>
          <w:b w:val="false"/>
          <w:bCs w:val="false"/>
          <w:i w:val="false"/>
          <w:iCs w:val="false"/>
          <w:color w:val="2C3A4A"/>
          <w:sz w:val="22"/>
          <w:szCs w:val="22"/>
        </w:rPr>
        <w:t xml:space="preserve">The Ministry of Social Development (711 docs) significantly outweighs Housing New Zealand (186 docs). This suggests the corpus skews toward social policy broadly rather than housing specifically. Environment Canterbury (447 docs) and local government bodies also feature prominently, reflecting the multi-level governance structure of NZ housing policy.</w:t>
      </w:r>
    </w:p>
    <w:p>
      <w:pPr>
        <w:pStyle w:val="Heading1"/>
        <w:pBdr>
          <w:bottom w:val="single" w:color="4A7FA5" w:sz="8"/>
        </w:pBdr>
        <w:spacing w:before="320" w:after="120"/>
      </w:pPr>
      <w:r>
        <w:rPr>
          <w:rFonts w:ascii="Arial" w:cs="Arial" w:eastAsia="Arial" w:hAnsi="Arial"/>
          <w:b/>
          <w:bCs/>
          <w:color w:val="2C3A4A"/>
          <w:sz w:val="28"/>
          <w:szCs w:val="28"/>
        </w:rPr>
        <w:t xml:space="preserve">6. Document Timeline</w:t>
      </w:r>
    </w:p>
    <w:p>
      <w:pPr>
        <w:spacing w:before="0" w:after="160"/>
        <w:jc w:val="left"/>
      </w:pPr>
      <w:r>
        <w:rPr>
          <w:rFonts w:ascii="Arial" w:cs="Arial" w:eastAsia="Arial" w:hAnsi="Arial"/>
          <w:b w:val="false"/>
          <w:bCs w:val="false"/>
          <w:i w:val="false"/>
          <w:iCs w:val="false"/>
          <w:color w:val="2C3A4A"/>
          <w:sz w:val="22"/>
          <w:szCs w:val="22"/>
        </w:rPr>
        <w:t xml:space="preserve">The corpus is heavily weighted toward recent years, which is appropriate for a contemporary policy analysis:</w:t>
      </w:r>
    </w:p>
    <w:p>
      <w:pPr>
        <w:pStyle w:val="ListParagraph"/>
        <w:numPr>
          <w:ilvl w:val="0"/>
          <w:numId w:val="2"/>
        </w:numPr>
        <w:spacing w:before="0" w:after="80"/>
      </w:pPr>
      <w:r>
        <w:rPr>
          <w:rFonts w:ascii="Arial" w:cs="Arial" w:eastAsia="Arial" w:hAnsi="Arial"/>
          <w:color w:val="2C3A4A"/>
          <w:sz w:val="22"/>
          <w:szCs w:val="22"/>
        </w:rPr>
        <w:t xml:space="preserve">2024: 1,150 documents (largest single year — 16.6% of corpus)</w:t>
      </w:r>
    </w:p>
    <w:p>
      <w:pPr>
        <w:pStyle w:val="ListParagraph"/>
        <w:numPr>
          <w:ilvl w:val="0"/>
          <w:numId w:val="2"/>
        </w:numPr>
        <w:spacing w:before="0" w:after="80"/>
      </w:pPr>
      <w:r>
        <w:rPr>
          <w:rFonts w:ascii="Arial" w:cs="Arial" w:eastAsia="Arial" w:hAnsi="Arial"/>
          <w:color w:val="2C3A4A"/>
          <w:sz w:val="22"/>
          <w:szCs w:val="22"/>
        </w:rPr>
        <w:t xml:space="preserve">2020–2024: approximately 3,500 documents combined (50%+ of corpus)</w:t>
      </w:r>
    </w:p>
    <w:p>
      <w:pPr>
        <w:pStyle w:val="ListParagraph"/>
        <w:numPr>
          <w:ilvl w:val="0"/>
          <w:numId w:val="2"/>
        </w:numPr>
        <w:spacing w:before="0" w:after="80"/>
      </w:pPr>
      <w:r>
        <w:rPr>
          <w:rFonts w:ascii="Arial" w:cs="Arial" w:eastAsia="Arial" w:hAnsi="Arial"/>
          <w:color w:val="2C3A4A"/>
          <w:sz w:val="22"/>
          <w:szCs w:val="22"/>
        </w:rPr>
        <w:t xml:space="preserve">Pre-2015: coverage thins but extends back to the early 2000s</w:t>
      </w:r>
    </w:p>
    <w:p>
      <w:pPr>
        <w:pStyle w:val="ListParagraph"/>
        <w:numPr>
          <w:ilvl w:val="0"/>
          <w:numId w:val="2"/>
        </w:numPr>
        <w:spacing w:before="0" w:after="80"/>
      </w:pPr>
      <w:r>
        <w:rPr>
          <w:rFonts w:ascii="Arial" w:cs="Arial" w:eastAsia="Arial" w:hAnsi="Arial"/>
          <w:color w:val="2C3A4A"/>
          <w:sz w:val="22"/>
          <w:szCs w:val="22"/>
        </w:rPr>
        <w:t xml:space="preserve">2025: 284 documents — suggests corpus capture extends to early 2025</w:t>
      </w:r>
    </w:p>
    <w:p>
      <w:pPr>
        <w:spacing w:before="0" w:after="160"/>
      </w:pPr>
    </w:p>
    <w:p>
      <w:pPr>
        <w:spacing w:before="0" w:after="240"/>
        <w:jc w:val="left"/>
      </w:pPr>
      <w:r>
        <w:rPr>
          <w:rFonts w:ascii="Arial" w:cs="Arial" w:eastAsia="Arial" w:hAnsi="Arial"/>
          <w:b w:val="false"/>
          <w:bCs w:val="false"/>
          <w:i w:val="false"/>
          <w:iCs w:val="false"/>
          <w:color w:val="2C3A4A"/>
          <w:sz w:val="22"/>
          <w:szCs w:val="22"/>
        </w:rPr>
        <w:t xml:space="preserve">The recency bias is a feature, not a bug — it captures the post-COVID housing crisis period which is central to the research questions. However, it means the network will likely reflect contemporary institutional arrangements rather than longer historical patterns.</w:t>
      </w:r>
    </w:p>
    <w:p>
      <w:pPr>
        <w:pStyle w:val="Heading1"/>
        <w:pBdr>
          <w:bottom w:val="single" w:color="4A7FA5" w:sz="8"/>
        </w:pBdr>
        <w:spacing w:before="320" w:after="120"/>
      </w:pPr>
      <w:r>
        <w:rPr>
          <w:rFonts w:ascii="Arial" w:cs="Arial" w:eastAsia="Arial" w:hAnsi="Arial"/>
          <w:b/>
          <w:bCs/>
          <w:color w:val="2C3A4A"/>
          <w:sz w:val="28"/>
          <w:szCs w:val="28"/>
        </w:rPr>
        <w:t xml:space="preserve">7. Next Steps</w:t>
      </w:r>
    </w:p>
    <w:p>
      <w:pPr>
        <w:spacing w:before="0" w:after="160"/>
        <w:jc w:val="left"/>
      </w:pPr>
      <w:r>
        <w:rPr>
          <w:rFonts w:ascii="Arial" w:cs="Arial" w:eastAsia="Arial" w:hAnsi="Arial"/>
          <w:b w:val="false"/>
          <w:bCs w:val="false"/>
          <w:i w:val="false"/>
          <w:iCs w:val="false"/>
          <w:color w:val="2C3A4A"/>
          <w:sz w:val="22"/>
          <w:szCs w:val="22"/>
        </w:rPr>
        <w:t xml:space="preserve">Based on these findings, the recommended next steps are:</w:t>
      </w:r>
    </w:p>
    <w:p>
      <w:pPr>
        <w:pStyle w:val="ListParagraph"/>
        <w:numPr>
          <w:ilvl w:val="0"/>
          <w:numId w:val="2"/>
        </w:numPr>
        <w:spacing w:before="0" w:after="80"/>
      </w:pPr>
      <w:r>
        <w:rPr>
          <w:rFonts w:ascii="Arial" w:cs="Arial" w:eastAsia="Arial" w:hAnsi="Arial"/>
          <w:color w:val="2C3A4A"/>
          <w:sz w:val="22"/>
          <w:szCs w:val="22"/>
        </w:rPr>
        <w:t xml:space="preserve">Inspect the 158 unmatched documents to determine if they are scanned PDFs or legitimately empty of policy content</w:t>
      </w:r>
    </w:p>
    <w:p>
      <w:pPr>
        <w:pStyle w:val="ListParagraph"/>
        <w:numPr>
          <w:ilvl w:val="0"/>
          <w:numId w:val="2"/>
        </w:numPr>
        <w:spacing w:before="0" w:after="80"/>
      </w:pPr>
      <w:r>
        <w:rPr>
          <w:rFonts w:ascii="Arial" w:cs="Arial" w:eastAsia="Arial" w:hAnsi="Arial"/>
          <w:color w:val="2C3A4A"/>
          <w:sz w:val="22"/>
          <w:szCs w:val="22"/>
        </w:rPr>
        <w:t xml:space="preserve">Discuss with supervisors whether the Māori-governance dominance is expected signal or a corpus scoping issue</w:t>
      </w:r>
    </w:p>
    <w:p>
      <w:pPr>
        <w:pStyle w:val="ListParagraph"/>
        <w:numPr>
          <w:ilvl w:val="0"/>
          <w:numId w:val="2"/>
        </w:numPr>
        <w:spacing w:before="0" w:after="80"/>
      </w:pPr>
      <w:r>
        <w:rPr>
          <w:rFonts w:ascii="Arial" w:cs="Arial" w:eastAsia="Arial" w:hAnsi="Arial"/>
          <w:color w:val="2C3A4A"/>
          <w:sz w:val="22"/>
          <w:szCs w:val="22"/>
        </w:rPr>
        <w:t xml:space="preserve">Proceed to Phase 3: build Dict 2 (LLM-generated) and Dict 3 (corpus-derived) dictionaries</w:t>
      </w:r>
    </w:p>
    <w:p>
      <w:pPr>
        <w:pStyle w:val="ListParagraph"/>
        <w:numPr>
          <w:ilvl w:val="0"/>
          <w:numId w:val="2"/>
        </w:numPr>
        <w:spacing w:before="0" w:after="80"/>
      </w:pPr>
      <w:r>
        <w:rPr>
          <w:rFonts w:ascii="Arial" w:cs="Arial" w:eastAsia="Arial" w:hAnsi="Arial"/>
          <w:color w:val="2C3A4A"/>
          <w:sz w:val="22"/>
          <w:szCs w:val="22"/>
        </w:rPr>
        <w:t xml:space="preserve">Build Sample C (micro NZ corpus) as the first test sample for variation runs</w:t>
      </w:r>
    </w:p>
    <w:p>
      <w:pPr>
        <w:pStyle w:val="ListParagraph"/>
        <w:numPr>
          <w:ilvl w:val="0"/>
          <w:numId w:val="2"/>
        </w:numPr>
        <w:spacing w:before="0" w:after="80"/>
      </w:pPr>
      <w:r>
        <w:rPr>
          <w:rFonts w:ascii="Arial" w:cs="Arial" w:eastAsia="Arial" w:hAnsi="Arial"/>
          <w:color w:val="2C3A4A"/>
          <w:sz w:val="22"/>
          <w:szCs w:val="22"/>
        </w:rPr>
        <w:t xml:space="preserve">When reporting variation test results, always report precision and recall per category</w:t>
      </w:r>
    </w:p>
    <w:p>
      <w:pPr>
        <w:spacing w:before="0" w:after="240"/>
      </w:pPr>
    </w:p>
    <w:p>
      <w:pPr>
        <w:pBdr>
          <w:bottom w:val="single" w:color="D6E2EE" w:sz="4"/>
        </w:pBdr>
        <w:spacing w:before="80" w:after="80"/>
      </w:pPr>
      <w:r>
        <w:rPr>
          <w:rFonts w:ascii="Arial" w:cs="Arial" w:eastAsia="Arial" w:hAnsi="Arial"/>
          <w:sz w:val="4"/>
          <w:szCs w:val="4"/>
        </w:rPr>
        <w:t xml:space="preserve"/>
      </w:r>
    </w:p>
    <w:p>
      <w:pPr>
        <w:spacing w:before="0" w:after="0"/>
        <w:jc w:val="left"/>
      </w:pPr>
      <w:r>
        <w:rPr>
          <w:rFonts w:ascii="Arial" w:cs="Arial" w:eastAsia="Arial" w:hAnsi="Arial"/>
          <w:b w:val="false"/>
          <w:bCs w:val="false"/>
          <w:i/>
          <w:iCs/>
          <w:color w:val="8FA3B5"/>
          <w:sz w:val="22"/>
          <w:szCs w:val="22"/>
        </w:rPr>
        <w:t xml:space="preserve">Memo prepared with analytical support from Claude (Anthropic). Pipeline code written by Natalia Albert with supervision from Markus Luczak-Roesch and Hassan.</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FA3B5"/>
        <w:sz w:val="16"/>
        <w:szCs w:val="16"/>
      </w:rPr>
      <w:t xml:space="preserve">Natalia Albert  ·  PhD Candidate  ·  Te Herenga Waka — Victoria University of Wellington  ·  February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2C3A4A"/>
      <w:sz w:val="28"/>
      <w:szCs w:val="28"/>
    </w:rPr>
  </w:style>
  <w:style w:type="paragraph" w:styleId="Heading2">
    <w:name w:val="Heading 2"/>
    <w:basedOn w:val="Normal"/>
    <w:next w:val="Normal"/>
    <w:qFormat/>
    <w:pPr>
      <w:spacing w:before="280" w:after="80"/>
      <w:outlineLvl w:val="1"/>
    </w:pPr>
    <w:rPr>
      <w:rFonts w:ascii="Arial" w:cs="Arial" w:eastAsia="Arial" w:hAnsi="Arial"/>
      <w:b/>
      <w:bCs/>
      <w:color w:val="4A7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2026-02-19T06:10:14.523Z</dcterms:created>
  <dcterms:modified xsi:type="dcterms:W3CDTF">2026-02-19T06:10:14.524Z</dcterms:modified>
</cp:coreProperties>
</file>

<file path=docProps/custom.xml><?xml version="1.0" encoding="utf-8"?>
<Properties xmlns="http://schemas.openxmlformats.org/officeDocument/2006/custom-properties" xmlns:vt="http://schemas.openxmlformats.org/officeDocument/2006/docPropsVTypes"/>
</file>