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  <w:r w:rsidRPr="00D6703A">
        <w:rPr>
          <w:rStyle w:val="Forte"/>
          <w:rFonts w:cstheme="minorHAnsi"/>
          <w:b w:val="0"/>
        </w:rPr>
        <w:t>NATÁLIA CANHOLATO GOMES</w:t>
      </w: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D6703A" w:rsidRPr="00D6703A" w:rsidRDefault="00D6703A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  <w:r w:rsidRPr="00D6703A">
        <w:rPr>
          <w:rStyle w:val="Forte"/>
          <w:rFonts w:cstheme="minorHAnsi"/>
          <w:b w:val="0"/>
        </w:rPr>
        <w:t>ANÁLISE DE DADOS GENÔMICOS E ESTRUTURAIS DO SARS-COV-2</w:t>
      </w:r>
    </w:p>
    <w:p w:rsidR="00D6703A" w:rsidRDefault="00D6703A" w:rsidP="00A17E36">
      <w:pPr>
        <w:spacing w:after="0" w:line="360" w:lineRule="auto"/>
        <w:jc w:val="center"/>
        <w:rPr>
          <w:rStyle w:val="Forte"/>
          <w:rFonts w:cstheme="minorHAnsi"/>
        </w:rPr>
      </w:pPr>
    </w:p>
    <w:p w:rsidR="00D6703A" w:rsidRDefault="00D6703A" w:rsidP="00A17E36">
      <w:pPr>
        <w:spacing w:after="0" w:line="360" w:lineRule="auto"/>
        <w:jc w:val="center"/>
      </w:pPr>
      <w:r>
        <w:t>Trabalho apresentado à disciplina de Análise de Dados Genômicos</w:t>
      </w:r>
      <w:r>
        <w:br/>
        <w:t>do curso de Pós-Graduação em Bioinformática</w:t>
      </w:r>
    </w:p>
    <w:p w:rsidR="00D6703A" w:rsidRDefault="00D6703A" w:rsidP="00A17E36">
      <w:pPr>
        <w:spacing w:after="0" w:line="360" w:lineRule="auto"/>
        <w:jc w:val="center"/>
      </w:pPr>
    </w:p>
    <w:p w:rsidR="00032188" w:rsidRDefault="00032188" w:rsidP="00A17E36">
      <w:pPr>
        <w:spacing w:after="0" w:line="360" w:lineRule="auto"/>
        <w:jc w:val="center"/>
      </w:pPr>
    </w:p>
    <w:p w:rsidR="00032188" w:rsidRDefault="00032188" w:rsidP="00A17E36">
      <w:pPr>
        <w:spacing w:after="0" w:line="360" w:lineRule="auto"/>
        <w:jc w:val="center"/>
      </w:pPr>
    </w:p>
    <w:p w:rsidR="00032188" w:rsidRDefault="00032188" w:rsidP="00A17E36">
      <w:pPr>
        <w:spacing w:after="0" w:line="360" w:lineRule="auto"/>
        <w:jc w:val="center"/>
      </w:pPr>
    </w:p>
    <w:p w:rsidR="00032188" w:rsidRDefault="00032188" w:rsidP="00A17E36">
      <w:pPr>
        <w:spacing w:after="0" w:line="360" w:lineRule="auto"/>
        <w:jc w:val="center"/>
      </w:pPr>
    </w:p>
    <w:p w:rsidR="00032188" w:rsidRDefault="00032188" w:rsidP="00A17E36">
      <w:pPr>
        <w:spacing w:after="0" w:line="360" w:lineRule="auto"/>
        <w:jc w:val="center"/>
      </w:pPr>
    </w:p>
    <w:p w:rsidR="00032188" w:rsidRDefault="00032188" w:rsidP="00A17E36">
      <w:pPr>
        <w:spacing w:after="0" w:line="360" w:lineRule="auto"/>
        <w:jc w:val="center"/>
      </w:pPr>
    </w:p>
    <w:p w:rsidR="00032188" w:rsidRDefault="00032188" w:rsidP="00A17E36">
      <w:pPr>
        <w:spacing w:after="0" w:line="360" w:lineRule="auto"/>
        <w:jc w:val="center"/>
      </w:pPr>
    </w:p>
    <w:p w:rsidR="00D6703A" w:rsidRPr="00032188" w:rsidRDefault="00D6703A" w:rsidP="00A17E36">
      <w:pPr>
        <w:spacing w:after="0" w:line="360" w:lineRule="auto"/>
        <w:jc w:val="center"/>
      </w:pPr>
    </w:p>
    <w:p w:rsidR="00D6703A" w:rsidRPr="00032188" w:rsidRDefault="00032188" w:rsidP="00A17E36">
      <w:pPr>
        <w:spacing w:after="0" w:line="360" w:lineRule="auto"/>
        <w:jc w:val="center"/>
        <w:rPr>
          <w:rFonts w:eastAsia="Times New Roman" w:cstheme="minorHAnsi"/>
          <w:bCs/>
          <w:sz w:val="24"/>
          <w:szCs w:val="24"/>
          <w:lang w:eastAsia="pt-BR"/>
        </w:rPr>
      </w:pPr>
      <w:r w:rsidRPr="00032188">
        <w:rPr>
          <w:rFonts w:eastAsia="Times New Roman" w:cstheme="minorHAnsi"/>
          <w:bCs/>
          <w:sz w:val="24"/>
          <w:szCs w:val="24"/>
          <w:lang w:eastAsia="pt-BR"/>
        </w:rPr>
        <w:t>Instituição: UNYLEYA</w:t>
      </w:r>
    </w:p>
    <w:p w:rsidR="00032188" w:rsidRDefault="00032188" w:rsidP="00A17E36">
      <w:pPr>
        <w:spacing w:after="0" w:line="360" w:lineRule="auto"/>
        <w:jc w:val="center"/>
        <w:rPr>
          <w:rStyle w:val="Forte"/>
          <w:rFonts w:cstheme="minorHAnsi"/>
          <w:b w:val="0"/>
          <w:sz w:val="24"/>
          <w:szCs w:val="24"/>
          <w:shd w:val="clear" w:color="auto" w:fill="FFFFFF"/>
        </w:rPr>
      </w:pPr>
      <w:r w:rsidRPr="00032188">
        <w:rPr>
          <w:rFonts w:eastAsia="Times New Roman" w:cstheme="minorHAnsi"/>
          <w:bCs/>
          <w:sz w:val="24"/>
          <w:szCs w:val="24"/>
          <w:lang w:eastAsia="pt-BR"/>
        </w:rPr>
        <w:t xml:space="preserve">Tutor: </w:t>
      </w:r>
      <w:r w:rsidRPr="00032188">
        <w:rPr>
          <w:rStyle w:val="Forte"/>
          <w:rFonts w:cstheme="minorHAnsi"/>
          <w:b w:val="0"/>
          <w:sz w:val="24"/>
          <w:szCs w:val="24"/>
          <w:shd w:val="clear" w:color="auto" w:fill="FFFFFF"/>
        </w:rPr>
        <w:t>Gustavo Manoel Teixeira</w:t>
      </w:r>
    </w:p>
    <w:p w:rsidR="00032188" w:rsidRDefault="00032188" w:rsidP="00A17E36">
      <w:pPr>
        <w:spacing w:after="0" w:line="360" w:lineRule="auto"/>
        <w:jc w:val="center"/>
        <w:rPr>
          <w:rStyle w:val="Forte"/>
          <w:rFonts w:cstheme="minorHAnsi"/>
          <w:b w:val="0"/>
          <w:sz w:val="24"/>
          <w:szCs w:val="24"/>
          <w:shd w:val="clear" w:color="auto" w:fill="FFFFFF"/>
        </w:rPr>
      </w:pPr>
    </w:p>
    <w:p w:rsidR="00032188" w:rsidRDefault="00032188" w:rsidP="00A17E36">
      <w:pPr>
        <w:spacing w:after="0" w:line="360" w:lineRule="auto"/>
        <w:jc w:val="center"/>
        <w:rPr>
          <w:rStyle w:val="Forte"/>
          <w:rFonts w:cstheme="minorHAnsi"/>
          <w:b w:val="0"/>
          <w:sz w:val="24"/>
          <w:szCs w:val="24"/>
          <w:shd w:val="clear" w:color="auto" w:fill="FFFFFF"/>
        </w:rPr>
      </w:pPr>
    </w:p>
    <w:p w:rsidR="00032188" w:rsidRDefault="00032188" w:rsidP="00A17E36">
      <w:pPr>
        <w:spacing w:after="0" w:line="360" w:lineRule="auto"/>
        <w:jc w:val="center"/>
        <w:rPr>
          <w:rStyle w:val="Forte"/>
          <w:rFonts w:cstheme="minorHAnsi"/>
          <w:b w:val="0"/>
          <w:sz w:val="24"/>
          <w:szCs w:val="24"/>
          <w:shd w:val="clear" w:color="auto" w:fill="FFFFFF"/>
        </w:rPr>
      </w:pPr>
    </w:p>
    <w:p w:rsidR="00032188" w:rsidRDefault="00032188" w:rsidP="00A17E36">
      <w:pPr>
        <w:spacing w:after="0" w:line="360" w:lineRule="auto"/>
        <w:jc w:val="center"/>
        <w:rPr>
          <w:rStyle w:val="Forte"/>
          <w:rFonts w:cstheme="minorHAnsi"/>
          <w:b w:val="0"/>
          <w:sz w:val="24"/>
          <w:szCs w:val="24"/>
          <w:shd w:val="clear" w:color="auto" w:fill="FFFFFF"/>
        </w:rPr>
      </w:pPr>
    </w:p>
    <w:p w:rsidR="00032188" w:rsidRPr="00032188" w:rsidRDefault="00032188" w:rsidP="00A17E36">
      <w:pPr>
        <w:spacing w:after="0" w:line="360" w:lineRule="auto"/>
        <w:jc w:val="center"/>
        <w:rPr>
          <w:rFonts w:cstheme="minorHAnsi"/>
          <w:bCs/>
          <w:sz w:val="24"/>
          <w:szCs w:val="24"/>
          <w:shd w:val="clear" w:color="auto" w:fill="FFFFFF"/>
        </w:rPr>
      </w:pPr>
      <w:r>
        <w:rPr>
          <w:rStyle w:val="Forte"/>
          <w:rFonts w:cstheme="minorHAnsi"/>
          <w:b w:val="0"/>
          <w:sz w:val="24"/>
          <w:szCs w:val="24"/>
          <w:shd w:val="clear" w:color="auto" w:fill="FFFFFF"/>
        </w:rPr>
        <w:t>GUARAPARI</w:t>
      </w:r>
    </w:p>
    <w:p w:rsidR="00D6703A" w:rsidRDefault="00032188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  <w:r w:rsidRPr="00032188">
        <w:rPr>
          <w:rStyle w:val="Forte"/>
          <w:rFonts w:cstheme="minorHAnsi"/>
          <w:b w:val="0"/>
        </w:rPr>
        <w:t>2026</w:t>
      </w:r>
    </w:p>
    <w:p w:rsidR="00A17E36" w:rsidRDefault="00A17E36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451E38" w:rsidRDefault="00451E38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A17E36" w:rsidRPr="00032188" w:rsidRDefault="00A17E36" w:rsidP="00A17E36">
      <w:pPr>
        <w:spacing w:after="0" w:line="360" w:lineRule="auto"/>
        <w:jc w:val="center"/>
        <w:rPr>
          <w:rStyle w:val="Forte"/>
          <w:rFonts w:cstheme="minorHAnsi"/>
          <w:b w:val="0"/>
        </w:rPr>
      </w:pPr>
    </w:p>
    <w:p w:rsidR="00032188" w:rsidRPr="00032188" w:rsidRDefault="00032188" w:rsidP="00FE551C">
      <w:pPr>
        <w:pStyle w:val="NormalWeb"/>
        <w:spacing w:before="0" w:beforeAutospacing="0" w:after="0" w:afterAutospacing="0" w:line="360" w:lineRule="auto"/>
        <w:ind w:firstLine="709"/>
        <w:jc w:val="center"/>
        <w:rPr>
          <w:rFonts w:asciiTheme="minorHAnsi" w:hAnsiTheme="minorHAnsi" w:cstheme="minorHAnsi"/>
          <w:b/>
        </w:rPr>
      </w:pPr>
      <w:r w:rsidRPr="00032188">
        <w:rPr>
          <w:rFonts w:asciiTheme="minorHAnsi" w:hAnsiTheme="minorHAnsi" w:cstheme="minorHAnsi"/>
          <w:b/>
        </w:rPr>
        <w:lastRenderedPageBreak/>
        <w:t>ANÁLISE DE DADOS GENÔMICOS E ESTRUTURAIS DO SARS-CoV-2</w:t>
      </w:r>
    </w:p>
    <w:p w:rsidR="00D6703A" w:rsidRPr="00D6703A" w:rsidRDefault="00D6703A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D6703A">
        <w:rPr>
          <w:rFonts w:asciiTheme="minorHAnsi" w:hAnsiTheme="minorHAnsi" w:cstheme="minorHAnsi"/>
          <w:b/>
        </w:rPr>
        <w:t>INTRODUÇÃO</w:t>
      </w:r>
    </w:p>
    <w:p w:rsidR="00FE551C" w:rsidRDefault="003D45DA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D45DA">
        <w:rPr>
          <w:rFonts w:asciiTheme="minorHAnsi" w:hAnsiTheme="minorHAnsi" w:cstheme="minorHAnsi"/>
        </w:rPr>
        <w:t xml:space="preserve">O avanço das tecnologias de sequenciamento genético e análise estrutural tem permitido um entendimento aprofundado de organismos patogênicos em tempo recorde. Um exemplo marcante é o estudo do vírus responsável pela pandemia de COVID-19, o SARS-CoV-2. </w:t>
      </w:r>
    </w:p>
    <w:p w:rsidR="007A4627" w:rsidRDefault="007A4627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</w:p>
    <w:p w:rsidR="00FE551C" w:rsidRPr="003D45DA" w:rsidRDefault="00FE551C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D45DA">
        <w:rPr>
          <w:rFonts w:asciiTheme="minorHAnsi" w:hAnsiTheme="minorHAnsi" w:cstheme="minorHAnsi"/>
        </w:rPr>
        <w:t>A partir de plataformas como o National Center for Biotechnology Information (NCBI) e o Protein Data Bank (PDB), é possível acessar informações genômicas e estruturais essenciais para compreender os mecanismos de infecção viral e subsidiar o desenvolvimento de estratégias terapêuticas e vacinais. O NCBI reúne dados relacionados a sequências biológicas, como DNA e RNA, além de informações genômicas e bibliográficas, enquanto o PDB disponibiliza estruturas tridimensionais de macromoléculas biológicas, permitindo a visualização e análise detalhada de proteínas e suas interações.</w:t>
      </w:r>
    </w:p>
    <w:p w:rsidR="007A4627" w:rsidRDefault="007A4627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</w:p>
    <w:p w:rsidR="003D45DA" w:rsidRPr="00AC0355" w:rsidRDefault="003D45DA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D45DA">
        <w:rPr>
          <w:rFonts w:asciiTheme="minorHAnsi" w:hAnsiTheme="minorHAnsi" w:cstheme="minorHAnsi"/>
        </w:rPr>
        <w:t xml:space="preserve">Nesse contexto, o presente trabalho tem como objetivo explorar dados públicos disponíveis em bancos biológicos, analisando tanto o genoma viral quanto a estrutura de uma de suas </w:t>
      </w:r>
      <w:r w:rsidRPr="00AC0355">
        <w:rPr>
          <w:rFonts w:asciiTheme="minorHAnsi" w:hAnsiTheme="minorHAnsi" w:cstheme="minorHAnsi"/>
        </w:rPr>
        <w:t>principais proteínas.</w:t>
      </w:r>
    </w:p>
    <w:p w:rsidR="007A4627" w:rsidRDefault="007A4627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</w:p>
    <w:p w:rsidR="00AC0355" w:rsidRPr="00032188" w:rsidRDefault="00AC0355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032188">
        <w:rPr>
          <w:rFonts w:asciiTheme="minorHAnsi" w:hAnsiTheme="minorHAnsi" w:cstheme="minorHAnsi"/>
          <w:b/>
        </w:rPr>
        <w:t>METODOLOGIA</w:t>
      </w:r>
    </w:p>
    <w:p w:rsidR="001D1E43" w:rsidRPr="001D1E43" w:rsidRDefault="001D1E43" w:rsidP="001D1E43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1D1E43">
        <w:rPr>
          <w:rFonts w:eastAsia="Times New Roman" w:cs="Times New Roman"/>
          <w:sz w:val="24"/>
          <w:szCs w:val="24"/>
          <w:lang w:eastAsia="pt-BR"/>
        </w:rPr>
        <w:t>Os dados genômicos do SARS-CoV-2 foram obtidos a partir do banco de dados do National Center for Biotechnology Information (NCBI), utilizando o número de acesso NC_045512.2. A sequência analisada corresponde ao genoma completo do isolado Wuhan-Hu-1, composto por RNA de fita simples de sentido positivo.</w:t>
      </w:r>
    </w:p>
    <w:p w:rsidR="001D1E43" w:rsidRPr="001D1E43" w:rsidRDefault="001D1E43" w:rsidP="001D1E43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1D1E43">
        <w:rPr>
          <w:rFonts w:eastAsia="Times New Roman" w:cs="Times New Roman"/>
          <w:sz w:val="24"/>
          <w:szCs w:val="24"/>
          <w:lang w:eastAsia="pt-BR"/>
        </w:rPr>
        <w:t>A análise consistiu na exploração das informações genômicas disponíveis no registro, incluindo identificação de genes, organização genômica e caracterização de regiões codificantes. Foram observados genes relevantes para o ciclo viral, como o ORF1ab, responsável pela produção de proteínas não estruturais envolvidas na replicação, e o gene da proteína Spike, associado ao processo de entrada do vírus na célula hospedeira.</w:t>
      </w:r>
    </w:p>
    <w:p w:rsidR="001D1E43" w:rsidRPr="001D1E43" w:rsidRDefault="001D1E43" w:rsidP="001D1E43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1D1E43">
        <w:rPr>
          <w:rFonts w:eastAsia="Times New Roman" w:cs="Times New Roman"/>
          <w:sz w:val="24"/>
          <w:szCs w:val="24"/>
          <w:lang w:eastAsia="pt-BR"/>
        </w:rPr>
        <w:t xml:space="preserve">Informações adicionais sobre a obtenção da sequência indicam o uso de tecnologias de sequenciamento de nova geração (NGS), com plataforma Illumina e montagem realizada pelo </w:t>
      </w:r>
      <w:r w:rsidRPr="001D1E43">
        <w:rPr>
          <w:rFonts w:eastAsia="Times New Roman" w:cs="Times New Roman"/>
          <w:sz w:val="24"/>
          <w:szCs w:val="24"/>
          <w:lang w:eastAsia="pt-BR"/>
        </w:rPr>
        <w:lastRenderedPageBreak/>
        <w:t>algoritmo Megahit (v1.1.3), permitindo alta cobertura e precisão na reconstrução do genoma viral (NCBI, 2020).</w:t>
      </w:r>
    </w:p>
    <w:p w:rsidR="001D1E43" w:rsidRPr="001D1E43" w:rsidRDefault="001D1E43" w:rsidP="001D1E43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1D1E43">
        <w:rPr>
          <w:rFonts w:eastAsia="Times New Roman" w:cs="Times New Roman"/>
          <w:sz w:val="24"/>
          <w:szCs w:val="24"/>
          <w:lang w:eastAsia="pt-BR"/>
        </w:rPr>
        <w:t>A análise estrutural foi conduzida com base na estrutura tridimensional da proteína Spike disponível no Protein Data Bank (PDB), sob o identificador 6XRA. A partir dessa estrutura, foram avaliadas características moleculares como organização tridimensional, presença de cadeias polipeptídicas, sítios de glicosilação e distribuição de glicanos.</w:t>
      </w:r>
    </w:p>
    <w:p w:rsidR="001D1E43" w:rsidRPr="001D1E43" w:rsidRDefault="001D1E43" w:rsidP="001D1E43">
      <w:pPr>
        <w:spacing w:before="100" w:beforeAutospacing="1" w:after="100" w:afterAutospacing="1" w:line="360" w:lineRule="auto"/>
        <w:jc w:val="both"/>
        <w:rPr>
          <w:rFonts w:eastAsia="Times New Roman" w:cs="Times New Roman"/>
          <w:sz w:val="24"/>
          <w:szCs w:val="24"/>
          <w:lang w:eastAsia="pt-BR"/>
        </w:rPr>
      </w:pPr>
      <w:r w:rsidRPr="001D1E43">
        <w:rPr>
          <w:rFonts w:eastAsia="Times New Roman" w:cs="Times New Roman"/>
          <w:sz w:val="24"/>
          <w:szCs w:val="24"/>
          <w:lang w:eastAsia="pt-BR"/>
        </w:rPr>
        <w:t>A interpretação estrutural teve como foco a relação entre a conformação da proteína Spike e sua função biológica, especialmente sua interação com o receptor ACE2 e seu papel no processo de infecção viral, com base em dados descritos na literatura científica.</w:t>
      </w:r>
    </w:p>
    <w:p w:rsidR="007A4627" w:rsidRPr="001D1E43" w:rsidRDefault="007A4627" w:rsidP="001D1E43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</w:p>
    <w:p w:rsidR="00AC0355" w:rsidRPr="00D6703A" w:rsidRDefault="00AC0355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D6703A">
        <w:rPr>
          <w:rFonts w:asciiTheme="minorHAnsi" w:hAnsiTheme="minorHAnsi" w:cstheme="minorHAnsi"/>
          <w:b/>
        </w:rPr>
        <w:t>RESULTADOS E ANÁLISE</w:t>
      </w:r>
    </w:p>
    <w:p w:rsidR="00AC0355" w:rsidRDefault="007A4627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7A4627">
        <w:rPr>
          <w:rFonts w:asciiTheme="minorHAnsi" w:hAnsiTheme="minorHAnsi" w:cstheme="minorHAnsi"/>
        </w:rPr>
        <w:t>A análise da estrutura 6XRA evidenciou que a proteína Spike apresenta organização trimérica, sendo formada por três cadeias polipeptídicas idênticas associadas em uma estrutura funcional. Cada monômero possui domínios importantes, incluindo o domínio de ligação ao receptor (RBD – receptor binding domain), responsável pela interação com o receptor ACE2 presente na superfície das células humanas.</w:t>
      </w:r>
      <w:r w:rsidRPr="007A4627">
        <w:rPr>
          <w:rFonts w:asciiTheme="minorHAnsi" w:hAnsiTheme="minorHAnsi" w:cstheme="minorHAnsi"/>
        </w:rPr>
        <w:br/>
      </w:r>
      <w:r w:rsidRPr="007A4627">
        <w:rPr>
          <w:rFonts w:asciiTheme="minorHAnsi" w:hAnsiTheme="minorHAnsi" w:cstheme="minorHAnsi"/>
        </w:rPr>
        <w:br/>
        <w:t>Na conformação de pré-fusão, o RBD encontra-se disposto de forma a permitir essa interação, etapa essencial para o início da infecção. A ligação ao ACE2 desencadeia mudanças conformacionais que levam à exposição do peptídeo de fusão, promovendo a fusão entre a membrana viral e a membrana da célula hospedeira. Esse processo permite a entrada do material genético viral na célula e o início da replicação do vírus (WALLS et al., 2020).</w:t>
      </w:r>
      <w:r w:rsidRPr="007A4627">
        <w:rPr>
          <w:rFonts w:asciiTheme="minorHAnsi" w:hAnsiTheme="minorHAnsi" w:cstheme="minorHAnsi"/>
        </w:rPr>
        <w:br/>
      </w:r>
      <w:r w:rsidRPr="007A4627">
        <w:rPr>
          <w:rFonts w:asciiTheme="minorHAnsi" w:hAnsiTheme="minorHAnsi" w:cstheme="minorHAnsi"/>
        </w:rPr>
        <w:br/>
        <w:t>Além disso, a presença de glicanos distribuídos na superfície da proteína contribui para a formação de um escudo glicânico, dificultando o reconhecimento pelo sistema imunológico e aumentando a eficiência da infecção.</w:t>
      </w:r>
      <w:r w:rsidRPr="007A4627">
        <w:rPr>
          <w:rFonts w:asciiTheme="minorHAnsi" w:hAnsiTheme="minorHAnsi" w:cstheme="minorHAnsi"/>
        </w:rPr>
        <w:br/>
      </w:r>
      <w:r w:rsidRPr="007A4627">
        <w:rPr>
          <w:rFonts w:asciiTheme="minorHAnsi" w:hAnsiTheme="minorHAnsi" w:cstheme="minorHAnsi"/>
        </w:rPr>
        <w:br/>
        <w:t>Conforme observado na Figura 1, a estrutura trimérica da proteína Spike e a distribuição dos glicanos reforçam seu papel na interação com o hospedeiro e na evasão imunológica.</w:t>
      </w:r>
    </w:p>
    <w:p w:rsidR="006A487B" w:rsidRDefault="006A487B" w:rsidP="006A487B">
      <w:pPr>
        <w:pStyle w:val="NormalWeb"/>
        <w:spacing w:before="0" w:beforeAutospacing="0" w:after="0" w:afterAutospacing="0" w:line="360" w:lineRule="auto"/>
        <w:ind w:firstLine="709"/>
        <w:jc w:val="center"/>
        <w:rPr>
          <w:rFonts w:asciiTheme="minorHAnsi" w:hAnsiTheme="minorHAnsi" w:cstheme="minorHAnsi"/>
        </w:rPr>
      </w:pPr>
      <w:r w:rsidRPr="00AC0355">
        <w:rPr>
          <w:rFonts w:asciiTheme="minorHAnsi" w:hAnsiTheme="minorHAnsi" w:cstheme="minorHAnsi"/>
        </w:rPr>
        <w:lastRenderedPageBreak/>
        <w:drawing>
          <wp:inline distT="0" distB="0" distL="0" distR="0" wp14:anchorId="44D805E4" wp14:editId="2E66CEC6">
            <wp:extent cx="2198078" cy="22288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2995" cy="227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1BA8" w:rsidRDefault="00E211CF" w:rsidP="006A487B">
      <w:pPr>
        <w:pStyle w:val="NormalWeb"/>
        <w:spacing w:before="0" w:beforeAutospacing="0" w:after="0" w:afterAutospacing="0"/>
        <w:ind w:firstLine="709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Figura 1</w:t>
      </w:r>
      <w:r w:rsidRPr="00E211CF">
        <w:t xml:space="preserve"> </w:t>
      </w:r>
      <w:r>
        <w:t xml:space="preserve">– </w:t>
      </w:r>
      <w:r w:rsidR="00BC1BA8" w:rsidRPr="00BC1BA8">
        <w:rPr>
          <w:rFonts w:asciiTheme="minorHAnsi" w:hAnsiTheme="minorHAnsi" w:cstheme="minorHAnsi"/>
          <w:sz w:val="20"/>
          <w:szCs w:val="20"/>
        </w:rPr>
        <w:t>Estrutura tridimensional da proteína Spi</w:t>
      </w:r>
      <w:r>
        <w:rPr>
          <w:rFonts w:asciiTheme="minorHAnsi" w:hAnsiTheme="minorHAnsi" w:cstheme="minorHAnsi"/>
          <w:sz w:val="20"/>
          <w:szCs w:val="20"/>
        </w:rPr>
        <w:t>ke do SARS-CoV-2 (PDB ID: 6XRA).</w:t>
      </w:r>
    </w:p>
    <w:p w:rsidR="007A4627" w:rsidRPr="006A487B" w:rsidRDefault="007A4627" w:rsidP="006A487B">
      <w:pPr>
        <w:pStyle w:val="NormalWeb"/>
        <w:spacing w:before="0" w:beforeAutospacing="0" w:after="0" w:afterAutospacing="0"/>
        <w:ind w:firstLine="709"/>
        <w:jc w:val="center"/>
        <w:rPr>
          <w:rFonts w:asciiTheme="minorHAnsi" w:hAnsiTheme="minorHAnsi" w:cstheme="minorHAnsi"/>
          <w:i/>
          <w:sz w:val="20"/>
          <w:szCs w:val="20"/>
        </w:rPr>
      </w:pPr>
      <w:r w:rsidRPr="006A487B">
        <w:rPr>
          <w:rFonts w:asciiTheme="minorHAnsi" w:hAnsiTheme="minorHAnsi" w:cstheme="minorHAnsi"/>
          <w:i/>
          <w:sz w:val="20"/>
          <w:szCs w:val="20"/>
        </w:rPr>
        <w:t>Fonte: Protein Data Bank (PDB), ID 6XRA.</w:t>
      </w:r>
    </w:p>
    <w:p w:rsidR="007A4627" w:rsidRDefault="007A4627" w:rsidP="00FE551C">
      <w:pPr>
        <w:pStyle w:val="NormalWeb"/>
        <w:spacing w:before="0" w:beforeAutospacing="0" w:after="0" w:afterAutospacing="0" w:line="360" w:lineRule="auto"/>
        <w:ind w:firstLine="709"/>
        <w:jc w:val="both"/>
        <w:rPr>
          <w:rFonts w:asciiTheme="minorHAnsi" w:hAnsiTheme="minorHAnsi" w:cstheme="minorHAnsi"/>
        </w:rPr>
      </w:pPr>
    </w:p>
    <w:p w:rsidR="00032188" w:rsidRPr="00D6703A" w:rsidRDefault="00032188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  <w:b/>
        </w:rPr>
      </w:pPr>
      <w:r w:rsidRPr="00D6703A">
        <w:rPr>
          <w:rFonts w:asciiTheme="minorHAnsi" w:hAnsiTheme="minorHAnsi" w:cstheme="minorHAnsi"/>
          <w:b/>
        </w:rPr>
        <w:t>CONCLUSÃO</w:t>
      </w:r>
    </w:p>
    <w:p w:rsidR="001D1E43" w:rsidRDefault="003D45DA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D45DA">
        <w:rPr>
          <w:rFonts w:asciiTheme="minorHAnsi" w:hAnsiTheme="minorHAnsi" w:cstheme="minorHAnsi"/>
        </w:rPr>
        <w:t xml:space="preserve">A análise integrada dos dados genômicos e estruturais do SARS-CoV-2 evidencia como diferentes abordagens das ciências “ômicas” contribuem para o entendimento do funcionamento viral. </w:t>
      </w:r>
    </w:p>
    <w:p w:rsidR="001D1E43" w:rsidRDefault="001D1E43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</w:p>
    <w:p w:rsidR="003D45DA" w:rsidRDefault="003D45DA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D45DA">
        <w:rPr>
          <w:rFonts w:asciiTheme="minorHAnsi" w:hAnsiTheme="minorHAnsi" w:cstheme="minorHAnsi"/>
        </w:rPr>
        <w:t>O conhecimento detalhado do genoma permite identificar alvos moleculares para antivirais, enquanto a elucidação da estrutura tridimensional de proteínas-chave, como a Spike, orienta o desenvolvimento de vacinas e terapias baseadas em anticorpos (Wu et al., 2020).</w:t>
      </w:r>
    </w:p>
    <w:p w:rsidR="007A4627" w:rsidRDefault="007A4627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</w:p>
    <w:p w:rsidR="003D45DA" w:rsidRPr="003D45DA" w:rsidRDefault="003D45DA" w:rsidP="006A487B">
      <w:pPr>
        <w:pStyle w:val="NormalWeb"/>
        <w:spacing w:before="0" w:beforeAutospacing="0" w:after="0" w:afterAutospacing="0" w:line="360" w:lineRule="auto"/>
        <w:jc w:val="both"/>
        <w:rPr>
          <w:rFonts w:asciiTheme="minorHAnsi" w:hAnsiTheme="minorHAnsi" w:cstheme="minorHAnsi"/>
        </w:rPr>
      </w:pPr>
      <w:r w:rsidRPr="003D45DA">
        <w:rPr>
          <w:rFonts w:asciiTheme="minorHAnsi" w:hAnsiTheme="minorHAnsi" w:cstheme="minorHAnsi"/>
        </w:rPr>
        <w:t>Dessa forma, os dados disponíveis em bancos públicos desempenham papel fundamental no enfrentamento de emergências sanitárias globais. A rápida disponibilização dessas informações possibilitou avanços sem precedentes no combate à COVID-19, demonstrando como a integração entre biotecnologia, bioinformática e biologia estrutural é essencial para respostas rápidas e eficazes em saúde pública.</w:t>
      </w:r>
    </w:p>
    <w:p w:rsidR="007A4627" w:rsidRDefault="007A4627" w:rsidP="006A487B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</w:p>
    <w:p w:rsidR="003D45DA" w:rsidRDefault="003D45DA" w:rsidP="006A487B">
      <w:pPr>
        <w:spacing w:after="0" w:line="360" w:lineRule="auto"/>
        <w:jc w:val="both"/>
        <w:rPr>
          <w:rFonts w:cstheme="minorHAnsi"/>
          <w:b/>
          <w:sz w:val="24"/>
          <w:szCs w:val="24"/>
        </w:rPr>
      </w:pPr>
      <w:r w:rsidRPr="002E446F">
        <w:rPr>
          <w:rFonts w:cstheme="minorHAnsi"/>
          <w:b/>
          <w:sz w:val="24"/>
          <w:szCs w:val="24"/>
        </w:rPr>
        <w:t>REFERÊNCIAS</w:t>
      </w:r>
    </w:p>
    <w:p w:rsidR="00FE551C" w:rsidRPr="00FE551C" w:rsidRDefault="00FE551C" w:rsidP="009A3F89">
      <w:pPr>
        <w:pStyle w:val="NormalWeb"/>
        <w:spacing w:after="0"/>
        <w:rPr>
          <w:rFonts w:asciiTheme="minorHAnsi" w:hAnsiTheme="minorHAnsi" w:cstheme="minorHAnsi"/>
        </w:rPr>
      </w:pPr>
      <w:bookmarkStart w:id="0" w:name="_GoBack"/>
      <w:bookmarkEnd w:id="0"/>
      <w:r w:rsidRPr="00FE551C">
        <w:rPr>
          <w:rFonts w:asciiTheme="minorHAnsi" w:hAnsiTheme="minorHAnsi" w:cstheme="minorHAnsi"/>
        </w:rPr>
        <w:t>WU, F. et al. A new coronavirus associated with human respiratory disease in China. Nature, v. 579, p. 265–269, 2020.</w:t>
      </w:r>
    </w:p>
    <w:p w:rsidR="00FE551C" w:rsidRPr="00FE551C" w:rsidRDefault="00FE551C" w:rsidP="009A3F89">
      <w:pPr>
        <w:pStyle w:val="NormalWeb"/>
        <w:spacing w:after="0"/>
        <w:rPr>
          <w:rFonts w:asciiTheme="minorHAnsi" w:hAnsiTheme="minorHAnsi" w:cstheme="minorHAnsi"/>
        </w:rPr>
      </w:pPr>
      <w:r w:rsidRPr="00FE551C">
        <w:rPr>
          <w:rFonts w:asciiTheme="minorHAnsi" w:hAnsiTheme="minorHAnsi" w:cstheme="minorHAnsi"/>
        </w:rPr>
        <w:t>WALLS, A. C. et al. Structure, function, and antigenicity of the SARS-CoV-2 spike glycoprotein. Cell, v. 181, n. 2, p. 281–292, 2020.</w:t>
      </w:r>
    </w:p>
    <w:p w:rsidR="00FE551C" w:rsidRPr="00FE551C" w:rsidRDefault="00FE551C" w:rsidP="009A3F89">
      <w:pPr>
        <w:pStyle w:val="NormalWeb"/>
        <w:spacing w:after="0"/>
        <w:rPr>
          <w:rFonts w:asciiTheme="minorHAnsi" w:hAnsiTheme="minorHAnsi" w:cstheme="minorHAnsi"/>
        </w:rPr>
      </w:pPr>
      <w:r w:rsidRPr="00FE551C">
        <w:rPr>
          <w:rFonts w:asciiTheme="minorHAnsi" w:hAnsiTheme="minorHAnsi" w:cstheme="minorHAnsi"/>
        </w:rPr>
        <w:lastRenderedPageBreak/>
        <w:t>HOFFMANN, M. et al. SARS-CoV-2 cell entry depends on ACE2 and TMPRSS2. Cell, v. 181, p. 271–280, 2020.</w:t>
      </w:r>
    </w:p>
    <w:p w:rsidR="00FE551C" w:rsidRPr="00FE551C" w:rsidRDefault="00FE551C" w:rsidP="009A3F89">
      <w:pPr>
        <w:pStyle w:val="NormalWeb"/>
        <w:spacing w:after="0"/>
        <w:rPr>
          <w:rFonts w:asciiTheme="minorHAnsi" w:hAnsiTheme="minorHAnsi" w:cstheme="minorHAnsi"/>
        </w:rPr>
      </w:pPr>
      <w:r w:rsidRPr="00FE551C">
        <w:rPr>
          <w:rFonts w:asciiTheme="minorHAnsi" w:hAnsiTheme="minorHAnsi" w:cstheme="minorHAnsi"/>
        </w:rPr>
        <w:t>NCBI. SARS-CoV-2 isolate Wuhan-Hu-1, complete genome. Acesso: NC_045512.2. Disponível em: &lt;https://www.ncbi.nlm.nih.gov/nuccore/NC_045512.2&gt;.</w:t>
      </w:r>
    </w:p>
    <w:p w:rsidR="00FE551C" w:rsidRPr="003D45DA" w:rsidRDefault="00FE551C" w:rsidP="009A3F89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E551C">
        <w:rPr>
          <w:rFonts w:asciiTheme="minorHAnsi" w:hAnsiTheme="minorHAnsi" w:cstheme="minorHAnsi"/>
        </w:rPr>
        <w:t>PDB. Structure of SARS-CoV-2 spike glycoprotein (6XRA). Disponível em: &lt;https://www.rcsb.org/structure/6XRA&gt;.</w:t>
      </w:r>
    </w:p>
    <w:p w:rsidR="006B6823" w:rsidRPr="003D45DA" w:rsidRDefault="006B6823" w:rsidP="009A3F89">
      <w:pPr>
        <w:spacing w:line="240" w:lineRule="auto"/>
        <w:rPr>
          <w:rFonts w:cstheme="minorHAnsi"/>
          <w:sz w:val="24"/>
          <w:szCs w:val="24"/>
        </w:rPr>
      </w:pPr>
    </w:p>
    <w:sectPr w:rsidR="006B6823" w:rsidRPr="003D45DA" w:rsidSect="003963CE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954CE" w:rsidRDefault="004954CE" w:rsidP="00615224">
      <w:pPr>
        <w:spacing w:after="0" w:line="240" w:lineRule="auto"/>
      </w:pPr>
      <w:r>
        <w:separator/>
      </w:r>
    </w:p>
  </w:endnote>
  <w:endnote w:type="continuationSeparator" w:id="0">
    <w:p w:rsidR="004954CE" w:rsidRDefault="004954CE" w:rsidP="00615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954CE" w:rsidRDefault="004954CE" w:rsidP="00615224">
      <w:pPr>
        <w:spacing w:after="0" w:line="240" w:lineRule="auto"/>
      </w:pPr>
      <w:r>
        <w:separator/>
      </w:r>
    </w:p>
  </w:footnote>
  <w:footnote w:type="continuationSeparator" w:id="0">
    <w:p w:rsidR="004954CE" w:rsidRDefault="004954CE" w:rsidP="006152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D4DD5"/>
    <w:multiLevelType w:val="multilevel"/>
    <w:tmpl w:val="64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224"/>
    <w:rsid w:val="00032188"/>
    <w:rsid w:val="001D1E43"/>
    <w:rsid w:val="002B68C9"/>
    <w:rsid w:val="002E446F"/>
    <w:rsid w:val="003963CE"/>
    <w:rsid w:val="003D45DA"/>
    <w:rsid w:val="00426587"/>
    <w:rsid w:val="00451E38"/>
    <w:rsid w:val="004954CE"/>
    <w:rsid w:val="005A7F79"/>
    <w:rsid w:val="005E0215"/>
    <w:rsid w:val="005E613E"/>
    <w:rsid w:val="00615224"/>
    <w:rsid w:val="006960CA"/>
    <w:rsid w:val="006A487B"/>
    <w:rsid w:val="006B6823"/>
    <w:rsid w:val="006C3EBC"/>
    <w:rsid w:val="007A4627"/>
    <w:rsid w:val="0088769B"/>
    <w:rsid w:val="0098086B"/>
    <w:rsid w:val="009A3F89"/>
    <w:rsid w:val="00A17E36"/>
    <w:rsid w:val="00AC0355"/>
    <w:rsid w:val="00BC1BA8"/>
    <w:rsid w:val="00CF6F03"/>
    <w:rsid w:val="00D6703A"/>
    <w:rsid w:val="00DF453E"/>
    <w:rsid w:val="00E211CF"/>
    <w:rsid w:val="00E41519"/>
    <w:rsid w:val="00FE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188A0"/>
  <w15:chartTrackingRefBased/>
  <w15:docId w15:val="{9100A986-8402-4475-8B15-D56A9ABF1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152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15224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61522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15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whitespace-normal">
    <w:name w:val="whitespace-normal"/>
    <w:basedOn w:val="Fontepargpadro"/>
    <w:rsid w:val="00615224"/>
  </w:style>
  <w:style w:type="character" w:styleId="nfase">
    <w:name w:val="Emphasis"/>
    <w:basedOn w:val="Fontepargpadro"/>
    <w:uiPriority w:val="20"/>
    <w:qFormat/>
    <w:rsid w:val="00615224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615224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6152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15224"/>
  </w:style>
  <w:style w:type="paragraph" w:styleId="Rodap">
    <w:name w:val="footer"/>
    <w:basedOn w:val="Normal"/>
    <w:link w:val="RodapChar"/>
    <w:uiPriority w:val="99"/>
    <w:unhideWhenUsed/>
    <w:rsid w:val="0061522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152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809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2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5583</TotalTime>
  <Pages>5</Pages>
  <Words>916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2026-05-02T20:36:00Z</dcterms:created>
  <dcterms:modified xsi:type="dcterms:W3CDTF">2026-05-06T18:53:00Z</dcterms:modified>
</cp:coreProperties>
</file>