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Взаимодействие КЭДО с Госуслугами: как это работает и зачем бизнесу в 2026 году</w:t>
      </w:r>
    </w:p>
    <w:p>
      <w:r>
        <w:rPr>
          <w:b w:val="0"/>
          <w:i/>
          <w:sz w:val="22"/>
        </w:rPr>
        <w:t>Meta title: Взаимодействие КЭДО с Госуслугами: как работает в 2026</w:t>
      </w:r>
    </w:p>
    <w:p>
      <w:r>
        <w:rPr>
          <w:b w:val="0"/>
          <w:i/>
          <w:sz w:val="22"/>
        </w:rPr>
        <w:t>Meta description: Разбираем взаимодействие КЭДО с Госуслугами: ЕСИА, МЧД, СМЭВ, требования ФЗ-63 и ФЗ-377. Механика обмена данными и выгоды для HR и ИТ.</w:t>
      </w:r>
    </w:p>
    <w:p>
      <w:r>
        <w:rPr>
          <w:b w:val="0"/>
          <w:i/>
          <w:sz w:val="22"/>
        </w:rPr>
        <w:t>Slug: vzaimodeystvie-kedo-s-gosuslugami</w:t>
      </w:r>
    </w:p>
    <w:p>
      <w:r>
        <w:rPr>
          <w:b w:val="0"/>
          <w:i/>
          <w:sz w:val="22"/>
        </w:rPr>
        <w:t>Keywords: взаимодействие КЭДО с Госуслугами, КЭДО и Госуслуги интеграция, КЭДО закон требования Госуслуги, МЧД, ЕСИА, ФЗ-63, ФЗ-377</w:t>
      </w:r>
    </w:p>
    <w:p>
      <w:r>
        <w:rPr>
          <w:b w:val="0"/>
          <w:i/>
          <w:sz w:val="22"/>
        </w:rPr>
        <w:t>Дата: 2026-04-20</w:t>
      </w:r>
    </w:p>
    <w:p/>
    <w:p>
      <w:r>
        <w:rPr>
          <w:b w:val="0"/>
          <w:i w:val="0"/>
          <w:sz w:val="22"/>
        </w:rPr>
        <w:t>С 1 сентября 2023 года поправки в ФЗ-63 «Об электронной подписи» изменили правила игры: если сотрудник подписывает документ от имени юридического лица личной УКЭП, но без машиночитаемой доверенности (МЧД), зарегистрированной в реестре Госуслуг, — такой документ юридической силы не имеет. При этом проникновение кадрового ЭДО в России — всего около 20% компаний (CNews), а рынок КЭДО растёт на 80% в год. Для 80% бизнеса, который только начинает переход на электронные кадры, вопрос «как именно КЭДО взаимодействует с Госуслугами» перестал быть технической деталью и стал требованием compliance.</w:t>
      </w:r>
    </w:p>
    <w:p>
      <w:r>
        <w:rPr>
          <w:b w:val="0"/>
          <w:i w:val="0"/>
          <w:sz w:val="22"/>
        </w:rPr>
        <w:t>Госуслуги — это не просто портал для граждан. Для корпоративного сектора это инфраструктура идентификации (ЕСИА), реестр МЧД (partners.gosuslugi.ru/catalog/attorney), канал межведомственного обмена (СМЭВ) и точка юридически значимой верификации личности сотрудника при выпуске электронной подписи. Без этой инфраструктуры кадровый электронный документооборот в 2026 году не работает — ни юридически, ни технически.</w:t>
      </w:r>
    </w:p>
    <w:p>
      <w:r>
        <w:rPr>
          <w:b w:val="0"/>
          <w:i w:val="0"/>
          <w:sz w:val="22"/>
        </w:rPr>
        <w:t>В статье разберём механику обмена данными между КЭДО и Госуслугами, случаи, когда интеграция обязательна по закону, и практический эффект для HR-, ИТ- и финансовых служб: от ускорения онбординга до снижения compliance-рисков.</w:t>
      </w:r>
    </w:p>
    <w:p>
      <w:r>
        <w:rPr>
          <w:b/>
          <w:i w:val="0"/>
          <w:sz w:val="22"/>
        </w:rPr>
        <w:t>Статья подготовлена вместе с экспертами</w:t>
      </w:r>
    </w:p>
    <w:p>
      <w:r>
        <w:rPr>
          <w:b/>
          <w:i w:val="0"/>
          <w:sz w:val="22"/>
        </w:rPr>
        <w:t>Анастасия Прощаева</w:t>
      </w:r>
      <w:r>
        <w:rPr>
          <w:b w:val="0"/>
          <w:i w:val="0"/>
          <w:sz w:val="22"/>
        </w:rPr>
        <w:t>, Директор по продукту HR Tech, VK Tech</w:t>
      </w:r>
    </w:p>
    <w:p>
      <w:r>
        <w:rPr>
          <w:b/>
          <w:i w:val="0"/>
          <w:sz w:val="22"/>
        </w:rPr>
        <w:t>Эксперт по безопасности данных VK HR Tek</w:t>
      </w:r>
      <w:r>
        <w:rPr>
          <w:b w:val="0"/>
          <w:i w:val="0"/>
          <w:sz w:val="22"/>
        </w:rPr>
        <w:t xml:space="preserve"> — сопровождение внедрений КЭДО в enterprise и госсекторе</w:t>
      </w:r>
    </w:p>
    <w:p/>
    <w:p>
      <w:r>
        <w:rPr>
          <w:b/>
          <w:i w:val="0"/>
          <w:sz w:val="22"/>
        </w:rPr>
        <w:t>В статье:</w:t>
      </w:r>
    </w:p>
    <w:p>
      <w:pPr>
        <w:pStyle w:val="ListBullet"/>
      </w:pPr>
      <w:r>
        <w:rPr>
          <w:sz w:val="22"/>
        </w:rPr>
        <w:t>Роль портала Госуслуги в кадровых процессах</w:t>
      </w:r>
    </w:p>
    <w:p>
      <w:pPr>
        <w:pStyle w:val="ListBullet"/>
      </w:pPr>
      <w:r>
        <w:rPr>
          <w:sz w:val="22"/>
        </w:rPr>
        <w:t>Когда интеграция КЭДО с Госуслугами обязательна</w:t>
      </w:r>
    </w:p>
    <w:p>
      <w:pPr>
        <w:pStyle w:val="ListBullet"/>
      </w:pPr>
      <w:r>
        <w:rPr>
          <w:sz w:val="22"/>
        </w:rPr>
        <w:t>Как работает интеграция КЭДО с Госуслугами</w:t>
      </w:r>
    </w:p>
    <w:p>
      <w:pPr>
        <w:pStyle w:val="ListBullet"/>
      </w:pPr>
      <w:r>
        <w:rPr>
          <w:sz w:val="22"/>
        </w:rPr>
        <w:t>Какие задачи решает интеграция</w:t>
      </w:r>
    </w:p>
    <w:p>
      <w:pPr>
        <w:pStyle w:val="ListBullet"/>
      </w:pPr>
      <w:r>
        <w:rPr>
          <w:sz w:val="22"/>
        </w:rPr>
        <w:t>Преимущества для HR и бизнеса</w:t>
      </w:r>
    </w:p>
    <w:p>
      <w:pPr>
        <w:pStyle w:val="ListBullet"/>
      </w:pPr>
      <w:r>
        <w:rPr>
          <w:sz w:val="22"/>
        </w:rPr>
        <w:t>Как автоматизировать взаимодействие с Госуслугами в VK HR Tek</w:t>
      </w:r>
    </w:p>
    <w:p>
      <w:pPr>
        <w:pStyle w:val="ListBullet"/>
      </w:pPr>
      <w:r>
        <w:rPr>
          <w:sz w:val="22"/>
        </w:rPr>
        <w:t>Мифы и ошибки: что путают про КЭДО и Госуслуги</w:t>
      </w:r>
    </w:p>
    <w:p>
      <w:pPr>
        <w:pStyle w:val="ListBullet"/>
      </w:pPr>
      <w:r>
        <w:rPr>
          <w:sz w:val="22"/>
        </w:rPr>
        <w:t>Выводы</w:t>
      </w:r>
    </w:p>
    <w:p>
      <w:pPr>
        <w:pStyle w:val="ListBullet"/>
      </w:pPr>
      <w:r>
        <w:rPr>
          <w:sz w:val="22"/>
        </w:rPr>
        <w:t>FAQ</w:t>
      </w:r>
    </w:p>
    <w:p>
      <w:pPr>
        <w:pStyle w:val="Heading1"/>
      </w:pPr>
      <w:r>
        <w:rPr>
          <w:rFonts w:ascii="Calibri" w:hAnsi="Calibri"/>
        </w:rPr>
        <w:t>Роль портала Госуслуги в кадровых процессах</w:t>
      </w:r>
    </w:p>
    <w:p>
      <w:r>
        <w:rPr>
          <w:b w:val="0"/>
          <w:i w:val="0"/>
          <w:sz w:val="22"/>
        </w:rPr>
        <w:t>Портал Госуслуг для кадрового документооборота выполняет четыре функции, каждая из которых закреплена отдельным нормативным актом.</w:t>
      </w:r>
    </w:p>
    <w:p>
      <w:r>
        <w:rPr>
          <w:b/>
          <w:i w:val="0"/>
          <w:sz w:val="22"/>
        </w:rPr>
        <w:t>Госуслуги (ЕПГУ)</w:t>
      </w:r>
      <w:r>
        <w:rPr>
          <w:b w:val="0"/>
          <w:i w:val="0"/>
          <w:sz w:val="22"/>
        </w:rPr>
        <w:t xml:space="preserve"> — единая точка доступа к государственным сервисам РФ. В связке с ЕСИА (Единая система идентификации и аутентификации) обеспечивает подтверждение личности гражданина и юридическую значимость операций.</w:t>
      </w:r>
    </w:p>
    <w:p>
      <w:pPr>
        <w:pStyle w:val="Heading2"/>
      </w:pPr>
      <w:r>
        <w:rPr>
          <w:rFonts w:ascii="Calibri" w:hAnsi="Calibri"/>
        </w:rPr>
        <w:t>Четыре роли Госуслуг для КЭДО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2"/>
              </w:rPr>
              <w:t>Роль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2"/>
              </w:rPr>
              <w:t>Что делает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2"/>
              </w:rPr>
              <w:t>Нормативная база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2"/>
              </w:rPr>
            </w:r>
            <w:r>
              <w:rPr>
                <w:b/>
                <w:sz w:val="22"/>
              </w:rPr>
              <w:t>Идентификация через ЕСИА</w:t>
            </w:r>
            <w:r>
              <w:rPr>
                <w:sz w:val="22"/>
              </w:rPr>
            </w:r>
          </w:p>
        </w:tc>
        <w:tc>
          <w:tcPr>
            <w:tcW w:type="dxa" w:w="3135"/>
          </w:tcPr>
          <w:p>
            <w:r/>
            <w:r>
              <w:rPr>
                <w:sz w:val="22"/>
              </w:rPr>
              <w:t>Подтверждение личности сотрудника при выпуске электронной подписи и подписании документов</w:t>
            </w:r>
          </w:p>
        </w:tc>
        <w:tc>
          <w:tcPr>
            <w:tcW w:type="dxa" w:w="3135"/>
          </w:tcPr>
          <w:p>
            <w:r/>
            <w:r>
              <w:rPr>
                <w:sz w:val="22"/>
              </w:rPr>
              <w:t>ФЗ-63 «Об электронной подписи», Постановление Правительства № 996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2"/>
              </w:rPr>
            </w:r>
            <w:r>
              <w:rPr>
                <w:b/>
                <w:sz w:val="22"/>
              </w:rPr>
              <w:t>Реестр МЧД</w:t>
            </w:r>
            <w:r>
              <w:rPr>
                <w:sz w:val="22"/>
              </w:rPr>
            </w:r>
          </w:p>
        </w:tc>
        <w:tc>
          <w:tcPr>
            <w:tcW w:type="dxa" w:w="3135"/>
          </w:tcPr>
          <w:p>
            <w:r/>
            <w:r>
              <w:rPr>
                <w:sz w:val="22"/>
              </w:rPr>
              <w:t>Хранение и проверка машиночитаемых доверенностей при подписании от имени юрлица</w:t>
            </w:r>
          </w:p>
        </w:tc>
        <w:tc>
          <w:tcPr>
            <w:tcW w:type="dxa" w:w="3135"/>
          </w:tcPr>
          <w:p>
            <w:r/>
            <w:r>
              <w:rPr>
                <w:sz w:val="22"/>
              </w:rPr>
              <w:t>ФЗ-63 (ред. 01.09.2023), Приказ ФНС от 30.04.2021 № ЕД-7-26/445@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2"/>
              </w:rPr>
            </w:r>
            <w:r>
              <w:rPr>
                <w:b/>
                <w:sz w:val="22"/>
              </w:rPr>
              <w:t>Канал СМЭВ</w:t>
            </w:r>
            <w:r>
              <w:rPr>
                <w:sz w:val="22"/>
              </w:rPr>
            </w:r>
          </w:p>
        </w:tc>
        <w:tc>
          <w:tcPr>
            <w:tcW w:type="dxa" w:w="3135"/>
          </w:tcPr>
          <w:p>
            <w:r/>
            <w:r>
              <w:rPr>
                <w:sz w:val="22"/>
              </w:rPr>
              <w:t>Межведомственный обмен для валидации паспортных данных, СНИЛС, ИНН</w:t>
            </w:r>
          </w:p>
        </w:tc>
        <w:tc>
          <w:tcPr>
            <w:tcW w:type="dxa" w:w="3135"/>
          </w:tcPr>
          <w:p>
            <w:r/>
            <w:r>
              <w:rPr>
                <w:sz w:val="22"/>
              </w:rPr>
              <w:t>ФЗ-210 «Об организации предоставления государственных услуг»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2"/>
              </w:rPr>
            </w:r>
            <w:r>
              <w:rPr>
                <w:b/>
                <w:sz w:val="22"/>
              </w:rPr>
              <w:t>Передача данных в госорганы</w:t>
            </w:r>
            <w:r>
              <w:rPr>
                <w:sz w:val="22"/>
              </w:rPr>
            </w:r>
          </w:p>
        </w:tc>
        <w:tc>
          <w:tcPr>
            <w:tcW w:type="dxa" w:w="3135"/>
          </w:tcPr>
          <w:p>
            <w:r/>
            <w:r>
              <w:rPr>
                <w:sz w:val="22"/>
              </w:rPr>
              <w:t>Отправка сведений о трудовой деятельности (ЕФС-1), справок в СФР, уведомлений в МВД</w:t>
            </w:r>
          </w:p>
        </w:tc>
        <w:tc>
          <w:tcPr>
            <w:tcW w:type="dxa" w:w="3135"/>
          </w:tcPr>
          <w:p>
            <w:r/>
            <w:r>
              <w:rPr>
                <w:sz w:val="22"/>
              </w:rPr>
              <w:t>ФЗ-439, ФЗ-27 «О персональном учёте»</w:t>
            </w:r>
          </w:p>
        </w:tc>
      </w:tr>
    </w:tbl>
    <w:p>
      <w:r>
        <w:rPr>
          <w:b w:val="0"/>
          <w:i w:val="0"/>
          <w:sz w:val="22"/>
        </w:rPr>
        <w:t>Для HR-службы Госуслуги — это способ удалённо оформить сотрудника без бумажного паспорта и визита кадровика. Для ИТ — канал, который закрывает вопрос «как доверять данным, которые ввёл сотрудник». Для compliance — единственный юридически корректный способ подтвердить полномочия подписанта, если это не генеральный директор.</w:t>
      </w:r>
    </w:p>
    <w:p>
      <w:pPr>
        <w:ind w:left="567"/>
      </w:pPr>
      <w:r>
        <w:rPr>
          <w:i/>
          <w:sz w:val="22"/>
        </w:rPr>
        <w:t>«Сегодня компаниям уже недостаточно просто подписывать документы в электронном виде — им нужно комплексное решение, которое покрывает весь жизненный цикл сотрудника»</w:t>
      </w:r>
    </w:p>
    <w:p>
      <w:pPr>
        <w:ind w:left="567"/>
      </w:pPr>
      <w:r>
        <w:rPr>
          <w:i/>
          <w:sz w:val="20"/>
        </w:rPr>
        <w:t>— Анастасия Прощаева, Директор по продукту HR Tech, VK Tech</w:t>
      </w:r>
    </w:p>
    <w:p>
      <w:pPr>
        <w:pStyle w:val="Heading1"/>
      </w:pPr>
      <w:r>
        <w:rPr>
          <w:rFonts w:ascii="Calibri" w:hAnsi="Calibri"/>
        </w:rPr>
        <w:t>Когда интеграция КЭДО с Госуслугами обязательна</w:t>
      </w:r>
    </w:p>
    <w:p>
      <w:r>
        <w:rPr>
          <w:b w:val="0"/>
          <w:i w:val="0"/>
          <w:sz w:val="22"/>
        </w:rPr>
        <w:t>Разберём три сценария, где закон требует прямого или косвенного взаимодействия КЭДО с Госуслугами. Остальные сценарии — опциональные, но разумные с точки зрения безопасности.</w:t>
      </w:r>
    </w:p>
    <w:p>
      <w:pPr>
        <w:pStyle w:val="Heading2"/>
      </w:pPr>
      <w:r>
        <w:rPr>
          <w:rFonts w:ascii="Calibri" w:hAnsi="Calibri"/>
        </w:rPr>
        <w:t>Сценарий 1. Подписание документов от имени юрлица сотрудником (не генеральным директором)</w:t>
      </w:r>
    </w:p>
    <w:p>
      <w:r>
        <w:rPr>
          <w:b w:val="0"/>
          <w:i w:val="0"/>
          <w:sz w:val="22"/>
        </w:rPr>
        <w:t>С 1 сентября 2023 года, согласно ФЗ-63 (ред.), сотрудник может подписывать документы от имени организации только при соблюдении двух условий:</w:t>
      </w:r>
    </w:p>
    <w:p>
      <w:pPr>
        <w:pStyle w:val="ListNumber"/>
      </w:pPr>
      <w:r>
        <w:rPr>
          <w:sz w:val="22"/>
        </w:rPr>
        <w:t xml:space="preserve">У сотрудника есть </w:t>
      </w:r>
      <w:r>
        <w:rPr>
          <w:b/>
          <w:sz w:val="22"/>
        </w:rPr>
        <w:t>личная УКЭП</w:t>
      </w:r>
      <w:r>
        <w:rPr>
          <w:sz w:val="22"/>
        </w:rPr>
        <w:t>, выпущенная аккредитованным удостоверяющим центром.</w:t>
      </w:r>
    </w:p>
    <w:p>
      <w:pPr>
        <w:pStyle w:val="ListNumber"/>
      </w:pPr>
      <w:r>
        <w:rPr>
          <w:sz w:val="22"/>
        </w:rPr>
        <w:t xml:space="preserve">В организации оформлена </w:t>
      </w:r>
      <w:r>
        <w:rPr>
          <w:b/>
          <w:sz w:val="22"/>
        </w:rPr>
        <w:t>МЧД (машиночитаемая доверенность)</w:t>
      </w:r>
      <w:r>
        <w:rPr>
          <w:sz w:val="22"/>
        </w:rPr>
        <w:t xml:space="preserve"> в формате XML, подписана УКЭП генерального директора и </w:t>
      </w:r>
      <w:r>
        <w:rPr>
          <w:b/>
          <w:sz w:val="22"/>
        </w:rPr>
        <w:t>зарегистрирована в реестре на Госуслугах</w:t>
      </w:r>
      <w:r>
        <w:rPr>
          <w:sz w:val="22"/>
        </w:rPr>
        <w:t xml:space="preserve"> (partners.gosuslugi.ru/catalog/attorney).</w:t>
      </w:r>
    </w:p>
    <w:p>
      <w:r>
        <w:rPr>
          <w:b w:val="0"/>
          <w:i w:val="0"/>
          <w:sz w:val="22"/>
        </w:rPr>
        <w:t>Без МЧД подпись сотрудника на документе, адресованном внешним контрагентам или госорганам, юридической силы не имеет. Это прямое требование закона — обойти его нельзя.</w:t>
      </w:r>
    </w:p>
    <w:p>
      <w:pPr>
        <w:pStyle w:val="Heading2"/>
      </w:pPr>
      <w:r>
        <w:rPr>
          <w:rFonts w:ascii="Calibri" w:hAnsi="Calibri"/>
        </w:rPr>
        <w:t>Сценарий 2. Удалённый выпуск электронной подписи сотруднику</w:t>
      </w:r>
    </w:p>
    <w:p>
      <w:r>
        <w:rPr>
          <w:b w:val="0"/>
          <w:i w:val="0"/>
          <w:sz w:val="22"/>
        </w:rPr>
        <w:t>Если компания выпускает УНЭП или УКЭП сотруднику удалённо (без его визита в офис или УЦ), личность нужно подтвердить через ЕСИА. В системе КЭДО это выглядит так: сотрудник авторизуется через портал Госуслуг, проверяет уведомление от удостоверяющего центра (например, СКБ Контур), подтверждает выпуск сертификата по ссылке. Ссылка действительна 24 часа.</w:t>
      </w:r>
    </w:p>
    <w:p>
      <w:r>
        <w:rPr>
          <w:b w:val="0"/>
          <w:i w:val="0"/>
          <w:sz w:val="22"/>
        </w:rPr>
        <w:t>Согласно ФЗ-63, удалённая идентификация без ЕСИА возможна только в ограниченных случаях (биометрия ЕБС, идентификация через банк). Для массового корпоративного применения ЕСИА — стандарт де-факто.</w:t>
      </w:r>
    </w:p>
    <w:p>
      <w:pPr>
        <w:pStyle w:val="Heading2"/>
      </w:pPr>
      <w:r>
        <w:rPr>
          <w:rFonts w:ascii="Calibri" w:hAnsi="Calibri"/>
        </w:rPr>
        <w:t>Сценарий 3. Передача сведений в СФР через ЕФС-1</w:t>
      </w:r>
    </w:p>
    <w:p>
      <w:r>
        <w:rPr>
          <w:b w:val="0"/>
          <w:i w:val="0"/>
          <w:sz w:val="22"/>
        </w:rPr>
        <w:t>Отчёт ЕФС-1 — единственная форма передачи сведений о кадровых событиях (приём, увольнение, перевод) в Социальный фонд России. Формат и сроки регулирует Постановление Правления ПФР № 245п и ФЗ-27. Технически отчёт передаётся через операторов ЭДО или личный кабинет СФР, но идентификация юрлица и сотрудника, подписывающего ЕФС-1, проходит через ЕСИА и проверяется по реестру МЧД.</w:t>
      </w:r>
    </w:p>
    <w:p>
      <w:pPr>
        <w:pStyle w:val="Heading2"/>
      </w:pPr>
      <w:r>
        <w:rPr>
          <w:rFonts w:ascii="Calibri" w:hAnsi="Calibri"/>
        </w:rPr>
        <w:t>Когда интеграция не требуется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Ситуация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2"/>
              </w:rPr>
              <w:t>Нужна ли интеграция с Госуслугами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2"/>
              </w:rPr>
              <w:t>Внутренние кадровые документы (приказ о назначении, ознакомление с ЛНА), подписывает гендиректор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Нет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2"/>
              </w:rPr>
              <w:t>Подписание сотрудником документов от своего имени (заявление на отпуск, отчёт) ПЭП или УНЭП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Нет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2"/>
              </w:rPr>
              <w:t>Подписание сотрудником документов от имени компании контрагентам или в госорганы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</w:r>
            <w:r>
              <w:rPr>
                <w:b/>
                <w:sz w:val="22"/>
              </w:rPr>
              <w:t>Да, МЧД через Госуслуги обязательна</w:t>
            </w:r>
            <w:r>
              <w:rPr>
                <w:sz w:val="22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2"/>
              </w:rPr>
              <w:t>Удалённый выпуск УНЭП/УКЭП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</w:r>
            <w:r>
              <w:rPr>
                <w:b/>
                <w:sz w:val="22"/>
              </w:rPr>
              <w:t>Да, ЕСИА обязательна</w:t>
            </w:r>
            <w:r>
              <w:rPr>
                <w:sz w:val="22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2"/>
              </w:rPr>
              <w:t>Отправка ЕФС-1 в СФР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</w:r>
            <w:r>
              <w:rPr>
                <w:b/>
                <w:sz w:val="22"/>
              </w:rPr>
              <w:t>Да, через МЧД и ЕСИА</w:t>
            </w:r>
            <w:r>
              <w:rPr>
                <w:sz w:val="22"/>
              </w:rPr>
            </w:r>
          </w:p>
        </w:tc>
      </w:tr>
    </w:tbl>
    <w:p>
      <w:r>
        <w:rPr>
          <w:b w:val="0"/>
          <w:i w:val="0"/>
          <w:sz w:val="22"/>
        </w:rPr>
        <w:t>Практический вывод: если в компании больше одного подписанта по кадрам, взаимодействие КЭДО с Госуслугами — не опция, а инфраструктурное требование.</w:t>
      </w:r>
    </w:p>
    <w:p>
      <w:pPr>
        <w:pStyle w:val="Heading1"/>
      </w:pPr>
      <w:r>
        <w:rPr>
          <w:rFonts w:ascii="Calibri" w:hAnsi="Calibri"/>
        </w:rPr>
        <w:t>Как работает интеграция КЭДО с Госуслугами</w:t>
      </w:r>
    </w:p>
    <w:p>
      <w:r>
        <w:rPr>
          <w:b w:val="0"/>
          <w:i w:val="0"/>
          <w:sz w:val="22"/>
        </w:rPr>
        <w:t>Механика обмена данными между КЭДО и Госуслугами раскладывается на четыре независимых процесса. Каждый работает по своему протоколу и закрывает свою задачу.</w:t>
      </w:r>
    </w:p>
    <w:p>
      <w:pPr>
        <w:pStyle w:val="Heading2"/>
      </w:pPr>
      <w:r>
        <w:rPr>
          <w:rFonts w:ascii="Calibri" w:hAnsi="Calibri"/>
        </w:rPr>
        <w:t>Процесс 1. Идентификация сотрудника через ЕСИА</w:t>
      </w:r>
    </w:p>
    <w:p>
      <w:r>
        <w:rPr>
          <w:b w:val="0"/>
          <w:i w:val="0"/>
          <w:sz w:val="22"/>
        </w:rPr>
        <w:t>Шаги при удалённом подключении сотрудника к КЭДО:</w:t>
      </w:r>
    </w:p>
    <w:p>
      <w:pPr>
        <w:pStyle w:val="ListNumber"/>
      </w:pPr>
      <w:r>
        <w:rPr>
          <w:sz w:val="22"/>
        </w:rPr>
        <w:t>HR создаёт карточку сотрудника в КЭДО или 1С:ЗУП и инициирует выпуск электронной подписи.</w:t>
      </w:r>
    </w:p>
    <w:p>
      <w:pPr>
        <w:pStyle w:val="ListNumber"/>
      </w:pPr>
      <w:r>
        <w:rPr>
          <w:sz w:val="22"/>
        </w:rPr>
        <w:t>Сотрудник получает приглашение в личный кабинет КЭДО — по e-mail или SMS.</w:t>
      </w:r>
    </w:p>
    <w:p>
      <w:pPr>
        <w:pStyle w:val="ListNumber"/>
      </w:pPr>
      <w:r>
        <w:rPr>
          <w:sz w:val="22"/>
        </w:rPr>
        <w:t>В личном кабинете сотрудник авторизуется через ЕСИА (требуется подтверждённая учётная запись на Госуслугах).</w:t>
      </w:r>
    </w:p>
    <w:p>
      <w:pPr>
        <w:pStyle w:val="ListNumber"/>
      </w:pPr>
      <w:r>
        <w:rPr>
          <w:sz w:val="22"/>
        </w:rPr>
        <w:t>Система сверяет данные из ЕСИА (ФИО, СНИЛС, паспорт, дата рождения) с карточкой в КЭДО.</w:t>
      </w:r>
    </w:p>
    <w:p>
      <w:pPr>
        <w:pStyle w:val="ListNumber"/>
      </w:pPr>
      <w:r>
        <w:rPr>
          <w:sz w:val="22"/>
        </w:rPr>
        <w:t>При совпадении удостоверяющий центр (например, СКБ Контур) выпускает сертификат. Сотрудник получает уведомление и подтверждает выпуск по ссылке в течение 24 часов.</w:t>
      </w:r>
    </w:p>
    <w:p>
      <w:pPr>
        <w:pStyle w:val="ListNumber"/>
      </w:pPr>
      <w:r>
        <w:rPr>
          <w:sz w:val="22"/>
        </w:rPr>
        <w:t>Сертификат попадает в КЭДО, сотрудник готов к подписанию.</w:t>
      </w:r>
    </w:p>
    <w:p>
      <w:r>
        <w:rPr>
          <w:b w:val="0"/>
          <w:i w:val="0"/>
          <w:sz w:val="22"/>
        </w:rPr>
        <w:t>Если у сотрудника нет подтверждённой учётной записи на Госуслугах, возможен альтернативный путь: HR верифицирует личность очно по паспорту и отмечает это в системе. Это допускается ФЗ-63 при условии, что процедура зафиксирована во внутреннем регламенте.</w:t>
      </w:r>
    </w:p>
    <w:p>
      <w:pPr>
        <w:pStyle w:val="Heading2"/>
      </w:pPr>
      <w:r>
        <w:rPr>
          <w:rFonts w:ascii="Calibri" w:hAnsi="Calibri"/>
        </w:rPr>
        <w:t>Процесс 2. Работа с МЧД через реестр на Госуслугах</w:t>
      </w:r>
    </w:p>
    <w:p>
      <w:r>
        <w:rPr>
          <w:b w:val="0"/>
          <w:i w:val="0"/>
          <w:sz w:val="22"/>
        </w:rPr>
        <w:t>МЧД — это XML-файл, содержащий данные доверителя (организация), представителя (сотрудник) и перечень полномочий. Жизненный цикл МЧД: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2"/>
              </w:rPr>
              <w:t>Этап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2"/>
              </w:rPr>
              <w:t>Что происходит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2"/>
              </w:rPr>
              <w:t>Где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2"/>
              </w:rPr>
              <w:t>Формирование</w:t>
            </w:r>
          </w:p>
        </w:tc>
        <w:tc>
          <w:tcPr>
            <w:tcW w:type="dxa" w:w="3135"/>
          </w:tcPr>
          <w:p>
            <w:r/>
            <w:r>
              <w:rPr>
                <w:sz w:val="22"/>
              </w:rPr>
              <w:t>HR или юрист создаёт МЧД в КЭДО, указывает полномочия и срок</w:t>
            </w:r>
          </w:p>
        </w:tc>
        <w:tc>
          <w:tcPr>
            <w:tcW w:type="dxa" w:w="3135"/>
          </w:tcPr>
          <w:p>
            <w:r/>
            <w:r>
              <w:rPr>
                <w:sz w:val="22"/>
              </w:rPr>
              <w:t>Внутри КЭДО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2"/>
              </w:rPr>
              <w:t>Подписание</w:t>
            </w:r>
          </w:p>
        </w:tc>
        <w:tc>
          <w:tcPr>
            <w:tcW w:type="dxa" w:w="3135"/>
          </w:tcPr>
          <w:p>
            <w:r/>
            <w:r>
              <w:rPr>
                <w:sz w:val="22"/>
              </w:rPr>
              <w:t>Гендиректор подписывает МЧД своей УКЭП (выдаёт только ФНС)</w:t>
            </w:r>
          </w:p>
        </w:tc>
        <w:tc>
          <w:tcPr>
            <w:tcW w:type="dxa" w:w="3135"/>
          </w:tcPr>
          <w:p>
            <w:r/>
            <w:r>
              <w:rPr>
                <w:sz w:val="22"/>
              </w:rPr>
              <w:t>Внутри КЭДО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2"/>
              </w:rPr>
              <w:t>Регистрация</w:t>
            </w:r>
          </w:p>
        </w:tc>
        <w:tc>
          <w:tcPr>
            <w:tcW w:type="dxa" w:w="3135"/>
          </w:tcPr>
          <w:p>
            <w:r/>
            <w:r>
              <w:rPr>
                <w:sz w:val="22"/>
              </w:rPr>
              <w:t>МЧД загружается в единый реестр</w:t>
            </w:r>
          </w:p>
        </w:tc>
        <w:tc>
          <w:tcPr>
            <w:tcW w:type="dxa" w:w="3135"/>
          </w:tcPr>
          <w:p>
            <w:r/>
            <w:r>
              <w:rPr>
                <w:sz w:val="22"/>
              </w:rPr>
              <w:t>partners.gosuslugi.ru/catalog/attorney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2"/>
              </w:rPr>
              <w:t>Использование</w:t>
            </w:r>
          </w:p>
        </w:tc>
        <w:tc>
          <w:tcPr>
            <w:tcW w:type="dxa" w:w="3135"/>
          </w:tcPr>
          <w:p>
            <w:r/>
            <w:r>
              <w:rPr>
                <w:sz w:val="22"/>
              </w:rPr>
              <w:t>При подписании документа система автоматически прилагает актуальную МЧД</w:t>
            </w:r>
          </w:p>
        </w:tc>
        <w:tc>
          <w:tcPr>
            <w:tcW w:type="dxa" w:w="3135"/>
          </w:tcPr>
          <w:p>
            <w:r/>
            <w:r>
              <w:rPr>
                <w:sz w:val="22"/>
              </w:rPr>
              <w:t>Внутри КЭДО + проверка через Госуслуги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2"/>
              </w:rPr>
              <w:t>Отзыв</w:t>
            </w:r>
          </w:p>
        </w:tc>
        <w:tc>
          <w:tcPr>
            <w:tcW w:type="dxa" w:w="3135"/>
          </w:tcPr>
          <w:p>
            <w:r/>
            <w:r>
              <w:rPr>
                <w:sz w:val="22"/>
              </w:rPr>
              <w:t>При увольнении или смене полномочий МЧД отзывается в реестре</w:t>
            </w:r>
          </w:p>
        </w:tc>
        <w:tc>
          <w:tcPr>
            <w:tcW w:type="dxa" w:w="3135"/>
          </w:tcPr>
          <w:p>
            <w:r/>
            <w:r>
              <w:rPr>
                <w:sz w:val="22"/>
              </w:rPr>
              <w:t>partners.gosuslugi.ru</w:t>
            </w:r>
          </w:p>
        </w:tc>
      </w:tr>
    </w:tbl>
    <w:p>
      <w:r>
        <w:rPr>
          <w:b w:val="0"/>
          <w:i w:val="0"/>
          <w:sz w:val="22"/>
        </w:rPr>
        <w:t>Формат МЧД стандартизирован ФНС (Приказ № ЕД-7-26/445@). Форматы XML версий 1.0 и 003 поддерживаются большинством современных КЭДО-платформ.</w:t>
      </w:r>
    </w:p>
    <w:p>
      <w:pPr>
        <w:pStyle w:val="Heading2"/>
      </w:pPr>
      <w:r>
        <w:rPr>
          <w:rFonts w:ascii="Calibri" w:hAnsi="Calibri"/>
        </w:rPr>
        <w:t>Процесс 3. Валидация данных через СМЭВ</w:t>
      </w:r>
    </w:p>
    <w:p>
      <w:r>
        <w:rPr>
          <w:b w:val="0"/>
          <w:i w:val="0"/>
          <w:sz w:val="22"/>
        </w:rPr>
        <w:t>При оформлении сотрудника система КЭДО может через СМЭВ проверить корректность паспортных данных (действителен ли паспорт, не числится ли в розыске), СНИЛС и ИНН. Этот запрос идёт не напрямую на Госуслуги — СМЭВ работает как шина между ведомствами (МВД, ФНС, СФР). Для ИТ-архитектора это означает: КЭДО-платформа должна иметь аккредитацию поставщика и настроенный канал СМЭВ либо использовать операторов, которые предоставляют эту услугу as-a-service.</w:t>
      </w:r>
    </w:p>
    <w:p>
      <w:pPr>
        <w:pStyle w:val="Heading2"/>
      </w:pPr>
      <w:r>
        <w:rPr>
          <w:rFonts w:ascii="Calibri" w:hAnsi="Calibri"/>
        </w:rPr>
        <w:t>Процесс 4. Передача отчётности в госорганы</w:t>
      </w:r>
    </w:p>
    <w:p>
      <w:r>
        <w:rPr>
          <w:b w:val="0"/>
          <w:i w:val="0"/>
          <w:sz w:val="22"/>
        </w:rPr>
        <w:t>Отчёты в СФР (ЕФС-1), уведомления о приёме иностранных граждан в МВД, справки о доходах — всё это конечные точки, куда КЭДО передаёт данные. Передача идёт через операторов ЭДО, но юридическая значимость обеспечивается именно связкой ЕСИА + МЧД через Госуслуги.</w:t>
      </w:r>
    </w:p>
    <w:p/>
    <w:p>
      <w:r>
        <w:rPr>
          <w:b w:val="0"/>
          <w:i/>
          <w:sz w:val="22"/>
        </w:rPr>
        <w:t>[Примечание: исходный текст был передан в усечённом виде — документ включает весь переданный объём.]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