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D11E" w14:textId="77777777" w:rsidR="00300D0D" w:rsidRPr="00300D0D" w:rsidRDefault="00300D0D" w:rsidP="00300D0D">
      <w:pPr>
        <w:rPr>
          <w:b/>
          <w:bCs/>
        </w:rPr>
      </w:pPr>
      <w:r w:rsidRPr="00300D0D">
        <w:rPr>
          <w:b/>
          <w:bCs/>
        </w:rPr>
        <w:t>Background</w:t>
      </w:r>
    </w:p>
    <w:p w14:paraId="658357B6" w14:textId="7AC8D806" w:rsidR="00966A98" w:rsidRDefault="00966A98" w:rsidP="00300D0D">
      <w:r>
        <w:t>Traditional Alzheimer's disease (AD) biomarker research relies on associational methods that cannot distinguish correlation from causation, limiting inference about disease mechanisms. Causal discovery algorithms infer directional relationships from observational data while accounting for latent confounding. To our knowledge, this is among the first applications of constraint-based causal discovery to multimodal plasma and neuroimaging biomarkers in AD, aimed at characterising the causal positioning of established markers in disease progression.</w:t>
      </w:r>
    </w:p>
    <w:p w14:paraId="57F9B5D0" w14:textId="77777777" w:rsidR="00966A98" w:rsidRDefault="00966A98" w:rsidP="00300D0D"/>
    <w:p w14:paraId="36AE546D" w14:textId="77777777" w:rsidR="00300D0D" w:rsidRPr="00300D0D" w:rsidRDefault="00300D0D" w:rsidP="00300D0D">
      <w:pPr>
        <w:rPr>
          <w:b/>
          <w:bCs/>
        </w:rPr>
      </w:pPr>
      <w:r w:rsidRPr="00300D0D">
        <w:rPr>
          <w:b/>
          <w:bCs/>
        </w:rPr>
        <w:t>Methods</w:t>
      </w:r>
    </w:p>
    <w:p w14:paraId="58E9BC80" w14:textId="798E0E46" w:rsidR="00300D0D" w:rsidRDefault="00300D0D" w:rsidP="00300D0D">
      <w:r>
        <w:t>We applied the Fast Causal Inference (FCI) algorithm (</w:t>
      </w:r>
      <w:proofErr w:type="spellStart"/>
      <w:r>
        <w:t>causallearn</w:t>
      </w:r>
      <w:proofErr w:type="spellEnd"/>
      <w:r>
        <w:t xml:space="preserve">, </w:t>
      </w:r>
      <w:r w:rsidR="00A16040">
        <w:t>p</w:t>
      </w:r>
      <w:r>
        <w:t>ython) to baseline</w:t>
      </w:r>
      <w:r w:rsidR="00A16040">
        <w:t>-visit</w:t>
      </w:r>
      <w:r>
        <w:t xml:space="preserve"> data from the Alzheimer's Disease Neuroimaging Initiative (ADNI), comprising plasma biomarkers (pTau217, Aβ42/40, GFAP, </w:t>
      </w:r>
      <w:proofErr w:type="spellStart"/>
      <w:r>
        <w:t>NfL</w:t>
      </w:r>
      <w:proofErr w:type="spellEnd"/>
      <w:r>
        <w:t xml:space="preserve">), neuroimaging measures, demographics, and cognitive outcomes </w:t>
      </w:r>
      <w:r>
        <w:t>(</w:t>
      </w:r>
      <w:r>
        <w:t>ADAS-Cog</w:t>
      </w:r>
      <w:r w:rsidR="00A036A4">
        <w:t>13</w:t>
      </w:r>
      <w:r>
        <w:t>)</w:t>
      </w:r>
      <w:r w:rsidR="00474274">
        <w:t xml:space="preserve"> (n=550, (</w:t>
      </w:r>
      <w:r w:rsidR="0093196A">
        <w:t>2</w:t>
      </w:r>
      <w:r w:rsidR="008C28F8">
        <w:t>8</w:t>
      </w:r>
      <w:r w:rsidR="0093196A">
        <w:t xml:space="preserve">9 </w:t>
      </w:r>
      <w:r w:rsidR="00474274">
        <w:t>CN/</w:t>
      </w:r>
      <w:r w:rsidR="0093196A">
        <w:t xml:space="preserve">192 </w:t>
      </w:r>
      <w:r w:rsidR="00474274">
        <w:t>MC</w:t>
      </w:r>
      <w:r w:rsidR="008C28F8">
        <w:t>I</w:t>
      </w:r>
      <w:r w:rsidR="00A16040">
        <w:t>/6</w:t>
      </w:r>
      <w:r w:rsidR="00A16040">
        <w:t>9 AD</w:t>
      </w:r>
      <w:r w:rsidR="00474274">
        <w:t>)</w:t>
      </w:r>
      <w:r w:rsidR="0093196A">
        <w:t>)</w:t>
      </w:r>
      <w:r>
        <w:t>. Non-linear kernel conditional independence tests were used (α = 0.05). Causal structure stability was assessed via bootstrap resampling</w:t>
      </w:r>
      <w:r w:rsidR="00474274">
        <w:t xml:space="preserve"> (n=</w:t>
      </w:r>
      <w:r w:rsidR="00A16040">
        <w:t>2</w:t>
      </w:r>
      <w:r w:rsidR="00474274">
        <w:t>00)</w:t>
      </w:r>
      <w:r>
        <w:t xml:space="preserve"> with randomised variable ordering</w:t>
      </w:r>
      <w:r w:rsidR="00A036A4">
        <w:t xml:space="preserve">. We restricted demographic variables to root nodes and ADAS-Cog13 to a sink node using background knowledge </w:t>
      </w:r>
      <w:r w:rsidR="006B30C4">
        <w:t>functionality</w:t>
      </w:r>
      <w:r>
        <w:t>.</w:t>
      </w:r>
      <w:r w:rsidR="00A16040">
        <w:t xml:space="preserve"> We report edges with a frequency of </w:t>
      </w:r>
      <w:r w:rsidR="00A16040" w:rsidRPr="00A16040">
        <w:t>≥</w:t>
      </w:r>
      <w:r w:rsidR="00E54DD3">
        <w:t>0.5</w:t>
      </w:r>
      <w:r w:rsidR="00A16040">
        <w:t xml:space="preserve"> as </w:t>
      </w:r>
      <w:r w:rsidR="00E54DD3">
        <w:t xml:space="preserve">stable and exclude edges with a frequency of </w:t>
      </w:r>
      <w:r w:rsidR="00E54DD3" w:rsidRPr="00E54DD3">
        <w:t>≤</w:t>
      </w:r>
      <w:r w:rsidR="00E54DD3">
        <w:t>0.1</w:t>
      </w:r>
      <w:r w:rsidR="00A16040">
        <w:t>.</w:t>
      </w:r>
    </w:p>
    <w:p w14:paraId="037A4327" w14:textId="77777777" w:rsidR="00474274" w:rsidRDefault="00474274" w:rsidP="00300D0D"/>
    <w:p w14:paraId="19F171B7" w14:textId="77777777" w:rsidR="00300D0D" w:rsidRPr="00300D0D" w:rsidRDefault="00300D0D" w:rsidP="00300D0D">
      <w:pPr>
        <w:rPr>
          <w:b/>
          <w:bCs/>
        </w:rPr>
      </w:pPr>
      <w:r w:rsidRPr="00300D0D">
        <w:rPr>
          <w:b/>
          <w:bCs/>
        </w:rPr>
        <w:t>Results</w:t>
      </w:r>
    </w:p>
    <w:p w14:paraId="2D27B316" w14:textId="4BEE51B4" w:rsidR="00474274" w:rsidRDefault="00B55379" w:rsidP="00300D0D">
      <w:r>
        <w:t>Estimated causal</w:t>
      </w:r>
      <w:r w:rsidR="00966A98">
        <w:t xml:space="preserve"> structures were broadly consistent with established AD </w:t>
      </w:r>
      <w:r>
        <w:t>pathophysiology</w:t>
      </w:r>
      <w:r w:rsidR="00966A98">
        <w:t xml:space="preserve">. pTau217 showed a direct edge to cognitive outcomes not mediated by other measured </w:t>
      </w:r>
      <w:r w:rsidR="006D0073">
        <w:t>variables and</w:t>
      </w:r>
      <w:r w:rsidR="00966A98">
        <w:t xml:space="preserve"> consistently appeared causally upstream of multiple cognitive scores and GFAP (64% of bootstrap runs). Unexpectedly, </w:t>
      </w:r>
      <w:proofErr w:type="spellStart"/>
      <w:r w:rsidR="00966A98">
        <w:t>NfL</w:t>
      </w:r>
      <w:proofErr w:type="spellEnd"/>
      <w:r w:rsidR="00966A98">
        <w:t xml:space="preserve"> appeared causally upstream of GFAP in 66% of runs, contrasting with its prevailing characterisation as a late-stage marker.</w:t>
      </w:r>
      <w:r w:rsidR="00E54DD3">
        <w:t xml:space="preserve"> </w:t>
      </w:r>
      <w:proofErr w:type="spellStart"/>
      <w:r w:rsidR="00966A98">
        <w:t>NfL</w:t>
      </w:r>
      <w:proofErr w:type="spellEnd"/>
      <w:r w:rsidR="00966A98">
        <w:t xml:space="preserve"> edges with other biomarkers were unstable across bootstraps (highest edge frequency with pTau217: 42%), suggesting susceptibility to unobserved confounding and warranting cautious interpretation of individual </w:t>
      </w:r>
      <w:proofErr w:type="spellStart"/>
      <w:r w:rsidR="00966A98">
        <w:t>NfL</w:t>
      </w:r>
      <w:proofErr w:type="spellEnd"/>
      <w:r w:rsidR="00966A98">
        <w:t xml:space="preserve"> relationship</w:t>
      </w:r>
      <w:r w:rsidR="006318D5">
        <w:t>s</w:t>
      </w:r>
      <w:r w:rsidR="00966A98">
        <w:t>.</w:t>
      </w:r>
    </w:p>
    <w:p w14:paraId="42BD881D" w14:textId="77777777" w:rsidR="00966A98" w:rsidRDefault="00966A98" w:rsidP="00300D0D"/>
    <w:p w14:paraId="5B4F2552" w14:textId="77777777" w:rsidR="00300D0D" w:rsidRPr="00300D0D" w:rsidRDefault="00300D0D" w:rsidP="00300D0D">
      <w:pPr>
        <w:rPr>
          <w:b/>
          <w:bCs/>
        </w:rPr>
      </w:pPr>
      <w:r w:rsidRPr="00300D0D">
        <w:rPr>
          <w:b/>
          <w:bCs/>
        </w:rPr>
        <w:t>Conclusions</w:t>
      </w:r>
    </w:p>
    <w:p w14:paraId="2FCAEDAF" w14:textId="552DDA96" w:rsidR="00A036A4" w:rsidRDefault="00966A98" w:rsidP="00300D0D">
      <w:r>
        <w:t xml:space="preserve">These findings support pTau217 as a causally proximal biomarker of cognitive decline and are consistent with prior evidence that GFAP is more tightly linked to amyloid-tau pathology than </w:t>
      </w:r>
      <w:proofErr w:type="spellStart"/>
      <w:r>
        <w:t>NfL</w:t>
      </w:r>
      <w:proofErr w:type="spellEnd"/>
      <w:r>
        <w:t xml:space="preserve">. The tentative upstream positioning of </w:t>
      </w:r>
      <w:proofErr w:type="spellStart"/>
      <w:r>
        <w:t>NfL</w:t>
      </w:r>
      <w:proofErr w:type="spellEnd"/>
      <w:r>
        <w:t xml:space="preserve"> relative to GFAP motivates prospective investigation of </w:t>
      </w:r>
      <w:proofErr w:type="spellStart"/>
      <w:r>
        <w:t>NfL's</w:t>
      </w:r>
      <w:proofErr w:type="spellEnd"/>
      <w:r>
        <w:t xml:space="preserve"> relationship to neuroinflammatory </w:t>
      </w:r>
      <w:r>
        <w:lastRenderedPageBreak/>
        <w:t xml:space="preserve">processes earlier in the disease course. Longitudinal replication </w:t>
      </w:r>
      <w:r w:rsidR="00E54DD3">
        <w:t>could aid in determining</w:t>
      </w:r>
      <w:r>
        <w:t xml:space="preserve"> whether this causal ordering holds across disease stages.</w:t>
      </w:r>
    </w:p>
    <w:p w14:paraId="38202510" w14:textId="77777777" w:rsidR="00966A98" w:rsidRDefault="00966A98" w:rsidP="00300D0D"/>
    <w:p w14:paraId="2F45C1E1" w14:textId="60CFA8D8" w:rsidR="00E54DD3" w:rsidRDefault="006D0073" w:rsidP="00300D0D">
      <w:r>
        <w:t xml:space="preserve">Figure 1. Causal graph recovered using the FCI algorithm. </w:t>
      </w:r>
      <w:r>
        <w:t xml:space="preserve">Directed arrows indicate </w:t>
      </w:r>
      <w:r w:rsidR="00E54DD3">
        <w:t>direct</w:t>
      </w:r>
      <w:r>
        <w:t xml:space="preserve"> causal directions; bidirected arrows </w:t>
      </w:r>
      <w:r>
        <w:t>indicat</w:t>
      </w:r>
      <w:r w:rsidR="00E54DD3">
        <w:t>e</w:t>
      </w:r>
      <w:r>
        <w:t xml:space="preserve"> identified </w:t>
      </w:r>
      <w:r>
        <w:t>latent confounding. Edge thickness and numerical labels correspond to</w:t>
      </w:r>
      <w:r w:rsidR="00E54DD3">
        <w:t xml:space="preserve"> edge </w:t>
      </w:r>
      <w:r>
        <w:t>frequencies</w:t>
      </w:r>
      <w:r w:rsidR="00E54DD3">
        <w:t xml:space="preserve"> across bootstrap runs</w:t>
      </w:r>
      <w:r>
        <w:t>.</w:t>
      </w:r>
    </w:p>
    <w:p w14:paraId="5CFF95E1" w14:textId="6FCD3A62" w:rsidR="008F2955" w:rsidRDefault="008F2955" w:rsidP="00300D0D">
      <w:r w:rsidRPr="008F2955">
        <w:drawing>
          <wp:inline distT="0" distB="0" distL="0" distR="0" wp14:anchorId="087CF340" wp14:editId="0CEB0A22">
            <wp:extent cx="5731510" cy="2299970"/>
            <wp:effectExtent l="0" t="0" r="0" b="0"/>
            <wp:docPr id="110322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20594" name=""/>
                    <pic:cNvPicPr/>
                  </pic:nvPicPr>
                  <pic:blipFill>
                    <a:blip r:embed="rId5"/>
                    <a:stretch>
                      <a:fillRect/>
                    </a:stretch>
                  </pic:blipFill>
                  <pic:spPr>
                    <a:xfrm>
                      <a:off x="0" y="0"/>
                      <a:ext cx="5731510" cy="2299970"/>
                    </a:xfrm>
                    <a:prstGeom prst="rect">
                      <a:avLst/>
                    </a:prstGeom>
                  </pic:spPr>
                </pic:pic>
              </a:graphicData>
            </a:graphic>
          </wp:inline>
        </w:drawing>
      </w:r>
    </w:p>
    <w:sectPr w:rsidR="008F2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10324"/>
    <w:multiLevelType w:val="multilevel"/>
    <w:tmpl w:val="6C46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51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08"/>
    <w:rsid w:val="00097F79"/>
    <w:rsid w:val="000C756D"/>
    <w:rsid w:val="00137711"/>
    <w:rsid w:val="001945B3"/>
    <w:rsid w:val="0025395A"/>
    <w:rsid w:val="00300D0D"/>
    <w:rsid w:val="003674FC"/>
    <w:rsid w:val="00382DB3"/>
    <w:rsid w:val="003F55C6"/>
    <w:rsid w:val="00442CD1"/>
    <w:rsid w:val="00474274"/>
    <w:rsid w:val="004C6A08"/>
    <w:rsid w:val="005C2A92"/>
    <w:rsid w:val="006257FD"/>
    <w:rsid w:val="006318D5"/>
    <w:rsid w:val="00676A10"/>
    <w:rsid w:val="00693F82"/>
    <w:rsid w:val="006B30C4"/>
    <w:rsid w:val="006D0073"/>
    <w:rsid w:val="0072295E"/>
    <w:rsid w:val="008C1452"/>
    <w:rsid w:val="008C28F8"/>
    <w:rsid w:val="008F2955"/>
    <w:rsid w:val="009069B2"/>
    <w:rsid w:val="0093196A"/>
    <w:rsid w:val="00937D8C"/>
    <w:rsid w:val="00966A98"/>
    <w:rsid w:val="009D149B"/>
    <w:rsid w:val="00A036A4"/>
    <w:rsid w:val="00A16040"/>
    <w:rsid w:val="00A3736E"/>
    <w:rsid w:val="00B55379"/>
    <w:rsid w:val="00BA2C93"/>
    <w:rsid w:val="00CD2164"/>
    <w:rsid w:val="00CE485C"/>
    <w:rsid w:val="00D43C21"/>
    <w:rsid w:val="00E24380"/>
    <w:rsid w:val="00E46A39"/>
    <w:rsid w:val="00E54DD3"/>
    <w:rsid w:val="00F110AF"/>
    <w:rsid w:val="00FF3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4126"/>
  <w15:chartTrackingRefBased/>
  <w15:docId w15:val="{0A5C0F7C-7141-B54B-9E24-91160026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A08"/>
    <w:rPr>
      <w:rFonts w:eastAsiaTheme="majorEastAsia" w:cstheme="majorBidi"/>
      <w:color w:val="272727" w:themeColor="text1" w:themeTint="D8"/>
    </w:rPr>
  </w:style>
  <w:style w:type="paragraph" w:styleId="Title">
    <w:name w:val="Title"/>
    <w:basedOn w:val="Normal"/>
    <w:next w:val="Normal"/>
    <w:link w:val="TitleChar"/>
    <w:uiPriority w:val="10"/>
    <w:qFormat/>
    <w:rsid w:val="004C6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A08"/>
    <w:pPr>
      <w:spacing w:before="160"/>
      <w:jc w:val="center"/>
    </w:pPr>
    <w:rPr>
      <w:i/>
      <w:iCs/>
      <w:color w:val="404040" w:themeColor="text1" w:themeTint="BF"/>
    </w:rPr>
  </w:style>
  <w:style w:type="character" w:customStyle="1" w:styleId="QuoteChar">
    <w:name w:val="Quote Char"/>
    <w:basedOn w:val="DefaultParagraphFont"/>
    <w:link w:val="Quote"/>
    <w:uiPriority w:val="29"/>
    <w:rsid w:val="004C6A08"/>
    <w:rPr>
      <w:i/>
      <w:iCs/>
      <w:color w:val="404040" w:themeColor="text1" w:themeTint="BF"/>
    </w:rPr>
  </w:style>
  <w:style w:type="paragraph" w:styleId="ListParagraph">
    <w:name w:val="List Paragraph"/>
    <w:basedOn w:val="Normal"/>
    <w:uiPriority w:val="34"/>
    <w:qFormat/>
    <w:rsid w:val="004C6A08"/>
    <w:pPr>
      <w:ind w:left="720"/>
      <w:contextualSpacing/>
    </w:pPr>
  </w:style>
  <w:style w:type="character" w:styleId="IntenseEmphasis">
    <w:name w:val="Intense Emphasis"/>
    <w:basedOn w:val="DefaultParagraphFont"/>
    <w:uiPriority w:val="21"/>
    <w:qFormat/>
    <w:rsid w:val="004C6A08"/>
    <w:rPr>
      <w:i/>
      <w:iCs/>
      <w:color w:val="0F4761" w:themeColor="accent1" w:themeShade="BF"/>
    </w:rPr>
  </w:style>
  <w:style w:type="paragraph" w:styleId="IntenseQuote">
    <w:name w:val="Intense Quote"/>
    <w:basedOn w:val="Normal"/>
    <w:next w:val="Normal"/>
    <w:link w:val="IntenseQuoteChar"/>
    <w:uiPriority w:val="30"/>
    <w:qFormat/>
    <w:rsid w:val="004C6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A08"/>
    <w:rPr>
      <w:i/>
      <w:iCs/>
      <w:color w:val="0F4761" w:themeColor="accent1" w:themeShade="BF"/>
    </w:rPr>
  </w:style>
  <w:style w:type="character" w:styleId="IntenseReference">
    <w:name w:val="Intense Reference"/>
    <w:basedOn w:val="DefaultParagraphFont"/>
    <w:uiPriority w:val="32"/>
    <w:qFormat/>
    <w:rsid w:val="004C6A08"/>
    <w:rPr>
      <w:b/>
      <w:bCs/>
      <w:smallCaps/>
      <w:color w:val="0F4761" w:themeColor="accent1" w:themeShade="BF"/>
      <w:spacing w:val="5"/>
    </w:rPr>
  </w:style>
  <w:style w:type="paragraph" w:customStyle="1" w:styleId="ng-tns-c2345406650-16">
    <w:name w:val="ng-tns-c2345406650-16"/>
    <w:basedOn w:val="Normal"/>
    <w:rsid w:val="004C6A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C6A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6D0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Glazman</dc:creator>
  <cp:keywords/>
  <dc:description/>
  <cp:lastModifiedBy>Natalia Glazman</cp:lastModifiedBy>
  <cp:revision>7</cp:revision>
  <dcterms:created xsi:type="dcterms:W3CDTF">2026-04-09T19:03:00Z</dcterms:created>
  <dcterms:modified xsi:type="dcterms:W3CDTF">2026-04-10T23:38:00Z</dcterms:modified>
</cp:coreProperties>
</file>