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Figure x:</w:t>
      </w:r>
      <w:r w:rsidDel="00000000" w:rsidR="00000000" w:rsidRPr="00000000">
        <w:rPr>
          <w:rtl w:val="0"/>
        </w:rPr>
        <w:t xml:space="preserve"> Averages of Fe aerosol solubility fields contained in the dust, a) for the Holocene and b) for LGM.</w:t>
      </w:r>
      <w:r w:rsidDel="00000000" w:rsidR="00000000" w:rsidRPr="00000000">
        <w:drawing>
          <wp:anchor allowOverlap="1" behindDoc="0" distB="114300" distT="114300" distL="114300" distR="114300" hidden="0" layoutInCell="1" locked="0" relativeHeight="0" simplePos="0">
            <wp:simplePos x="0" y="0"/>
            <wp:positionH relativeFrom="column">
              <wp:posOffset>-630074</wp:posOffset>
            </wp:positionH>
            <wp:positionV relativeFrom="paragraph">
              <wp:posOffset>133350</wp:posOffset>
            </wp:positionV>
            <wp:extent cx="6986588" cy="203562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86588" cy="2035624"/>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figure x shows the percentage averages of the amount of iron solubilized concerning the total iron load contained in the Holocene and the LGM dust flux. These fields were estimated from averages at each grid point of the 6 solubility fields for each previously calculated period, these last using the methodology set out in section 2.3.</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From laboratory work (Baker et al., 2006, Baker et al., 2006a and Baker et al., 2006b), we know that iron soluble in mineral aerosol has an inverse relationship with the concentration of wind dust. It only takes into account the physical effect between the distance to the source as an indicator of how long the dust particles remain in suspension and how this affects the grain morphology and its mineral composition, therefore, indicating the surface exposed to being easily solubilized. The above, without considering previous processes such as origin solubility, product of source mineralogy, transport effects, such as cloud acidity or photochemical reactions, and/or deposition processes, such as chemical reactions (water pH, oxidation, temperature) or organic (organic complexion with ligands).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Table 2:</w:t>
      </w:r>
      <w:r w:rsidDel="00000000" w:rsidR="00000000" w:rsidRPr="00000000">
        <w:rPr>
          <w:rtl w:val="0"/>
        </w:rPr>
        <w:t xml:space="preserve"> Median Fe aerosol solubility for each experiment</w:t>
      </w:r>
    </w:p>
    <w:tbl>
      <w:tblPr>
        <w:tblStyle w:val="Table1"/>
        <w:tblW w:w="9029.0" w:type="dxa"/>
        <w:jc w:val="lef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1425"/>
        <w:gridCol w:w="1125"/>
        <w:gridCol w:w="1295.8"/>
        <w:gridCol w:w="1295.8"/>
        <w:gridCol w:w="1295.8"/>
        <w:gridCol w:w="1295.8"/>
        <w:gridCol w:w="1295.8"/>
        <w:tblGridChange w:id="0">
          <w:tblGrid>
            <w:gridCol w:w="1425"/>
            <w:gridCol w:w="1125"/>
            <w:gridCol w:w="1295.8"/>
            <w:gridCol w:w="1295.8"/>
            <w:gridCol w:w="1295.8"/>
            <w:gridCol w:w="1295.8"/>
            <w:gridCol w:w="1295.8"/>
          </w:tblGrid>
        </w:tblGridChange>
      </w:tblGrid>
      <w:tr>
        <w:trPr>
          <w:cantSplit w:val="0"/>
          <w:trHeight w:val="19.401574803149586" w:hRule="atLeast"/>
          <w:tblHeader w:val="0"/>
        </w:trPr>
        <w:tc>
          <w:tcPr>
            <w:vMerge w:val="restart"/>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Model/Region</w:t>
            </w:r>
          </w:p>
        </w:tc>
        <w:tc>
          <w:tcPr>
            <w:vMerge w:val="restart"/>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Global</w:t>
            </w:r>
          </w:p>
        </w:tc>
        <w:tc>
          <w:tcPr>
            <w:gridSpan w:val="5"/>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HNLC</w:t>
            </w:r>
          </w:p>
        </w:tc>
      </w:tr>
      <w:tr>
        <w:trPr>
          <w:cantSplit w:val="0"/>
          <w:trHeight w:val="19.401574803149586" w:hRule="atLeast"/>
          <w:tblHeader w:val="0"/>
        </w:trPr>
        <w:tc>
          <w:tcPr>
            <w:vMerge w:val="continue"/>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vMerge w:val="continue"/>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NA</w:t>
            </w:r>
          </w:p>
        </w:tc>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NP</w:t>
            </w:r>
          </w:p>
        </w:tc>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CEP</w:t>
            </w:r>
          </w:p>
        </w:tc>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SP</w:t>
            </w:r>
          </w:p>
        </w:tc>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SAI</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PI</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0.485</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0.357</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0.281</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1.012</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1.719</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0.936</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LGM</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0.239</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0.181</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0.141</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0.626</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1.1</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0.433</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Albani PI</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0.421</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0.31</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0.256</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0.54</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2.035</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1.001</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Albani LGM</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0.185</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0.188</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0.097</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0.552</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0.596</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0.243</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Lambert PI</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0.185</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0.203</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0.14</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0.624</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0.443</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0.412</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Lambert LGM</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0.112</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0.101</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0.068</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0.407</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0.164</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0.340</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Ohgaito PI</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0.562</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0.415</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0.304</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1.219</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2.823</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1.508</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Ohgaito LGM</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0.202</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0.171</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0.111</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0.752</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0.866</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0.357</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Takemura PI</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0.546</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0.425</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0.451</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0.992</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1.440</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1.076</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Takemura LGM</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0.431</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0.222</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0.364</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0.622</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1.354</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1.281</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MIROC-ESM PI</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0.529</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0.365</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0.322</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1.069</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2.335</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1.180</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MIROC-ESM LGM</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0.310</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0.185</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0.156</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0.631</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2.527</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1.750</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MRI-CGCM3 PI</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0.34</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0.28</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0.231</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0.936</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1.448</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0.579</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MRI-CGCM3 LGM</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0.276</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0.263</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0.163</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0.756</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1.514</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0.493</w:t>
            </w:r>
          </w:p>
        </w:tc>
      </w:tr>
    </w:tbl>
    <w:p w:rsidR="00000000" w:rsidDel="00000000" w:rsidP="00000000" w:rsidRDefault="00000000" w:rsidRPr="00000000" w14:paraId="00000078">
      <w:pPr>
        <w:jc w:val="center"/>
        <w:rPr/>
      </w:pPr>
      <w:r w:rsidDel="00000000" w:rsidR="00000000" w:rsidRPr="00000000">
        <w:rPr>
          <w:rtl w:val="0"/>
        </w:rPr>
        <w:t xml:space="preserve">               </w:t>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t xml:space="preserve">                                    </w:t>
      </w:r>
    </w:p>
    <w:p w:rsidR="00000000" w:rsidDel="00000000" w:rsidP="00000000" w:rsidRDefault="00000000" w:rsidRPr="00000000" w14:paraId="0000007D">
      <w:pPr>
        <w:jc w:val="both"/>
        <w:rPr/>
      </w:pPr>
      <w:r w:rsidDel="00000000" w:rsidR="00000000" w:rsidRPr="00000000">
        <w:rPr>
          <w:b w:val="1"/>
          <w:rtl w:val="0"/>
        </w:rPr>
        <w:t xml:space="preserve">Table 2x:</w:t>
      </w:r>
      <w:r w:rsidDel="00000000" w:rsidR="00000000" w:rsidRPr="00000000">
        <w:rPr>
          <w:rtl w:val="0"/>
        </w:rPr>
        <w:t xml:space="preserve"> Mean Fe aerosol solubility for each experiment</w:t>
      </w:r>
    </w:p>
    <w:tbl>
      <w:tblPr>
        <w:tblStyle w:val="Table2"/>
        <w:tblW w:w="9029.0" w:type="dxa"/>
        <w:jc w:val="lef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1425"/>
        <w:gridCol w:w="1125"/>
        <w:gridCol w:w="1295.8"/>
        <w:gridCol w:w="1295.8"/>
        <w:gridCol w:w="1295.8"/>
        <w:gridCol w:w="1295.8"/>
        <w:gridCol w:w="1295.8"/>
        <w:tblGridChange w:id="0">
          <w:tblGrid>
            <w:gridCol w:w="1425"/>
            <w:gridCol w:w="1125"/>
            <w:gridCol w:w="1295.8"/>
            <w:gridCol w:w="1295.8"/>
            <w:gridCol w:w="1295.8"/>
            <w:gridCol w:w="1295.8"/>
            <w:gridCol w:w="1295.8"/>
          </w:tblGrid>
        </w:tblGridChange>
      </w:tblGrid>
      <w:tr>
        <w:trPr>
          <w:cantSplit w:val="0"/>
          <w:trHeight w:val="19.401574803149586" w:hRule="atLeast"/>
          <w:tblHeader w:val="0"/>
        </w:trPr>
        <w:tc>
          <w:tcPr>
            <w:vMerge w:val="restart"/>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7E">
            <w:pPr>
              <w:widowControl w:val="0"/>
              <w:spacing w:line="240" w:lineRule="auto"/>
              <w:jc w:val="center"/>
              <w:rPr>
                <w:b w:val="1"/>
                <w:sz w:val="16"/>
                <w:szCs w:val="16"/>
              </w:rPr>
            </w:pPr>
            <w:r w:rsidDel="00000000" w:rsidR="00000000" w:rsidRPr="00000000">
              <w:rPr>
                <w:b w:val="1"/>
                <w:sz w:val="16"/>
                <w:szCs w:val="16"/>
                <w:rtl w:val="0"/>
              </w:rPr>
              <w:t xml:space="preserve">Model/Region</w:t>
            </w:r>
          </w:p>
        </w:tc>
        <w:tc>
          <w:tcPr>
            <w:vMerge w:val="restart"/>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7F">
            <w:pPr>
              <w:widowControl w:val="0"/>
              <w:spacing w:line="240" w:lineRule="auto"/>
              <w:jc w:val="center"/>
              <w:rPr>
                <w:b w:val="1"/>
                <w:sz w:val="16"/>
                <w:szCs w:val="16"/>
              </w:rPr>
            </w:pPr>
            <w:r w:rsidDel="00000000" w:rsidR="00000000" w:rsidRPr="00000000">
              <w:rPr>
                <w:b w:val="1"/>
                <w:sz w:val="16"/>
                <w:szCs w:val="16"/>
                <w:rtl w:val="0"/>
              </w:rPr>
              <w:t xml:space="preserve">Global</w:t>
            </w:r>
          </w:p>
        </w:tc>
        <w:tc>
          <w:tcPr>
            <w:gridSpan w:val="5"/>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80">
            <w:pPr>
              <w:widowControl w:val="0"/>
              <w:spacing w:line="240" w:lineRule="auto"/>
              <w:jc w:val="center"/>
              <w:rPr>
                <w:b w:val="1"/>
                <w:sz w:val="16"/>
                <w:szCs w:val="16"/>
              </w:rPr>
            </w:pPr>
            <w:r w:rsidDel="00000000" w:rsidR="00000000" w:rsidRPr="00000000">
              <w:rPr>
                <w:b w:val="1"/>
                <w:sz w:val="16"/>
                <w:szCs w:val="16"/>
                <w:rtl w:val="0"/>
              </w:rPr>
              <w:t xml:space="preserve">HNLC</w:t>
            </w:r>
          </w:p>
        </w:tc>
      </w:tr>
      <w:tr>
        <w:trPr>
          <w:cantSplit w:val="0"/>
          <w:trHeight w:val="19.401574803149586" w:hRule="atLeast"/>
          <w:tblHeader w:val="0"/>
        </w:trPr>
        <w:tc>
          <w:tcPr>
            <w:vMerge w:val="continue"/>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85">
            <w:pPr>
              <w:widowControl w:val="0"/>
              <w:spacing w:line="240" w:lineRule="auto"/>
              <w:rPr>
                <w:sz w:val="16"/>
                <w:szCs w:val="16"/>
              </w:rPr>
            </w:pPr>
            <w:r w:rsidDel="00000000" w:rsidR="00000000" w:rsidRPr="00000000">
              <w:rPr>
                <w:rtl w:val="0"/>
              </w:rPr>
            </w:r>
          </w:p>
        </w:tc>
        <w:tc>
          <w:tcPr>
            <w:vMerge w:val="continue"/>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86">
            <w:pPr>
              <w:widowControl w:val="0"/>
              <w:spacing w:line="240" w:lineRule="auto"/>
              <w:rPr>
                <w:sz w:val="16"/>
                <w:szCs w:val="16"/>
              </w:rPr>
            </w:pPr>
            <w:r w:rsidDel="00000000" w:rsidR="00000000" w:rsidRPr="00000000">
              <w:rPr>
                <w:rtl w:val="0"/>
              </w:rPr>
            </w:r>
          </w:p>
        </w:tc>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87">
            <w:pPr>
              <w:widowControl w:val="0"/>
              <w:spacing w:line="240" w:lineRule="auto"/>
              <w:jc w:val="center"/>
              <w:rPr>
                <w:b w:val="1"/>
                <w:sz w:val="16"/>
                <w:szCs w:val="16"/>
              </w:rPr>
            </w:pPr>
            <w:r w:rsidDel="00000000" w:rsidR="00000000" w:rsidRPr="00000000">
              <w:rPr>
                <w:b w:val="1"/>
                <w:sz w:val="16"/>
                <w:szCs w:val="16"/>
                <w:rtl w:val="0"/>
              </w:rPr>
              <w:t xml:space="preserve">NA</w:t>
            </w:r>
          </w:p>
        </w:tc>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88">
            <w:pPr>
              <w:widowControl w:val="0"/>
              <w:spacing w:line="240" w:lineRule="auto"/>
              <w:jc w:val="center"/>
              <w:rPr>
                <w:b w:val="1"/>
                <w:sz w:val="16"/>
                <w:szCs w:val="16"/>
              </w:rPr>
            </w:pPr>
            <w:r w:rsidDel="00000000" w:rsidR="00000000" w:rsidRPr="00000000">
              <w:rPr>
                <w:b w:val="1"/>
                <w:sz w:val="16"/>
                <w:szCs w:val="16"/>
                <w:rtl w:val="0"/>
              </w:rPr>
              <w:t xml:space="preserve">NP</w:t>
            </w:r>
          </w:p>
        </w:tc>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89">
            <w:pPr>
              <w:widowControl w:val="0"/>
              <w:spacing w:line="240" w:lineRule="auto"/>
              <w:jc w:val="center"/>
              <w:rPr>
                <w:b w:val="1"/>
                <w:sz w:val="16"/>
                <w:szCs w:val="16"/>
              </w:rPr>
            </w:pPr>
            <w:r w:rsidDel="00000000" w:rsidR="00000000" w:rsidRPr="00000000">
              <w:rPr>
                <w:b w:val="1"/>
                <w:sz w:val="16"/>
                <w:szCs w:val="16"/>
                <w:rtl w:val="0"/>
              </w:rPr>
              <w:t xml:space="preserve">CEP</w:t>
            </w:r>
          </w:p>
        </w:tc>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8A">
            <w:pPr>
              <w:widowControl w:val="0"/>
              <w:spacing w:line="240" w:lineRule="auto"/>
              <w:jc w:val="center"/>
              <w:rPr>
                <w:b w:val="1"/>
                <w:sz w:val="16"/>
                <w:szCs w:val="16"/>
              </w:rPr>
            </w:pPr>
            <w:r w:rsidDel="00000000" w:rsidR="00000000" w:rsidRPr="00000000">
              <w:rPr>
                <w:b w:val="1"/>
                <w:sz w:val="16"/>
                <w:szCs w:val="16"/>
                <w:rtl w:val="0"/>
              </w:rPr>
              <w:t xml:space="preserve">SP</w:t>
            </w:r>
          </w:p>
        </w:tc>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8B">
            <w:pPr>
              <w:widowControl w:val="0"/>
              <w:spacing w:line="240" w:lineRule="auto"/>
              <w:jc w:val="center"/>
              <w:rPr>
                <w:b w:val="1"/>
                <w:sz w:val="16"/>
                <w:szCs w:val="16"/>
              </w:rPr>
            </w:pPr>
            <w:r w:rsidDel="00000000" w:rsidR="00000000" w:rsidRPr="00000000">
              <w:rPr>
                <w:b w:val="1"/>
                <w:sz w:val="16"/>
                <w:szCs w:val="16"/>
                <w:rtl w:val="0"/>
              </w:rPr>
              <w:t xml:space="preserve">SAI</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8C">
            <w:pPr>
              <w:widowControl w:val="0"/>
              <w:spacing w:line="240" w:lineRule="auto"/>
              <w:jc w:val="center"/>
              <w:rPr>
                <w:sz w:val="16"/>
                <w:szCs w:val="16"/>
              </w:rPr>
            </w:pPr>
            <w:r w:rsidDel="00000000" w:rsidR="00000000" w:rsidRPr="00000000">
              <w:rPr>
                <w:sz w:val="16"/>
                <w:szCs w:val="16"/>
                <w:rtl w:val="0"/>
              </w:rPr>
              <w:t xml:space="preserve">PI</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8D">
            <w:pPr>
              <w:widowControl w:val="0"/>
              <w:spacing w:line="240" w:lineRule="auto"/>
              <w:jc w:val="center"/>
              <w:rPr>
                <w:sz w:val="16"/>
                <w:szCs w:val="16"/>
              </w:rPr>
            </w:pPr>
            <w:r w:rsidDel="00000000" w:rsidR="00000000" w:rsidRPr="00000000">
              <w:rPr>
                <w:sz w:val="16"/>
                <w:szCs w:val="16"/>
                <w:rtl w:val="0"/>
              </w:rPr>
              <w:t xml:space="preserve">0.653</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8E">
            <w:pPr>
              <w:widowControl w:val="0"/>
              <w:spacing w:line="240" w:lineRule="auto"/>
              <w:jc w:val="center"/>
              <w:rPr>
                <w:sz w:val="16"/>
                <w:szCs w:val="16"/>
              </w:rPr>
            </w:pPr>
            <w:r w:rsidDel="00000000" w:rsidR="00000000" w:rsidRPr="00000000">
              <w:rPr>
                <w:sz w:val="16"/>
                <w:szCs w:val="16"/>
                <w:rtl w:val="0"/>
              </w:rPr>
              <w:t xml:space="preserve">0.419</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8F">
            <w:pPr>
              <w:widowControl w:val="0"/>
              <w:spacing w:line="240" w:lineRule="auto"/>
              <w:jc w:val="center"/>
              <w:rPr>
                <w:sz w:val="16"/>
                <w:szCs w:val="16"/>
              </w:rPr>
            </w:pPr>
            <w:r w:rsidDel="00000000" w:rsidR="00000000" w:rsidRPr="00000000">
              <w:rPr>
                <w:sz w:val="16"/>
                <w:szCs w:val="16"/>
                <w:rtl w:val="0"/>
              </w:rPr>
              <w:t xml:space="preserve">0.273</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90">
            <w:pPr>
              <w:widowControl w:val="0"/>
              <w:spacing w:line="240" w:lineRule="auto"/>
              <w:jc w:val="center"/>
              <w:rPr>
                <w:sz w:val="16"/>
                <w:szCs w:val="16"/>
              </w:rPr>
            </w:pPr>
            <w:r w:rsidDel="00000000" w:rsidR="00000000" w:rsidRPr="00000000">
              <w:rPr>
                <w:sz w:val="16"/>
                <w:szCs w:val="16"/>
                <w:rtl w:val="0"/>
              </w:rPr>
              <w:t xml:space="preserve">0.932</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91">
            <w:pPr>
              <w:widowControl w:val="0"/>
              <w:spacing w:line="240" w:lineRule="auto"/>
              <w:jc w:val="center"/>
              <w:rPr>
                <w:sz w:val="16"/>
                <w:szCs w:val="16"/>
              </w:rPr>
            </w:pPr>
            <w:r w:rsidDel="00000000" w:rsidR="00000000" w:rsidRPr="00000000">
              <w:rPr>
                <w:sz w:val="16"/>
                <w:szCs w:val="16"/>
                <w:rtl w:val="0"/>
              </w:rPr>
              <w:t xml:space="preserve">1.672</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92">
            <w:pPr>
              <w:widowControl w:val="0"/>
              <w:spacing w:line="240" w:lineRule="auto"/>
              <w:jc w:val="center"/>
              <w:rPr>
                <w:sz w:val="16"/>
                <w:szCs w:val="16"/>
              </w:rPr>
            </w:pPr>
            <w:r w:rsidDel="00000000" w:rsidR="00000000" w:rsidRPr="00000000">
              <w:rPr>
                <w:sz w:val="16"/>
                <w:szCs w:val="16"/>
                <w:rtl w:val="0"/>
              </w:rPr>
              <w:t xml:space="preserve">1.118</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93">
            <w:pPr>
              <w:widowControl w:val="0"/>
              <w:spacing w:line="240" w:lineRule="auto"/>
              <w:jc w:val="center"/>
              <w:rPr>
                <w:sz w:val="16"/>
                <w:szCs w:val="16"/>
              </w:rPr>
            </w:pPr>
            <w:r w:rsidDel="00000000" w:rsidR="00000000" w:rsidRPr="00000000">
              <w:rPr>
                <w:sz w:val="16"/>
                <w:szCs w:val="16"/>
                <w:rtl w:val="0"/>
              </w:rPr>
              <w:t xml:space="preserve">LGM</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94">
            <w:pPr>
              <w:widowControl w:val="0"/>
              <w:spacing w:line="240" w:lineRule="auto"/>
              <w:jc w:val="center"/>
              <w:rPr>
                <w:sz w:val="16"/>
                <w:szCs w:val="16"/>
              </w:rPr>
            </w:pPr>
            <w:r w:rsidDel="00000000" w:rsidR="00000000" w:rsidRPr="00000000">
              <w:rPr>
                <w:sz w:val="16"/>
                <w:szCs w:val="16"/>
                <w:rtl w:val="0"/>
              </w:rPr>
              <w:t xml:space="preserve">0.381</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95">
            <w:pPr>
              <w:widowControl w:val="0"/>
              <w:spacing w:line="240" w:lineRule="auto"/>
              <w:jc w:val="center"/>
              <w:rPr>
                <w:sz w:val="16"/>
                <w:szCs w:val="16"/>
              </w:rPr>
            </w:pPr>
            <w:r w:rsidDel="00000000" w:rsidR="00000000" w:rsidRPr="00000000">
              <w:rPr>
                <w:sz w:val="16"/>
                <w:szCs w:val="16"/>
                <w:rtl w:val="0"/>
              </w:rPr>
              <w:t xml:space="preserve">0.211</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96">
            <w:pPr>
              <w:widowControl w:val="0"/>
              <w:spacing w:line="240" w:lineRule="auto"/>
              <w:jc w:val="center"/>
              <w:rPr>
                <w:sz w:val="16"/>
                <w:szCs w:val="16"/>
              </w:rPr>
            </w:pPr>
            <w:r w:rsidDel="00000000" w:rsidR="00000000" w:rsidRPr="00000000">
              <w:rPr>
                <w:sz w:val="16"/>
                <w:szCs w:val="16"/>
                <w:rtl w:val="0"/>
              </w:rPr>
              <w:t xml:space="preserve">0.126</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97">
            <w:pPr>
              <w:widowControl w:val="0"/>
              <w:spacing w:line="240" w:lineRule="auto"/>
              <w:jc w:val="center"/>
              <w:rPr>
                <w:sz w:val="16"/>
                <w:szCs w:val="16"/>
              </w:rPr>
            </w:pPr>
            <w:r w:rsidDel="00000000" w:rsidR="00000000" w:rsidRPr="00000000">
              <w:rPr>
                <w:sz w:val="16"/>
                <w:szCs w:val="16"/>
                <w:rtl w:val="0"/>
              </w:rPr>
              <w:t xml:space="preserve">0.617</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98">
            <w:pPr>
              <w:widowControl w:val="0"/>
              <w:spacing w:line="240" w:lineRule="auto"/>
              <w:jc w:val="center"/>
              <w:rPr>
                <w:sz w:val="16"/>
                <w:szCs w:val="16"/>
              </w:rPr>
            </w:pPr>
            <w:r w:rsidDel="00000000" w:rsidR="00000000" w:rsidRPr="00000000">
              <w:rPr>
                <w:sz w:val="16"/>
                <w:szCs w:val="16"/>
                <w:rtl w:val="0"/>
              </w:rPr>
              <w:t xml:space="preserve">1.099</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99">
            <w:pPr>
              <w:widowControl w:val="0"/>
              <w:spacing w:line="240" w:lineRule="auto"/>
              <w:jc w:val="center"/>
              <w:rPr>
                <w:sz w:val="16"/>
                <w:szCs w:val="16"/>
              </w:rPr>
            </w:pPr>
            <w:r w:rsidDel="00000000" w:rsidR="00000000" w:rsidRPr="00000000">
              <w:rPr>
                <w:sz w:val="16"/>
                <w:szCs w:val="16"/>
                <w:rtl w:val="0"/>
              </w:rPr>
              <w:t xml:space="preserve">0.587</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9A">
            <w:pPr>
              <w:widowControl w:val="0"/>
              <w:spacing w:line="240" w:lineRule="auto"/>
              <w:jc w:val="center"/>
              <w:rPr>
                <w:sz w:val="16"/>
                <w:szCs w:val="16"/>
              </w:rPr>
            </w:pPr>
            <w:r w:rsidDel="00000000" w:rsidR="00000000" w:rsidRPr="00000000">
              <w:rPr>
                <w:sz w:val="16"/>
                <w:szCs w:val="16"/>
                <w:rtl w:val="0"/>
              </w:rPr>
              <w:t xml:space="preserve">Albani PI</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9B">
            <w:pPr>
              <w:widowControl w:val="0"/>
              <w:spacing w:line="240" w:lineRule="auto"/>
              <w:jc w:val="center"/>
              <w:rPr>
                <w:sz w:val="16"/>
                <w:szCs w:val="16"/>
              </w:rPr>
            </w:pPr>
            <w:r w:rsidDel="00000000" w:rsidR="00000000" w:rsidRPr="00000000">
              <w:rPr>
                <w:sz w:val="16"/>
                <w:szCs w:val="16"/>
                <w:rtl w:val="0"/>
              </w:rPr>
              <w:t xml:space="preserve">0.732</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9C">
            <w:pPr>
              <w:widowControl w:val="0"/>
              <w:spacing w:line="240" w:lineRule="auto"/>
              <w:jc w:val="center"/>
              <w:rPr>
                <w:sz w:val="16"/>
                <w:szCs w:val="16"/>
              </w:rPr>
            </w:pPr>
            <w:r w:rsidDel="00000000" w:rsidR="00000000" w:rsidRPr="00000000">
              <w:rPr>
                <w:sz w:val="16"/>
                <w:szCs w:val="16"/>
                <w:rtl w:val="0"/>
              </w:rPr>
              <w:t xml:space="preserve">0.340</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9D">
            <w:pPr>
              <w:widowControl w:val="0"/>
              <w:spacing w:line="240" w:lineRule="auto"/>
              <w:jc w:val="center"/>
              <w:rPr>
                <w:sz w:val="16"/>
                <w:szCs w:val="16"/>
              </w:rPr>
            </w:pPr>
            <w:r w:rsidDel="00000000" w:rsidR="00000000" w:rsidRPr="00000000">
              <w:rPr>
                <w:sz w:val="16"/>
                <w:szCs w:val="16"/>
                <w:rtl w:val="0"/>
              </w:rPr>
              <w:t xml:space="preserve">0.232</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9E">
            <w:pPr>
              <w:widowControl w:val="0"/>
              <w:spacing w:line="240" w:lineRule="auto"/>
              <w:jc w:val="center"/>
              <w:rPr>
                <w:sz w:val="16"/>
                <w:szCs w:val="16"/>
              </w:rPr>
            </w:pPr>
            <w:r w:rsidDel="00000000" w:rsidR="00000000" w:rsidRPr="00000000">
              <w:rPr>
                <w:sz w:val="16"/>
                <w:szCs w:val="16"/>
                <w:rtl w:val="0"/>
              </w:rPr>
              <w:t xml:space="preserve">0.6</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9F">
            <w:pPr>
              <w:widowControl w:val="0"/>
              <w:spacing w:line="240" w:lineRule="auto"/>
              <w:jc w:val="center"/>
              <w:rPr>
                <w:sz w:val="16"/>
                <w:szCs w:val="16"/>
              </w:rPr>
            </w:pPr>
            <w:r w:rsidDel="00000000" w:rsidR="00000000" w:rsidRPr="00000000">
              <w:rPr>
                <w:sz w:val="16"/>
                <w:szCs w:val="16"/>
                <w:rtl w:val="0"/>
              </w:rPr>
              <w:t xml:space="preserve">1.861</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A0">
            <w:pPr>
              <w:widowControl w:val="0"/>
              <w:spacing w:line="240" w:lineRule="auto"/>
              <w:jc w:val="center"/>
              <w:rPr>
                <w:sz w:val="16"/>
                <w:szCs w:val="16"/>
              </w:rPr>
            </w:pPr>
            <w:r w:rsidDel="00000000" w:rsidR="00000000" w:rsidRPr="00000000">
              <w:rPr>
                <w:sz w:val="16"/>
                <w:szCs w:val="16"/>
                <w:rtl w:val="0"/>
              </w:rPr>
              <w:t xml:space="preserve">1.133</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A1">
            <w:pPr>
              <w:widowControl w:val="0"/>
              <w:spacing w:line="240" w:lineRule="auto"/>
              <w:jc w:val="center"/>
              <w:rPr>
                <w:sz w:val="16"/>
                <w:szCs w:val="16"/>
              </w:rPr>
            </w:pPr>
            <w:r w:rsidDel="00000000" w:rsidR="00000000" w:rsidRPr="00000000">
              <w:rPr>
                <w:sz w:val="16"/>
                <w:szCs w:val="16"/>
                <w:rtl w:val="0"/>
              </w:rPr>
              <w:t xml:space="preserve">Albani LGM</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A2">
            <w:pPr>
              <w:widowControl w:val="0"/>
              <w:spacing w:line="240" w:lineRule="auto"/>
              <w:jc w:val="center"/>
              <w:rPr>
                <w:sz w:val="16"/>
                <w:szCs w:val="16"/>
              </w:rPr>
            </w:pPr>
            <w:r w:rsidDel="00000000" w:rsidR="00000000" w:rsidRPr="00000000">
              <w:rPr>
                <w:sz w:val="16"/>
                <w:szCs w:val="16"/>
                <w:rtl w:val="0"/>
              </w:rPr>
              <w:t xml:space="preserve">0.271</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A3">
            <w:pPr>
              <w:widowControl w:val="0"/>
              <w:spacing w:line="240" w:lineRule="auto"/>
              <w:jc w:val="center"/>
              <w:rPr>
                <w:sz w:val="16"/>
                <w:szCs w:val="16"/>
              </w:rPr>
            </w:pPr>
            <w:r w:rsidDel="00000000" w:rsidR="00000000" w:rsidRPr="00000000">
              <w:rPr>
                <w:sz w:val="16"/>
                <w:szCs w:val="16"/>
                <w:rtl w:val="0"/>
              </w:rPr>
              <w:t xml:space="preserve">0.184</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A4">
            <w:pPr>
              <w:widowControl w:val="0"/>
              <w:spacing w:line="240" w:lineRule="auto"/>
              <w:jc w:val="center"/>
              <w:rPr>
                <w:sz w:val="16"/>
                <w:szCs w:val="16"/>
              </w:rPr>
            </w:pPr>
            <w:r w:rsidDel="00000000" w:rsidR="00000000" w:rsidRPr="00000000">
              <w:rPr>
                <w:sz w:val="16"/>
                <w:szCs w:val="16"/>
                <w:rtl w:val="0"/>
              </w:rPr>
              <w:t xml:space="preserve">0.085</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A5">
            <w:pPr>
              <w:widowControl w:val="0"/>
              <w:spacing w:line="240" w:lineRule="auto"/>
              <w:jc w:val="center"/>
              <w:rPr>
                <w:sz w:val="16"/>
                <w:szCs w:val="16"/>
              </w:rPr>
            </w:pPr>
            <w:r w:rsidDel="00000000" w:rsidR="00000000" w:rsidRPr="00000000">
              <w:rPr>
                <w:sz w:val="16"/>
                <w:szCs w:val="16"/>
                <w:rtl w:val="0"/>
              </w:rPr>
              <w:t xml:space="preserve">0.626</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A6">
            <w:pPr>
              <w:widowControl w:val="0"/>
              <w:spacing w:line="240" w:lineRule="auto"/>
              <w:jc w:val="center"/>
              <w:rPr>
                <w:sz w:val="16"/>
                <w:szCs w:val="16"/>
              </w:rPr>
            </w:pPr>
            <w:r w:rsidDel="00000000" w:rsidR="00000000" w:rsidRPr="00000000">
              <w:rPr>
                <w:sz w:val="16"/>
                <w:szCs w:val="16"/>
                <w:rtl w:val="0"/>
              </w:rPr>
              <w:t xml:space="preserve">0.529</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A7">
            <w:pPr>
              <w:widowControl w:val="0"/>
              <w:spacing w:line="240" w:lineRule="auto"/>
              <w:jc w:val="center"/>
              <w:rPr>
                <w:sz w:val="16"/>
                <w:szCs w:val="16"/>
              </w:rPr>
            </w:pPr>
            <w:r w:rsidDel="00000000" w:rsidR="00000000" w:rsidRPr="00000000">
              <w:rPr>
                <w:sz w:val="16"/>
                <w:szCs w:val="16"/>
                <w:rtl w:val="0"/>
              </w:rPr>
              <w:t xml:space="preserve">0.278</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A8">
            <w:pPr>
              <w:widowControl w:val="0"/>
              <w:spacing w:line="240" w:lineRule="auto"/>
              <w:jc w:val="center"/>
              <w:rPr>
                <w:sz w:val="16"/>
                <w:szCs w:val="16"/>
              </w:rPr>
            </w:pPr>
            <w:r w:rsidDel="00000000" w:rsidR="00000000" w:rsidRPr="00000000">
              <w:rPr>
                <w:sz w:val="16"/>
                <w:szCs w:val="16"/>
                <w:rtl w:val="0"/>
              </w:rPr>
              <w:t xml:space="preserve">Lambert PI</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A9">
            <w:pPr>
              <w:widowControl w:val="0"/>
              <w:spacing w:line="240" w:lineRule="auto"/>
              <w:jc w:val="center"/>
              <w:rPr>
                <w:sz w:val="16"/>
                <w:szCs w:val="16"/>
              </w:rPr>
            </w:pPr>
            <w:r w:rsidDel="00000000" w:rsidR="00000000" w:rsidRPr="00000000">
              <w:rPr>
                <w:sz w:val="16"/>
                <w:szCs w:val="16"/>
                <w:rtl w:val="0"/>
              </w:rPr>
              <w:t xml:space="preserve">0.356</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AA">
            <w:pPr>
              <w:widowControl w:val="0"/>
              <w:spacing w:line="240" w:lineRule="auto"/>
              <w:jc w:val="center"/>
              <w:rPr>
                <w:sz w:val="16"/>
                <w:szCs w:val="16"/>
              </w:rPr>
            </w:pPr>
            <w:r w:rsidDel="00000000" w:rsidR="00000000" w:rsidRPr="00000000">
              <w:rPr>
                <w:sz w:val="16"/>
                <w:szCs w:val="16"/>
                <w:rtl w:val="0"/>
              </w:rPr>
              <w:t xml:space="preserve">0.3</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AB">
            <w:pPr>
              <w:widowControl w:val="0"/>
              <w:spacing w:line="240" w:lineRule="auto"/>
              <w:jc w:val="center"/>
              <w:rPr>
                <w:sz w:val="16"/>
                <w:szCs w:val="16"/>
              </w:rPr>
            </w:pPr>
            <w:r w:rsidDel="00000000" w:rsidR="00000000" w:rsidRPr="00000000">
              <w:rPr>
                <w:sz w:val="16"/>
                <w:szCs w:val="16"/>
                <w:rtl w:val="0"/>
              </w:rPr>
              <w:t xml:space="preserve">0.145</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AC">
            <w:pPr>
              <w:widowControl w:val="0"/>
              <w:spacing w:line="240" w:lineRule="auto"/>
              <w:jc w:val="center"/>
              <w:rPr>
                <w:sz w:val="16"/>
                <w:szCs w:val="16"/>
              </w:rPr>
            </w:pPr>
            <w:r w:rsidDel="00000000" w:rsidR="00000000" w:rsidRPr="00000000">
              <w:rPr>
                <w:sz w:val="16"/>
                <w:szCs w:val="16"/>
                <w:rtl w:val="0"/>
              </w:rPr>
              <w:t xml:space="preserve">0.657</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AD">
            <w:pPr>
              <w:widowControl w:val="0"/>
              <w:spacing w:line="240" w:lineRule="auto"/>
              <w:jc w:val="center"/>
              <w:rPr>
                <w:sz w:val="16"/>
                <w:szCs w:val="16"/>
              </w:rPr>
            </w:pPr>
            <w:r w:rsidDel="00000000" w:rsidR="00000000" w:rsidRPr="00000000">
              <w:rPr>
                <w:sz w:val="16"/>
                <w:szCs w:val="16"/>
                <w:rtl w:val="0"/>
              </w:rPr>
              <w:t xml:space="preserve">0.505</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AE">
            <w:pPr>
              <w:widowControl w:val="0"/>
              <w:spacing w:line="240" w:lineRule="auto"/>
              <w:jc w:val="center"/>
              <w:rPr>
                <w:sz w:val="16"/>
                <w:szCs w:val="16"/>
              </w:rPr>
            </w:pPr>
            <w:r w:rsidDel="00000000" w:rsidR="00000000" w:rsidRPr="00000000">
              <w:rPr>
                <w:sz w:val="16"/>
                <w:szCs w:val="16"/>
                <w:rtl w:val="0"/>
              </w:rPr>
              <w:t xml:space="preserve">0.679</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AF">
            <w:pPr>
              <w:widowControl w:val="0"/>
              <w:spacing w:line="240" w:lineRule="auto"/>
              <w:jc w:val="center"/>
              <w:rPr>
                <w:sz w:val="16"/>
                <w:szCs w:val="16"/>
              </w:rPr>
            </w:pPr>
            <w:r w:rsidDel="00000000" w:rsidR="00000000" w:rsidRPr="00000000">
              <w:rPr>
                <w:sz w:val="16"/>
                <w:szCs w:val="16"/>
                <w:rtl w:val="0"/>
              </w:rPr>
              <w:t xml:space="preserve">Lambert LGM</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B0">
            <w:pPr>
              <w:widowControl w:val="0"/>
              <w:spacing w:line="240" w:lineRule="auto"/>
              <w:jc w:val="center"/>
              <w:rPr>
                <w:sz w:val="16"/>
                <w:szCs w:val="16"/>
              </w:rPr>
            </w:pPr>
            <w:r w:rsidDel="00000000" w:rsidR="00000000" w:rsidRPr="00000000">
              <w:rPr>
                <w:sz w:val="16"/>
                <w:szCs w:val="16"/>
                <w:rtl w:val="0"/>
              </w:rPr>
              <w:t xml:space="preserve">0.149</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B1">
            <w:pPr>
              <w:widowControl w:val="0"/>
              <w:spacing w:line="240" w:lineRule="auto"/>
              <w:jc w:val="center"/>
              <w:rPr>
                <w:sz w:val="16"/>
                <w:szCs w:val="16"/>
              </w:rPr>
            </w:pPr>
            <w:r w:rsidDel="00000000" w:rsidR="00000000" w:rsidRPr="00000000">
              <w:rPr>
                <w:sz w:val="16"/>
                <w:szCs w:val="16"/>
                <w:rtl w:val="0"/>
              </w:rPr>
              <w:t xml:space="preserve">0.116</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B2">
            <w:pPr>
              <w:widowControl w:val="0"/>
              <w:spacing w:line="240" w:lineRule="auto"/>
              <w:jc w:val="center"/>
              <w:rPr>
                <w:sz w:val="16"/>
                <w:szCs w:val="16"/>
              </w:rPr>
            </w:pPr>
            <w:r w:rsidDel="00000000" w:rsidR="00000000" w:rsidRPr="00000000">
              <w:rPr>
                <w:sz w:val="16"/>
                <w:szCs w:val="16"/>
                <w:rtl w:val="0"/>
              </w:rPr>
              <w:t xml:space="preserve">0.055</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B3">
            <w:pPr>
              <w:widowControl w:val="0"/>
              <w:spacing w:line="240" w:lineRule="auto"/>
              <w:jc w:val="center"/>
              <w:rPr>
                <w:sz w:val="16"/>
                <w:szCs w:val="16"/>
              </w:rPr>
            </w:pPr>
            <w:r w:rsidDel="00000000" w:rsidR="00000000" w:rsidRPr="00000000">
              <w:rPr>
                <w:sz w:val="16"/>
                <w:szCs w:val="16"/>
                <w:rtl w:val="0"/>
              </w:rPr>
              <w:t xml:space="preserve">0.35</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B4">
            <w:pPr>
              <w:widowControl w:val="0"/>
              <w:spacing w:line="240" w:lineRule="auto"/>
              <w:jc w:val="center"/>
              <w:rPr>
                <w:sz w:val="16"/>
                <w:szCs w:val="16"/>
              </w:rPr>
            </w:pPr>
            <w:r w:rsidDel="00000000" w:rsidR="00000000" w:rsidRPr="00000000">
              <w:rPr>
                <w:sz w:val="16"/>
                <w:szCs w:val="16"/>
                <w:rtl w:val="0"/>
              </w:rPr>
              <w:t xml:space="preserve">0.198</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B5">
            <w:pPr>
              <w:widowControl w:val="0"/>
              <w:spacing w:line="240" w:lineRule="auto"/>
              <w:jc w:val="center"/>
              <w:rPr>
                <w:sz w:val="16"/>
                <w:szCs w:val="16"/>
              </w:rPr>
            </w:pPr>
            <w:r w:rsidDel="00000000" w:rsidR="00000000" w:rsidRPr="00000000">
              <w:rPr>
                <w:sz w:val="16"/>
                <w:szCs w:val="16"/>
                <w:rtl w:val="0"/>
              </w:rPr>
              <w:t xml:space="preserve">0.438</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B6">
            <w:pPr>
              <w:widowControl w:val="0"/>
              <w:spacing w:line="240" w:lineRule="auto"/>
              <w:jc w:val="center"/>
              <w:rPr>
                <w:sz w:val="16"/>
                <w:szCs w:val="16"/>
              </w:rPr>
            </w:pPr>
            <w:r w:rsidDel="00000000" w:rsidR="00000000" w:rsidRPr="00000000">
              <w:rPr>
                <w:sz w:val="16"/>
                <w:szCs w:val="16"/>
                <w:rtl w:val="0"/>
              </w:rPr>
              <w:t xml:space="preserve">Ohgaito PI</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B7">
            <w:pPr>
              <w:widowControl w:val="0"/>
              <w:spacing w:line="240" w:lineRule="auto"/>
              <w:jc w:val="center"/>
              <w:rPr>
                <w:sz w:val="16"/>
                <w:szCs w:val="16"/>
              </w:rPr>
            </w:pPr>
            <w:r w:rsidDel="00000000" w:rsidR="00000000" w:rsidRPr="00000000">
              <w:rPr>
                <w:sz w:val="16"/>
                <w:szCs w:val="16"/>
                <w:rtl w:val="0"/>
              </w:rPr>
              <w:t xml:space="preserve">0.987</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B8">
            <w:pPr>
              <w:widowControl w:val="0"/>
              <w:spacing w:line="240" w:lineRule="auto"/>
              <w:jc w:val="center"/>
              <w:rPr>
                <w:sz w:val="16"/>
                <w:szCs w:val="16"/>
              </w:rPr>
            </w:pPr>
            <w:r w:rsidDel="00000000" w:rsidR="00000000" w:rsidRPr="00000000">
              <w:rPr>
                <w:sz w:val="16"/>
                <w:szCs w:val="16"/>
                <w:rtl w:val="0"/>
              </w:rPr>
              <w:t xml:space="preserve">0.486</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B9">
            <w:pPr>
              <w:widowControl w:val="0"/>
              <w:spacing w:line="240" w:lineRule="auto"/>
              <w:jc w:val="center"/>
              <w:rPr>
                <w:sz w:val="16"/>
                <w:szCs w:val="16"/>
              </w:rPr>
            </w:pPr>
            <w:r w:rsidDel="00000000" w:rsidR="00000000" w:rsidRPr="00000000">
              <w:rPr>
                <w:sz w:val="16"/>
                <w:szCs w:val="16"/>
                <w:rtl w:val="0"/>
              </w:rPr>
              <w:t xml:space="preserve">0.290</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BA">
            <w:pPr>
              <w:widowControl w:val="0"/>
              <w:spacing w:line="240" w:lineRule="auto"/>
              <w:jc w:val="center"/>
              <w:rPr>
                <w:sz w:val="16"/>
                <w:szCs w:val="16"/>
              </w:rPr>
            </w:pPr>
            <w:r w:rsidDel="00000000" w:rsidR="00000000" w:rsidRPr="00000000">
              <w:rPr>
                <w:sz w:val="16"/>
                <w:szCs w:val="16"/>
                <w:rtl w:val="0"/>
              </w:rPr>
              <w:t xml:space="preserve">1.175</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BB">
            <w:pPr>
              <w:widowControl w:val="0"/>
              <w:spacing w:line="240" w:lineRule="auto"/>
              <w:jc w:val="center"/>
              <w:rPr>
                <w:sz w:val="16"/>
                <w:szCs w:val="16"/>
              </w:rPr>
            </w:pPr>
            <w:r w:rsidDel="00000000" w:rsidR="00000000" w:rsidRPr="00000000">
              <w:rPr>
                <w:sz w:val="16"/>
                <w:szCs w:val="16"/>
                <w:rtl w:val="0"/>
              </w:rPr>
              <w:t xml:space="preserve">3.683</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BC">
            <w:pPr>
              <w:widowControl w:val="0"/>
              <w:spacing w:line="240" w:lineRule="auto"/>
              <w:jc w:val="center"/>
              <w:rPr>
                <w:sz w:val="16"/>
                <w:szCs w:val="16"/>
              </w:rPr>
            </w:pPr>
            <w:r w:rsidDel="00000000" w:rsidR="00000000" w:rsidRPr="00000000">
              <w:rPr>
                <w:sz w:val="16"/>
                <w:szCs w:val="16"/>
                <w:rtl w:val="0"/>
              </w:rPr>
              <w:t xml:space="preserve">2.037</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BD">
            <w:pPr>
              <w:widowControl w:val="0"/>
              <w:spacing w:line="240" w:lineRule="auto"/>
              <w:jc w:val="center"/>
              <w:rPr>
                <w:sz w:val="16"/>
                <w:szCs w:val="16"/>
              </w:rPr>
            </w:pPr>
            <w:r w:rsidDel="00000000" w:rsidR="00000000" w:rsidRPr="00000000">
              <w:rPr>
                <w:sz w:val="16"/>
                <w:szCs w:val="16"/>
                <w:rtl w:val="0"/>
              </w:rPr>
              <w:t xml:space="preserve">Ohgaito LGM</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BE">
            <w:pPr>
              <w:widowControl w:val="0"/>
              <w:spacing w:line="240" w:lineRule="auto"/>
              <w:jc w:val="center"/>
              <w:rPr>
                <w:sz w:val="16"/>
                <w:szCs w:val="16"/>
              </w:rPr>
            </w:pPr>
            <w:r w:rsidDel="00000000" w:rsidR="00000000" w:rsidRPr="00000000">
              <w:rPr>
                <w:sz w:val="16"/>
                <w:szCs w:val="16"/>
                <w:rtl w:val="0"/>
              </w:rPr>
              <w:t xml:space="preserve">0.345</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BF">
            <w:pPr>
              <w:widowControl w:val="0"/>
              <w:spacing w:line="240" w:lineRule="auto"/>
              <w:jc w:val="center"/>
              <w:rPr>
                <w:sz w:val="16"/>
                <w:szCs w:val="16"/>
              </w:rPr>
            </w:pPr>
            <w:r w:rsidDel="00000000" w:rsidR="00000000" w:rsidRPr="00000000">
              <w:rPr>
                <w:sz w:val="16"/>
                <w:szCs w:val="16"/>
                <w:rtl w:val="0"/>
              </w:rPr>
              <w:t xml:space="preserve">0.192</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0">
            <w:pPr>
              <w:widowControl w:val="0"/>
              <w:spacing w:line="240" w:lineRule="auto"/>
              <w:jc w:val="center"/>
              <w:rPr>
                <w:sz w:val="16"/>
                <w:szCs w:val="16"/>
              </w:rPr>
            </w:pPr>
            <w:r w:rsidDel="00000000" w:rsidR="00000000" w:rsidRPr="00000000">
              <w:rPr>
                <w:sz w:val="16"/>
                <w:szCs w:val="16"/>
                <w:rtl w:val="0"/>
              </w:rPr>
              <w:t xml:space="preserve">0.114</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1">
            <w:pPr>
              <w:widowControl w:val="0"/>
              <w:spacing w:line="240" w:lineRule="auto"/>
              <w:jc w:val="center"/>
              <w:rPr>
                <w:sz w:val="16"/>
                <w:szCs w:val="16"/>
              </w:rPr>
            </w:pPr>
            <w:r w:rsidDel="00000000" w:rsidR="00000000" w:rsidRPr="00000000">
              <w:rPr>
                <w:sz w:val="16"/>
                <w:szCs w:val="16"/>
                <w:rtl w:val="0"/>
              </w:rPr>
              <w:t xml:space="preserve">0.726</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2">
            <w:pPr>
              <w:widowControl w:val="0"/>
              <w:spacing w:line="240" w:lineRule="auto"/>
              <w:jc w:val="center"/>
              <w:rPr>
                <w:sz w:val="16"/>
                <w:szCs w:val="16"/>
              </w:rPr>
            </w:pPr>
            <w:r w:rsidDel="00000000" w:rsidR="00000000" w:rsidRPr="00000000">
              <w:rPr>
                <w:sz w:val="16"/>
                <w:szCs w:val="16"/>
                <w:rtl w:val="0"/>
              </w:rPr>
              <w:t xml:space="preserve">0.825</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3">
            <w:pPr>
              <w:widowControl w:val="0"/>
              <w:spacing w:line="240" w:lineRule="auto"/>
              <w:jc w:val="center"/>
              <w:rPr>
                <w:sz w:val="16"/>
                <w:szCs w:val="16"/>
              </w:rPr>
            </w:pPr>
            <w:r w:rsidDel="00000000" w:rsidR="00000000" w:rsidRPr="00000000">
              <w:rPr>
                <w:sz w:val="16"/>
                <w:szCs w:val="16"/>
                <w:rtl w:val="0"/>
              </w:rPr>
              <w:t xml:space="preserve">0.366</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4">
            <w:pPr>
              <w:widowControl w:val="0"/>
              <w:spacing w:line="240" w:lineRule="auto"/>
              <w:jc w:val="center"/>
              <w:rPr>
                <w:sz w:val="16"/>
                <w:szCs w:val="16"/>
              </w:rPr>
            </w:pPr>
            <w:r w:rsidDel="00000000" w:rsidR="00000000" w:rsidRPr="00000000">
              <w:rPr>
                <w:sz w:val="16"/>
                <w:szCs w:val="16"/>
                <w:rtl w:val="0"/>
              </w:rPr>
              <w:t xml:space="preserve">Takemura PI</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5">
            <w:pPr>
              <w:widowControl w:val="0"/>
              <w:spacing w:line="240" w:lineRule="auto"/>
              <w:jc w:val="center"/>
              <w:rPr>
                <w:sz w:val="16"/>
                <w:szCs w:val="16"/>
              </w:rPr>
            </w:pPr>
            <w:r w:rsidDel="00000000" w:rsidR="00000000" w:rsidRPr="00000000">
              <w:rPr>
                <w:sz w:val="16"/>
                <w:szCs w:val="16"/>
                <w:rtl w:val="0"/>
              </w:rPr>
              <w:t xml:space="preserve">0.696</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6">
            <w:pPr>
              <w:widowControl w:val="0"/>
              <w:spacing w:line="240" w:lineRule="auto"/>
              <w:jc w:val="center"/>
              <w:rPr>
                <w:sz w:val="16"/>
                <w:szCs w:val="16"/>
              </w:rPr>
            </w:pPr>
            <w:r w:rsidDel="00000000" w:rsidR="00000000" w:rsidRPr="00000000">
              <w:rPr>
                <w:sz w:val="16"/>
                <w:szCs w:val="16"/>
                <w:rtl w:val="0"/>
              </w:rPr>
              <w:t xml:space="preserve">0.508</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7">
            <w:pPr>
              <w:widowControl w:val="0"/>
              <w:spacing w:line="240" w:lineRule="auto"/>
              <w:jc w:val="center"/>
              <w:rPr>
                <w:sz w:val="16"/>
                <w:szCs w:val="16"/>
              </w:rPr>
            </w:pPr>
            <w:r w:rsidDel="00000000" w:rsidR="00000000" w:rsidRPr="00000000">
              <w:rPr>
                <w:sz w:val="16"/>
                <w:szCs w:val="16"/>
                <w:rtl w:val="0"/>
              </w:rPr>
              <w:t xml:space="preserve">0.411</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8">
            <w:pPr>
              <w:widowControl w:val="0"/>
              <w:spacing w:line="240" w:lineRule="auto"/>
              <w:jc w:val="center"/>
              <w:rPr>
                <w:sz w:val="16"/>
                <w:szCs w:val="16"/>
              </w:rPr>
            </w:pPr>
            <w:r w:rsidDel="00000000" w:rsidR="00000000" w:rsidRPr="00000000">
              <w:rPr>
                <w:sz w:val="16"/>
                <w:szCs w:val="16"/>
                <w:rtl w:val="0"/>
              </w:rPr>
              <w:t xml:space="preserve">0.963</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9">
            <w:pPr>
              <w:widowControl w:val="0"/>
              <w:spacing w:line="240" w:lineRule="auto"/>
              <w:jc w:val="center"/>
              <w:rPr>
                <w:sz w:val="16"/>
                <w:szCs w:val="16"/>
              </w:rPr>
            </w:pPr>
            <w:r w:rsidDel="00000000" w:rsidR="00000000" w:rsidRPr="00000000">
              <w:rPr>
                <w:sz w:val="16"/>
                <w:szCs w:val="16"/>
                <w:rtl w:val="0"/>
              </w:rPr>
              <w:t xml:space="preserve">1.501</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A">
            <w:pPr>
              <w:widowControl w:val="0"/>
              <w:spacing w:line="240" w:lineRule="auto"/>
              <w:jc w:val="center"/>
              <w:rPr>
                <w:sz w:val="16"/>
                <w:szCs w:val="16"/>
              </w:rPr>
            </w:pPr>
            <w:r w:rsidDel="00000000" w:rsidR="00000000" w:rsidRPr="00000000">
              <w:rPr>
                <w:sz w:val="16"/>
                <w:szCs w:val="16"/>
                <w:rtl w:val="0"/>
              </w:rPr>
              <w:t xml:space="preserve">1.322</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B">
            <w:pPr>
              <w:widowControl w:val="0"/>
              <w:spacing w:line="240" w:lineRule="auto"/>
              <w:jc w:val="center"/>
              <w:rPr>
                <w:sz w:val="16"/>
                <w:szCs w:val="16"/>
              </w:rPr>
            </w:pPr>
            <w:r w:rsidDel="00000000" w:rsidR="00000000" w:rsidRPr="00000000">
              <w:rPr>
                <w:sz w:val="16"/>
                <w:szCs w:val="16"/>
                <w:rtl w:val="0"/>
              </w:rPr>
              <w:t xml:space="preserve">Takemura LGM</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C">
            <w:pPr>
              <w:widowControl w:val="0"/>
              <w:spacing w:line="240" w:lineRule="auto"/>
              <w:jc w:val="center"/>
              <w:rPr>
                <w:sz w:val="16"/>
                <w:szCs w:val="16"/>
              </w:rPr>
            </w:pPr>
            <w:r w:rsidDel="00000000" w:rsidR="00000000" w:rsidRPr="00000000">
              <w:rPr>
                <w:sz w:val="16"/>
                <w:szCs w:val="16"/>
                <w:rtl w:val="0"/>
              </w:rPr>
              <w:t xml:space="preserve">0.652</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D">
            <w:pPr>
              <w:widowControl w:val="0"/>
              <w:spacing w:line="240" w:lineRule="auto"/>
              <w:jc w:val="center"/>
              <w:rPr>
                <w:sz w:val="16"/>
                <w:szCs w:val="16"/>
              </w:rPr>
            </w:pPr>
            <w:r w:rsidDel="00000000" w:rsidR="00000000" w:rsidRPr="00000000">
              <w:rPr>
                <w:sz w:val="16"/>
                <w:szCs w:val="16"/>
                <w:rtl w:val="0"/>
              </w:rPr>
              <w:t xml:space="preserve">0.305</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E">
            <w:pPr>
              <w:widowControl w:val="0"/>
              <w:spacing w:line="240" w:lineRule="auto"/>
              <w:jc w:val="center"/>
              <w:rPr>
                <w:sz w:val="16"/>
                <w:szCs w:val="16"/>
              </w:rPr>
            </w:pPr>
            <w:r w:rsidDel="00000000" w:rsidR="00000000" w:rsidRPr="00000000">
              <w:rPr>
                <w:sz w:val="16"/>
                <w:szCs w:val="16"/>
                <w:rtl w:val="0"/>
              </w:rPr>
              <w:t xml:space="preserve">0.305</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CF">
            <w:pPr>
              <w:widowControl w:val="0"/>
              <w:spacing w:line="240" w:lineRule="auto"/>
              <w:jc w:val="center"/>
              <w:rPr>
                <w:sz w:val="16"/>
                <w:szCs w:val="16"/>
              </w:rPr>
            </w:pPr>
            <w:r w:rsidDel="00000000" w:rsidR="00000000" w:rsidRPr="00000000">
              <w:rPr>
                <w:sz w:val="16"/>
                <w:szCs w:val="16"/>
                <w:rtl w:val="0"/>
              </w:rPr>
              <w:t xml:space="preserve">0.618</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D0">
            <w:pPr>
              <w:widowControl w:val="0"/>
              <w:spacing w:line="240" w:lineRule="auto"/>
              <w:jc w:val="center"/>
              <w:rPr>
                <w:sz w:val="16"/>
                <w:szCs w:val="16"/>
              </w:rPr>
            </w:pPr>
            <w:r w:rsidDel="00000000" w:rsidR="00000000" w:rsidRPr="00000000">
              <w:rPr>
                <w:sz w:val="16"/>
                <w:szCs w:val="16"/>
                <w:rtl w:val="0"/>
              </w:rPr>
              <w:t xml:space="preserve">1.472</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D1">
            <w:pPr>
              <w:widowControl w:val="0"/>
              <w:spacing w:line="240" w:lineRule="auto"/>
              <w:jc w:val="center"/>
              <w:rPr>
                <w:sz w:val="16"/>
                <w:szCs w:val="16"/>
              </w:rPr>
            </w:pPr>
            <w:r w:rsidDel="00000000" w:rsidR="00000000" w:rsidRPr="00000000">
              <w:rPr>
                <w:sz w:val="16"/>
                <w:szCs w:val="16"/>
                <w:rtl w:val="0"/>
              </w:rPr>
              <w:t xml:space="preserve">1.629</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D2">
            <w:pPr>
              <w:widowControl w:val="0"/>
              <w:spacing w:line="240" w:lineRule="auto"/>
              <w:jc w:val="center"/>
              <w:rPr>
                <w:sz w:val="16"/>
                <w:szCs w:val="16"/>
              </w:rPr>
            </w:pPr>
            <w:r w:rsidDel="00000000" w:rsidR="00000000" w:rsidRPr="00000000">
              <w:rPr>
                <w:sz w:val="16"/>
                <w:szCs w:val="16"/>
                <w:rtl w:val="0"/>
              </w:rPr>
              <w:t xml:space="preserve">MIROC-ESM PI</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D3">
            <w:pPr>
              <w:widowControl w:val="0"/>
              <w:spacing w:line="240" w:lineRule="auto"/>
              <w:jc w:val="center"/>
              <w:rPr>
                <w:sz w:val="16"/>
                <w:szCs w:val="16"/>
              </w:rPr>
            </w:pPr>
            <w:r w:rsidDel="00000000" w:rsidR="00000000" w:rsidRPr="00000000">
              <w:rPr>
                <w:sz w:val="16"/>
                <w:szCs w:val="16"/>
                <w:rtl w:val="0"/>
              </w:rPr>
              <w:t xml:space="preserve">0.772</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D4">
            <w:pPr>
              <w:widowControl w:val="0"/>
              <w:spacing w:line="240" w:lineRule="auto"/>
              <w:jc w:val="center"/>
              <w:rPr>
                <w:sz w:val="16"/>
                <w:szCs w:val="16"/>
              </w:rPr>
            </w:pPr>
            <w:r w:rsidDel="00000000" w:rsidR="00000000" w:rsidRPr="00000000">
              <w:rPr>
                <w:sz w:val="16"/>
                <w:szCs w:val="16"/>
                <w:rtl w:val="0"/>
              </w:rPr>
              <w:t xml:space="preserve">0.436</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D5">
            <w:pPr>
              <w:widowControl w:val="0"/>
              <w:spacing w:line="240" w:lineRule="auto"/>
              <w:jc w:val="center"/>
              <w:rPr>
                <w:sz w:val="16"/>
                <w:szCs w:val="16"/>
              </w:rPr>
            </w:pPr>
            <w:r w:rsidDel="00000000" w:rsidR="00000000" w:rsidRPr="00000000">
              <w:rPr>
                <w:sz w:val="16"/>
                <w:szCs w:val="16"/>
                <w:rtl w:val="0"/>
              </w:rPr>
              <w:t xml:space="preserve">0.304</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D6">
            <w:pPr>
              <w:widowControl w:val="0"/>
              <w:spacing w:line="240" w:lineRule="auto"/>
              <w:jc w:val="center"/>
              <w:rPr>
                <w:sz w:val="16"/>
                <w:szCs w:val="16"/>
              </w:rPr>
            </w:pPr>
            <w:r w:rsidDel="00000000" w:rsidR="00000000" w:rsidRPr="00000000">
              <w:rPr>
                <w:sz w:val="16"/>
                <w:szCs w:val="16"/>
                <w:rtl w:val="0"/>
              </w:rPr>
              <w:t xml:space="preserve">1.035</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D7">
            <w:pPr>
              <w:widowControl w:val="0"/>
              <w:spacing w:line="240" w:lineRule="auto"/>
              <w:jc w:val="center"/>
              <w:rPr>
                <w:sz w:val="16"/>
                <w:szCs w:val="16"/>
              </w:rPr>
            </w:pPr>
            <w:r w:rsidDel="00000000" w:rsidR="00000000" w:rsidRPr="00000000">
              <w:rPr>
                <w:sz w:val="16"/>
                <w:szCs w:val="16"/>
                <w:rtl w:val="0"/>
              </w:rPr>
              <w:t xml:space="preserve">2.393</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D8">
            <w:pPr>
              <w:widowControl w:val="0"/>
              <w:spacing w:line="240" w:lineRule="auto"/>
              <w:jc w:val="center"/>
              <w:rPr>
                <w:sz w:val="16"/>
                <w:szCs w:val="16"/>
              </w:rPr>
            </w:pPr>
            <w:r w:rsidDel="00000000" w:rsidR="00000000" w:rsidRPr="00000000">
              <w:rPr>
                <w:sz w:val="16"/>
                <w:szCs w:val="16"/>
                <w:rtl w:val="0"/>
              </w:rPr>
              <w:t xml:space="preserve">1.403</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D9">
            <w:pPr>
              <w:widowControl w:val="0"/>
              <w:spacing w:line="240" w:lineRule="auto"/>
              <w:jc w:val="center"/>
              <w:rPr>
                <w:sz w:val="16"/>
                <w:szCs w:val="16"/>
              </w:rPr>
            </w:pPr>
            <w:r w:rsidDel="00000000" w:rsidR="00000000" w:rsidRPr="00000000">
              <w:rPr>
                <w:sz w:val="16"/>
                <w:szCs w:val="16"/>
                <w:rtl w:val="0"/>
              </w:rPr>
              <w:t xml:space="preserve">MIROC-ESM LGM</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DA">
            <w:pPr>
              <w:widowControl w:val="0"/>
              <w:spacing w:line="240" w:lineRule="auto"/>
              <w:jc w:val="center"/>
              <w:rPr>
                <w:sz w:val="16"/>
                <w:szCs w:val="16"/>
              </w:rPr>
            </w:pPr>
            <w:r w:rsidDel="00000000" w:rsidR="00000000" w:rsidRPr="00000000">
              <w:rPr>
                <w:sz w:val="16"/>
                <w:szCs w:val="16"/>
                <w:rtl w:val="0"/>
              </w:rPr>
              <w:t xml:space="preserve">0.760</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DB">
            <w:pPr>
              <w:widowControl w:val="0"/>
              <w:spacing w:line="240" w:lineRule="auto"/>
              <w:jc w:val="center"/>
              <w:rPr>
                <w:sz w:val="16"/>
                <w:szCs w:val="16"/>
              </w:rPr>
            </w:pPr>
            <w:r w:rsidDel="00000000" w:rsidR="00000000" w:rsidRPr="00000000">
              <w:rPr>
                <w:sz w:val="16"/>
                <w:szCs w:val="16"/>
                <w:rtl w:val="0"/>
              </w:rPr>
              <w:t xml:space="preserve">0.224</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DC">
            <w:pPr>
              <w:widowControl w:val="0"/>
              <w:spacing w:line="240" w:lineRule="auto"/>
              <w:jc w:val="center"/>
              <w:rPr>
                <w:sz w:val="16"/>
                <w:szCs w:val="16"/>
              </w:rPr>
            </w:pPr>
            <w:r w:rsidDel="00000000" w:rsidR="00000000" w:rsidRPr="00000000">
              <w:rPr>
                <w:sz w:val="16"/>
                <w:szCs w:val="16"/>
                <w:rtl w:val="0"/>
              </w:rPr>
              <w:t xml:space="preserve">0.143</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DD">
            <w:pPr>
              <w:widowControl w:val="0"/>
              <w:spacing w:line="240" w:lineRule="auto"/>
              <w:jc w:val="center"/>
              <w:rPr>
                <w:sz w:val="16"/>
                <w:szCs w:val="16"/>
              </w:rPr>
            </w:pPr>
            <w:r w:rsidDel="00000000" w:rsidR="00000000" w:rsidRPr="00000000">
              <w:rPr>
                <w:sz w:val="16"/>
                <w:szCs w:val="16"/>
                <w:rtl w:val="0"/>
              </w:rPr>
              <w:t xml:space="preserve">0.597</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DE">
            <w:pPr>
              <w:widowControl w:val="0"/>
              <w:spacing w:line="240" w:lineRule="auto"/>
              <w:jc w:val="center"/>
              <w:rPr>
                <w:sz w:val="16"/>
                <w:szCs w:val="16"/>
              </w:rPr>
            </w:pPr>
            <w:r w:rsidDel="00000000" w:rsidR="00000000" w:rsidRPr="00000000">
              <w:rPr>
                <w:sz w:val="16"/>
                <w:szCs w:val="16"/>
                <w:rtl w:val="0"/>
              </w:rPr>
              <w:t xml:space="preserve">2.672</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DF">
            <w:pPr>
              <w:widowControl w:val="0"/>
              <w:spacing w:line="240" w:lineRule="auto"/>
              <w:jc w:val="center"/>
              <w:rPr>
                <w:sz w:val="16"/>
                <w:szCs w:val="16"/>
              </w:rPr>
            </w:pPr>
            <w:r w:rsidDel="00000000" w:rsidR="00000000" w:rsidRPr="00000000">
              <w:rPr>
                <w:sz w:val="16"/>
                <w:szCs w:val="16"/>
                <w:rtl w:val="0"/>
              </w:rPr>
              <w:t xml:space="preserve">2.055</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E0">
            <w:pPr>
              <w:widowControl w:val="0"/>
              <w:spacing w:line="240" w:lineRule="auto"/>
              <w:jc w:val="center"/>
              <w:rPr>
                <w:sz w:val="16"/>
                <w:szCs w:val="16"/>
              </w:rPr>
            </w:pPr>
            <w:r w:rsidDel="00000000" w:rsidR="00000000" w:rsidRPr="00000000">
              <w:rPr>
                <w:sz w:val="16"/>
                <w:szCs w:val="16"/>
                <w:rtl w:val="0"/>
              </w:rPr>
              <w:t xml:space="preserve">MRI-CGCM3 PI</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E1">
            <w:pPr>
              <w:widowControl w:val="0"/>
              <w:spacing w:line="240" w:lineRule="auto"/>
              <w:jc w:val="center"/>
              <w:rPr>
                <w:sz w:val="16"/>
                <w:szCs w:val="16"/>
              </w:rPr>
            </w:pPr>
            <w:r w:rsidDel="00000000" w:rsidR="00000000" w:rsidRPr="00000000">
              <w:rPr>
                <w:sz w:val="16"/>
                <w:szCs w:val="16"/>
                <w:rtl w:val="0"/>
              </w:rPr>
              <w:t xml:space="preserve">0.579</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E2">
            <w:pPr>
              <w:widowControl w:val="0"/>
              <w:spacing w:line="240" w:lineRule="auto"/>
              <w:jc w:val="center"/>
              <w:rPr>
                <w:sz w:val="16"/>
                <w:szCs w:val="16"/>
              </w:rPr>
            </w:pPr>
            <w:r w:rsidDel="00000000" w:rsidR="00000000" w:rsidRPr="00000000">
              <w:rPr>
                <w:sz w:val="16"/>
                <w:szCs w:val="16"/>
                <w:rtl w:val="0"/>
              </w:rPr>
              <w:t xml:space="preserve">0.382</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E3">
            <w:pPr>
              <w:widowControl w:val="0"/>
              <w:spacing w:line="240" w:lineRule="auto"/>
              <w:jc w:val="center"/>
              <w:rPr>
                <w:sz w:val="16"/>
                <w:szCs w:val="16"/>
              </w:rPr>
            </w:pPr>
            <w:r w:rsidDel="00000000" w:rsidR="00000000" w:rsidRPr="00000000">
              <w:rPr>
                <w:sz w:val="16"/>
                <w:szCs w:val="16"/>
                <w:rtl w:val="0"/>
              </w:rPr>
              <w:t xml:space="preserve">0.233</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E4">
            <w:pPr>
              <w:widowControl w:val="0"/>
              <w:spacing w:line="240" w:lineRule="auto"/>
              <w:jc w:val="center"/>
              <w:rPr>
                <w:sz w:val="16"/>
                <w:szCs w:val="16"/>
              </w:rPr>
            </w:pPr>
            <w:r w:rsidDel="00000000" w:rsidR="00000000" w:rsidRPr="00000000">
              <w:rPr>
                <w:sz w:val="16"/>
                <w:szCs w:val="16"/>
                <w:rtl w:val="0"/>
              </w:rPr>
              <w:t xml:space="preserve">1.059</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E5">
            <w:pPr>
              <w:widowControl w:val="0"/>
              <w:spacing w:line="240" w:lineRule="auto"/>
              <w:jc w:val="center"/>
              <w:rPr>
                <w:sz w:val="16"/>
                <w:szCs w:val="16"/>
              </w:rPr>
            </w:pPr>
            <w:r w:rsidDel="00000000" w:rsidR="00000000" w:rsidRPr="00000000">
              <w:rPr>
                <w:sz w:val="16"/>
                <w:szCs w:val="16"/>
                <w:rtl w:val="0"/>
              </w:rPr>
              <w:t xml:space="preserve">1.439</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E6">
            <w:pPr>
              <w:widowControl w:val="0"/>
              <w:spacing w:line="240" w:lineRule="auto"/>
              <w:jc w:val="center"/>
              <w:rPr>
                <w:sz w:val="16"/>
                <w:szCs w:val="16"/>
              </w:rPr>
            </w:pPr>
            <w:r w:rsidDel="00000000" w:rsidR="00000000" w:rsidRPr="00000000">
              <w:rPr>
                <w:sz w:val="16"/>
                <w:szCs w:val="16"/>
                <w:rtl w:val="0"/>
              </w:rPr>
              <w:t xml:space="preserve">0.852</w:t>
            </w:r>
          </w:p>
        </w:tc>
      </w:tr>
      <w:tr>
        <w:trPr>
          <w:cantSplit w:val="0"/>
          <w:tblHeader w:val="0"/>
        </w:trPr>
        <w:tc>
          <w:tcPr>
            <w:shd w:fill="b7b7b7"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E7">
            <w:pPr>
              <w:widowControl w:val="0"/>
              <w:spacing w:line="240" w:lineRule="auto"/>
              <w:jc w:val="center"/>
              <w:rPr>
                <w:sz w:val="16"/>
                <w:szCs w:val="16"/>
              </w:rPr>
            </w:pPr>
            <w:r w:rsidDel="00000000" w:rsidR="00000000" w:rsidRPr="00000000">
              <w:rPr>
                <w:sz w:val="16"/>
                <w:szCs w:val="16"/>
                <w:rtl w:val="0"/>
              </w:rPr>
              <w:t xml:space="preserve">MRI-CGCM3 LGM</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E8">
            <w:pPr>
              <w:widowControl w:val="0"/>
              <w:spacing w:line="240" w:lineRule="auto"/>
              <w:jc w:val="center"/>
              <w:rPr>
                <w:sz w:val="16"/>
                <w:szCs w:val="16"/>
              </w:rPr>
            </w:pPr>
            <w:r w:rsidDel="00000000" w:rsidR="00000000" w:rsidRPr="00000000">
              <w:rPr>
                <w:sz w:val="16"/>
                <w:szCs w:val="16"/>
                <w:rtl w:val="0"/>
              </w:rPr>
              <w:t xml:space="preserve">0.485</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E9">
            <w:pPr>
              <w:widowControl w:val="0"/>
              <w:spacing w:line="240" w:lineRule="auto"/>
              <w:jc w:val="center"/>
              <w:rPr>
                <w:sz w:val="16"/>
                <w:szCs w:val="16"/>
              </w:rPr>
            </w:pPr>
            <w:r w:rsidDel="00000000" w:rsidR="00000000" w:rsidRPr="00000000">
              <w:rPr>
                <w:sz w:val="16"/>
                <w:szCs w:val="16"/>
                <w:rtl w:val="0"/>
              </w:rPr>
              <w:t xml:space="preserve">0.285</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EA">
            <w:pPr>
              <w:widowControl w:val="0"/>
              <w:spacing w:line="240" w:lineRule="auto"/>
              <w:jc w:val="center"/>
              <w:rPr>
                <w:sz w:val="16"/>
                <w:szCs w:val="16"/>
              </w:rPr>
            </w:pPr>
            <w:r w:rsidDel="00000000" w:rsidR="00000000" w:rsidRPr="00000000">
              <w:rPr>
                <w:sz w:val="16"/>
                <w:szCs w:val="16"/>
                <w:rtl w:val="0"/>
              </w:rPr>
              <w:t xml:space="preserve">0.156</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EB">
            <w:pPr>
              <w:widowControl w:val="0"/>
              <w:spacing w:line="240" w:lineRule="auto"/>
              <w:jc w:val="center"/>
              <w:rPr>
                <w:sz w:val="16"/>
                <w:szCs w:val="16"/>
              </w:rPr>
            </w:pPr>
            <w:r w:rsidDel="00000000" w:rsidR="00000000" w:rsidRPr="00000000">
              <w:rPr>
                <w:sz w:val="16"/>
                <w:szCs w:val="16"/>
                <w:rtl w:val="0"/>
              </w:rPr>
              <w:t xml:space="preserve">0.891</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EC">
            <w:pPr>
              <w:widowControl w:val="0"/>
              <w:spacing w:line="240" w:lineRule="auto"/>
              <w:jc w:val="center"/>
              <w:rPr>
                <w:sz w:val="16"/>
                <w:szCs w:val="16"/>
              </w:rPr>
            </w:pPr>
            <w:r w:rsidDel="00000000" w:rsidR="00000000" w:rsidRPr="00000000">
              <w:rPr>
                <w:sz w:val="16"/>
                <w:szCs w:val="16"/>
                <w:rtl w:val="0"/>
              </w:rPr>
              <w:t xml:space="preserve">1.443</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ED">
            <w:pPr>
              <w:widowControl w:val="0"/>
              <w:spacing w:line="240" w:lineRule="auto"/>
              <w:jc w:val="center"/>
              <w:rPr>
                <w:sz w:val="16"/>
                <w:szCs w:val="16"/>
              </w:rPr>
            </w:pPr>
            <w:r w:rsidDel="00000000" w:rsidR="00000000" w:rsidRPr="00000000">
              <w:rPr>
                <w:sz w:val="16"/>
                <w:szCs w:val="16"/>
                <w:rtl w:val="0"/>
              </w:rPr>
              <w:t xml:space="preserve">0.702</w:t>
            </w:r>
          </w:p>
        </w:tc>
      </w:tr>
    </w:tbl>
    <w:p w:rsidR="00000000" w:rsidDel="00000000" w:rsidP="00000000" w:rsidRDefault="00000000" w:rsidRPr="00000000" w14:paraId="000000EE">
      <w:pPr>
        <w:jc w:val="center"/>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Therefore, given the higher dust load during the LGM the iron aerosol solubility reaches global maximum average values of 0.38% compared to the Holocene where they reach up to 0.65%. While the median is between 0.48% and 0.23%, for the Holocene and LGM, conversely. Although the solubility of Fe is considered to vary, preferentially, between 1 - 10%, for values only coming from the relationship between dust flux and time deposition, numerous works use global measures below or close to 1% (Tagliabue et al., 2016, Odalen et al., 2020, Lambert et al., 2021, Saini et al., 2022). The MIROC-ESM model (approximately 0.77% on average for both periods) shows the highest average values, except, although with high variability, Ohgaito which reaches ~1% during the Holocene and ~0.4% during the LGM. Regarding the median, during the Holocene, Takemura, Ohgaito and MIROC-ESM tend to have similar values, around 0.5%, while Lambert is the one that escapes from the average with 0.18% globally. However, during the LGM in all models there is much greater variability.  The relationship between the models Ohgaito, Takemura and MIROC-ESM is not unexpected, Lambert et al., 2021 shows us that these models either do not count or tend to underestimate the source of dust at latitudes beyond 30°S and/or glaciogenic origin, which could provide greater heterogeneity. Nevertheless, although the Lambert model is the farthest from the average or median it has the best adjustment with the core datasets for the LGM. Regionally, the Eastern Central Pacific (CEP) along with the Southern Oceans (SO, South Pacific (SP) and South Indian Atlantic (SAI)) show the highest dissolved iron inputs, with medians of 1.01% (CEP), 1.71% (SP) and 0.93% (UPS) and 0.62% (CEP), 1.1% (SP) and 0.43% (UPS) during the Holocene and LGM, respectively. Since all models tend to reproduce CEP conditions well, it is the region with the best adjustment between models for both periods. </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La figura x, muestra los promedio porcentuales de la cantidad de hierro solubilizado respecto de la carga de hierro total contenido en el flujo de polvo del Holoceno y LGM. Éstos campos fueron construidos a partir de promedios en cada punto de grilla de los 6 campos de solubilidad de cada periodo estimado, éstos últimos calculados a partir de la metodología expuesta en la sección 2.3. </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A partir de trabajos de laboratorio (Baker et al., 2006, Baker et al., 2006a and Baker et al., 2006b), sabemos que el hierro soluble en los aerosoles minerales tiene una relación inversa con la concentración de polvo eólico. La cual sólo toma en cuenta el efecto físico entre la distancia a la fuente como un indicador del tiempo que las partículas de polvo permanecen en suspensión y cómo esto afecta la morfología del grano y su composición mineral, por ende, es un indicador de la superficie que queda expuesta para ser fácilmente solubilizada. Lo anterior, sin considerar procesos previos como la solubilidad de origen, producto de la mineralogía de la fuente, efectos de transporte, como la acidez de la nube o reacciones fotoquímicas, y/o procesos de depositación, como reacciones químicas (PH del agua, oxidación, temperatura) u orgánicos (complejización orgánica con ligandos). </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Por lo tanto, dada la mayor carga de polvo durante el UMG la solubilidad del hierro aerosol alcanza valores promedios máximos globales de 0.38% en comparación del Holoceno donde llegan hasta 0.65%. Mientras la mediana está entre 0.48% y 0.23%, para el Holoceno y LGM correspondientemente. Si bien, la solubilidad del Fe se considera que varía, preferentemente, entre 1 - 10%, para valores provenientes netamente de la relación flujo de polvo tiempo de depositación, numerosos trabajos utilizan medidas globales por debajo o cercanos a 1% (Tagliabue et al., 2016, Odalen et al., 2020, Lambert et al., 2021, Saini et al., 2022). El modelo MIROC-ESM (apróximadamente 0.77% en promedio para ambos periodos), muestra los mayores valores promedios, a excepción, aunque con mayor variabilidad, Ohgaito que alcanza un ~1% durante el Holoceno y ~0.4% durante el LGM. Respecto de la mediana, durante el Holoceno, Takemura, Ohgaito y MIROC-ESM tienden a tener valores similares, en torno a 0.5%, mientras Lambert es el que más se escapa de la media con 0.18% a nivel global, nos obstante, durante el LGM en todos los modelos hay mucha mayor variabilidad. La relación entre los modelos Ohgaito, Takemura y MIROC-ESM no es inesperada dado que Lambert etal., 2021 nos muestra que o no cuentan o tienden a subestimar la fuente de polvo en latitudes superiores a los 30°S y/o de origen glaciogénico, que podrían aportar mayor heterogeneidad. No obstante, si bien el modelo Lambert es el que más se aleja de la la media o mediana cuenta con el mejor ajuste con los datos de testidos para el LGM. Regionalmente, el Pacífico Central Este (CEP) junto con los Océanos del Sur (SO, Pacífico Sur (SP) y Atlántico Índico Sur (SAI)) muestran tener las mayores entradas de hierro disuelto, con medianas de 1.01% (CEP), 1.71% (SP) y 0.93% (SAI) y 0.62% (CEP), 1.1% (SP) y 0.43% (SAI) durante el Holoceno y LGM, respectivamente. Dado que todos los modelos tienden a reproducir bien las condiciones del CEP, es la región con mayor ajuste entre modelos para ambos periodos. </w:t>
      </w:r>
    </w:p>
    <w:p w:rsidR="00000000" w:rsidDel="00000000" w:rsidP="00000000" w:rsidRDefault="00000000" w:rsidRPr="00000000" w14:paraId="000000F8">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