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Campo global de Fe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Holoceno, output de cGENIE. Hacer un único panel correspondiente al campo input de Lambert2015, por ser el único observacional. Agregar puntos medidos de Fe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océano superficial, según set de datos GEOTRACES Intermediate Data Product 2021. Agregar áreas HNLC según fueron usadas en las simulaciones. Agregar grilla de cGENIE.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es una figura metodológica en la que se muestran 4 paneles, dos de Holoceno y dos de LGM, conteniendo los campos de flujo de polvo de Mahowald et al. (2006) y los campos calculados de flujo de Fe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cajas y flechas describiendo el método utilizado.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Primera figura de resultados. Consiste de cuatro paneles, dos de Holoceno y dos de LGM. En dos de ellas el eje y es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(ppm), y en dos de ellas es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normalizado al área total de la cuenca y a la masa total de polvo depositada en la cuenca (ppm 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kg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El eje x es el factor de multiplicación de Fe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 importante que el eje x sea lineal. Además, dejar una separación suficiente entre grupos de 5 box plots para que visualmente sea más fácil de distinguir... hablemos de esto de nuevo.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5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Segunda figura de resultados. Idem a la figura 4, pero esta vez en el eje x poner la mediana de Fe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toda la cuenca. No poner símbolos de distinto tamaño de acuerdo al factor de multiplicación utilizado.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qE/AFOaTvWY6JFwTNdknKakYzQ==">AMUW2mVGq2w+fk26rYtbdNEI0qdB6i39w2uW69XwVSclwXvF7AOQPbCoTf7CitPj28k6yimZnWCRURB3jUbjv6uOlhNXkc4LYVMYBDh2kj4BZTlYNVHZ4Vg=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2022-05-09T20:51:00Z</dcterms:created>
  <dc:creator>Nicolás Cosentino</dc:creator>
</cp:coreProperties>
</file>