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2937"/>
          <w:sz w:val="50"/>
        </w:rPr>
        <w:t>MercaYa | Campaña 10.10</w:t>
      </w:r>
    </w:p>
    <w:p>
      <w:pPr>
        <w:jc w:val="center"/>
      </w:pPr>
      <w:r>
        <w:rPr>
          <w:rFonts w:ascii="Arial" w:hAnsi="Arial"/>
          <w:color w:val="3483FA"/>
          <w:sz w:val="24"/>
        </w:rPr>
        <w:t>Brief de campaña - fuente para assessment</w:t>
      </w:r>
    </w:p>
    <w:p/>
    <w:p>
      <w:pPr>
        <w:pStyle w:val="Heading1"/>
      </w:pPr>
      <w:r>
        <w:t>Objetivo</w:t>
      </w:r>
    </w:p>
    <w:p>
      <w:r>
        <w:t>Acelerar crecimiento de ventas durante el 10 de octubre, priorizando adquisición eficiente y crecimiento fuera de Bogotá sin deteriorar rentabilidad.</w:t>
      </w:r>
    </w:p>
    <w:p>
      <w:pPr>
        <w:pStyle w:val="Heading1"/>
      </w:pPr>
      <w:r>
        <w:t>Metas del día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032"/>
            <w:shd w:fill="1F2937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KPI</w:t>
            </w:r>
          </w:p>
        </w:tc>
        <w:tc>
          <w:tcPr>
            <w:tcW w:type="dxa" w:w="4032"/>
            <w:shd w:fill="1F2937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Meta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7"/>
              </w:rPr>
              <w:t>NMV total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7"/>
              </w:rPr>
              <w:t>COP 1.250 MM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7"/>
              </w:rPr>
              <w:t>Sesiones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7"/>
              </w:rPr>
              <w:t>500.000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7"/>
              </w:rPr>
              <w:t>CVR objetivo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7"/>
              </w:rPr>
              <w:t>3,5%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7"/>
              </w:rPr>
              <w:t>ROAS Paid Media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7"/>
              </w:rPr>
              <w:t>≥ 5,0x</w:t>
            </w:r>
          </w:p>
        </w:tc>
      </w:tr>
      <w:tr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7"/>
              </w:rPr>
              <w:t>Participación regiones fuera de Bogotá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7"/>
              </w:rPr>
              <w:t>≥ 48% del NMV</w:t>
            </w:r>
          </w:p>
        </w:tc>
      </w:tr>
    </w:tbl>
    <w:p/>
    <w:p>
      <w:pPr>
        <w:pStyle w:val="Heading1"/>
      </w:pPr>
      <w:r>
        <w:t>Audiencia y foco</w:t>
      </w:r>
    </w:p>
    <w:p>
      <w:pPr>
        <w:pStyle w:val="ListBullet"/>
        <w:spacing w:after="60"/>
      </w:pPr>
      <w:r>
        <w:t>Hombres y mujeres 18-44.</w:t>
      </w:r>
    </w:p>
    <w:p>
      <w:pPr>
        <w:pStyle w:val="ListBullet"/>
        <w:spacing w:after="60"/>
      </w:pPr>
      <w:r>
        <w:t>Foco incremental: mujeres 18-34 y compradores fuera de Bogotá.</w:t>
      </w:r>
    </w:p>
    <w:p>
      <w:pPr>
        <w:pStyle w:val="ListBullet"/>
        <w:spacing w:after="60"/>
      </w:pPr>
      <w:r>
        <w:t>Categorías prioritarias: Tecnología, Belleza y Hogar.</w:t>
      </w:r>
    </w:p>
    <w:p>
      <w:pPr>
        <w:pStyle w:val="Heading1"/>
      </w:pPr>
      <w:r>
        <w:t>Oferta y comunicación</w:t>
      </w:r>
    </w:p>
    <w:p>
      <w:pPr>
        <w:pStyle w:val="ListBullet"/>
        <w:spacing w:after="60"/>
      </w:pPr>
      <w:r>
        <w:t>Promesa principal: Hasta 40% OFF en miles de productos.</w:t>
      </w:r>
    </w:p>
    <w:p>
      <w:pPr>
        <w:pStyle w:val="ListBullet"/>
        <w:spacing w:after="60"/>
      </w:pPr>
      <w:r>
        <w:t>Envío gratis desde COP 79.900.</w:t>
      </w:r>
    </w:p>
    <w:p>
      <w:pPr>
        <w:pStyle w:val="ListBullet"/>
        <w:spacing w:after="60"/>
      </w:pPr>
      <w:r>
        <w:t>Cupón BIENVENIDA10: 10% OFF, tope COP 30.000, presupuesto COP 30 MM.</w:t>
      </w:r>
    </w:p>
    <w:p>
      <w:pPr>
        <w:pStyle w:val="ListBullet"/>
        <w:spacing w:after="60"/>
      </w:pPr>
      <w:r>
        <w:t>Cupón FLASH1010: COP 20.000 OFF desde COP 149.900, presupuesto COP 40 MM. Ventana comunicada en brief: 14:00-18:00.</w:t>
      </w:r>
    </w:p>
    <w:p>
      <w:pPr>
        <w:pStyle w:val="Heading1"/>
      </w:pPr>
      <w:r>
        <w:t>Guardrails</w:t>
      </w:r>
    </w:p>
    <w:p>
      <w:pPr>
        <w:pStyle w:val="ListBullet"/>
        <w:spacing w:after="60"/>
      </w:pPr>
      <w:r>
        <w:t>No mover más de 20% del presupuesto diario entre canales sin aprobación del Marketing Lead.</w:t>
      </w:r>
    </w:p>
    <w:p>
      <w:pPr>
        <w:pStyle w:val="ListBullet"/>
        <w:spacing w:after="60"/>
      </w:pPr>
      <w:r>
        <w:t>No aumentar presupuesto de cupones sin validación de Finanzas.</w:t>
      </w:r>
    </w:p>
    <w:p>
      <w:pPr>
        <w:pStyle w:val="ListBullet"/>
        <w:spacing w:after="60"/>
      </w:pPr>
      <w:r>
        <w:t>Recomendaciones de inversión deben considerar al menos ROAS, volumen incremental y pacing.</w:t>
      </w:r>
    </w:p>
    <w:p>
      <w:pPr>
        <w:pStyle w:val="ListBullet"/>
        <w:spacing w:after="60"/>
      </w:pPr>
      <w:r>
        <w:t>Toda comunicación promocional debe mantener T&amp;C consistentes con la fuente oficial de promociones.</w:t>
      </w:r>
    </w:p>
    <w:p>
      <w:pPr>
        <w:pStyle w:val="Heading1"/>
      </w:pPr>
      <w:r>
        <w:t>Presupuesto Paid Media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608"/>
            <w:shd w:fill="1F2937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Canal</w:t>
            </w:r>
          </w:p>
        </w:tc>
        <w:tc>
          <w:tcPr>
            <w:tcW w:type="dxa" w:w="3456"/>
            <w:shd w:fill="1F2937"/>
            <w:vAlign w:val="center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Presupuesto día (COP MM)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7"/>
              </w:rPr>
              <w:t>Meta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7"/>
              </w:rPr>
              <w:t>90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7"/>
              </w:rPr>
              <w:t>Google Search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7"/>
              </w:rPr>
              <w:t>70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7"/>
              </w:rPr>
              <w:t>TikTok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7"/>
              </w:rPr>
              <w:t>40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7"/>
              </w:rPr>
              <w:t>Programmatic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7"/>
              </w:rPr>
              <w:t>30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7"/>
              </w:rPr>
              <w:t>TOTAL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rial" w:hAnsi="Arial"/>
                <w:b w:val="0"/>
                <w:color w:val="1F2937"/>
                <w:sz w:val="17"/>
              </w:rPr>
              <w:t>230</w:t>
            </w:r>
          </w:p>
        </w:tc>
      </w:tr>
    </w:tbl>
    <w:p/>
    <w:p>
      <w:pPr>
        <w:pStyle w:val="Heading1"/>
      </w:pPr>
      <w:r>
        <w:t>Nota operativa</w:t>
      </w:r>
    </w:p>
    <w:p>
      <w:r>
        <w:t>El equipo de CRM tiene registrada la ventana de FLASH1010 de 13:00 a 17:00. Validar antes de activar comunicaciones adicionales.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293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483F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293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