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E5E33" w14:textId="11BF2C4E" w:rsidR="003A4F29" w:rsidRDefault="003A4F29">
      <w:pPr>
        <w:jc w:val="center"/>
        <w:rPr>
          <w:b/>
          <w:bCs/>
          <w:color w:val="002060"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69A7B62" wp14:editId="62B7B667">
            <wp:simplePos x="0" y="0"/>
            <wp:positionH relativeFrom="column">
              <wp:posOffset>3385185</wp:posOffset>
            </wp:positionH>
            <wp:positionV relativeFrom="paragraph">
              <wp:posOffset>-777875</wp:posOffset>
            </wp:positionV>
            <wp:extent cx="2613660" cy="497591"/>
            <wp:effectExtent l="0" t="0" r="0" b="0"/>
            <wp:wrapNone/>
            <wp:docPr id="546382720" name="Imagen 5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82720" name="Imagen 5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497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1719882" wp14:editId="38FEF978">
            <wp:simplePos x="0" y="0"/>
            <wp:positionH relativeFrom="page">
              <wp:posOffset>205740</wp:posOffset>
            </wp:positionH>
            <wp:positionV relativeFrom="paragraph">
              <wp:posOffset>-855980</wp:posOffset>
            </wp:positionV>
            <wp:extent cx="2369820" cy="633141"/>
            <wp:effectExtent l="0" t="0" r="0" b="0"/>
            <wp:wrapNone/>
            <wp:docPr id="299151503" name="Imagen 6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51503" name="Imagen 6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63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</w:t>
      </w:r>
      <w:r>
        <w:rPr>
          <w:b/>
          <w:bCs/>
          <w:noProof/>
          <w:color w:val="002060"/>
          <w:sz w:val="36"/>
          <w:szCs w:val="36"/>
          <w:u w:val="single"/>
        </w:rPr>
        <w:t xml:space="preserve"> </w:t>
      </w:r>
      <w:r>
        <w:rPr>
          <w:b/>
          <w:bCs/>
          <w:noProof/>
          <w:color w:val="002060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8181C8" wp14:editId="1CC23CFA">
                <wp:simplePos x="0" y="0"/>
                <wp:positionH relativeFrom="page">
                  <wp:posOffset>7620</wp:posOffset>
                </wp:positionH>
                <wp:positionV relativeFrom="paragraph">
                  <wp:posOffset>-899795</wp:posOffset>
                </wp:positionV>
                <wp:extent cx="7543800" cy="693420"/>
                <wp:effectExtent l="0" t="0" r="19050" b="11430"/>
                <wp:wrapNone/>
                <wp:docPr id="66325503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693420"/>
                        </a:xfrm>
                        <a:prstGeom prst="rect">
                          <a:avLst/>
                        </a:prstGeom>
                        <a:solidFill>
                          <a:srgbClr val="990033"/>
                        </a:solidFill>
                        <a:ln>
                          <a:solidFill>
                            <a:srgbClr val="9900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9EA953" id="Rectángulo 4" o:spid="_x0000_s1026" style="position:absolute;margin-left:.6pt;margin-top:-70.85pt;width:594pt;height:54.6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" fillcolor="#903" strokecolor="#903" strokeweight="1pt">
                <w10:wrap anchorx="page"/>
              </v:rect>
            </w:pict>
          </mc:Fallback>
        </mc:AlternateContent>
      </w:r>
    </w:p>
    <w:p w14:paraId="55A7F2AB" w14:textId="69C0A410" w:rsidR="005A55E7" w:rsidRPr="003A4F29" w:rsidRDefault="00000000" w:rsidP="003A4F29">
      <w:pPr>
        <w:jc w:val="center"/>
        <w:rPr>
          <w:b/>
          <w:bCs/>
          <w:color w:val="002060"/>
          <w:sz w:val="36"/>
          <w:szCs w:val="36"/>
          <w:u w:val="single"/>
        </w:rPr>
      </w:pPr>
      <w:r w:rsidRPr="003A4F29">
        <w:rPr>
          <w:b/>
          <w:bCs/>
          <w:color w:val="002060"/>
          <w:sz w:val="36"/>
          <w:szCs w:val="36"/>
          <w:u w:val="single"/>
        </w:rPr>
        <w:t>PLAN DE ANÁLISIS UNIDAD CENTINELA DE INFECCIÓN RESPIRATORIA AGUDA GRAVE (IRAG)</w:t>
      </w:r>
    </w:p>
    <w:p w14:paraId="7BABA24E" w14:textId="77777777" w:rsidR="003A4F29" w:rsidRDefault="003A4F29" w:rsidP="003A4F29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271569E2" w14:textId="2A182762" w:rsidR="005A55E7" w:rsidRPr="003A4F29" w:rsidRDefault="00000000" w:rsidP="003A4F29">
      <w:pPr>
        <w:spacing w:line="360" w:lineRule="auto"/>
        <w:ind w:firstLine="708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 xml:space="preserve">La Estrategia de Vigilancia de Infecciones Respiratorias Agudas se conforma por componentes de vigilancia centinela, universal y de redes de establecimientos que actúan de manera complementaria y colaborativa, con el propósito de consolidar un sistema integrado de vigilancia. </w:t>
      </w:r>
    </w:p>
    <w:p w14:paraId="7B8BBBD2" w14:textId="77777777" w:rsidR="005A55E7" w:rsidRPr="003A4F29" w:rsidRDefault="00000000" w:rsidP="003A4F29">
      <w:pPr>
        <w:spacing w:line="360" w:lineRule="auto"/>
        <w:ind w:firstLine="708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 xml:space="preserve">En este marco, el presente análisis tiene como finalidad generar información técnica que sirva de referencia para el fortalecimiento de la vigilancia y la toma de decisiones basadas en evidencia, a partir de los datos registrados en el Sistema Nacional de Vigilancia de la Salud (SNVS 2.0) en el contexto de la estrategia de Unidades Centinela de Infecciones Respiratorias Agudas (UC-IRAG). </w:t>
      </w:r>
    </w:p>
    <w:p w14:paraId="3AB15463" w14:textId="77777777" w:rsidR="005A55E7" w:rsidRPr="003A4F29" w:rsidRDefault="00000000" w:rsidP="003A4F29">
      <w:pPr>
        <w:spacing w:line="360" w:lineRule="auto"/>
        <w:ind w:firstLine="708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>En la provincia de Salta, la estrategia (UC-IRAG) es implementada por los equipos de salud del Hospital “Señor del Milagro", en la ciudad de Salta, y del Hospital “San Vicente de Paul", en la ciudad de Orán.</w:t>
      </w:r>
    </w:p>
    <w:p w14:paraId="3FFF1F6C" w14:textId="77777777" w:rsidR="005A55E7" w:rsidRPr="003A4F29" w:rsidRDefault="00000000" w:rsidP="003A4F29">
      <w:pPr>
        <w:spacing w:line="360" w:lineRule="auto"/>
        <w:rPr>
          <w:rFonts w:ascii="Arial" w:hAnsi="Arial" w:cs="Arial"/>
          <w:b/>
          <w:bCs/>
        </w:rPr>
      </w:pPr>
      <w:r w:rsidRPr="003A4F29">
        <w:rPr>
          <w:rFonts w:ascii="Arial" w:hAnsi="Arial" w:cs="Arial"/>
          <w:b/>
          <w:bCs/>
        </w:rPr>
        <w:t>OBJETIVO GENERAL</w:t>
      </w:r>
    </w:p>
    <w:p w14:paraId="39655AAF" w14:textId="77777777" w:rsidR="005A55E7" w:rsidRPr="003A4F29" w:rsidRDefault="00000000" w:rsidP="003A4F29">
      <w:pPr>
        <w:spacing w:before="240" w:after="240" w:line="360" w:lineRule="auto"/>
        <w:ind w:firstLine="720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>Describir el perfil clínico, epidemiológico y de diagnóstico etiológico de las infecciones respiratorias agudas graves.</w:t>
      </w:r>
    </w:p>
    <w:p w14:paraId="0054CD5C" w14:textId="77777777" w:rsidR="005A55E7" w:rsidRPr="003A4F29" w:rsidRDefault="00000000" w:rsidP="003A4F29">
      <w:pPr>
        <w:spacing w:line="360" w:lineRule="auto"/>
        <w:jc w:val="both"/>
        <w:rPr>
          <w:rFonts w:ascii="Arial" w:hAnsi="Arial" w:cs="Arial"/>
          <w:b/>
          <w:bCs/>
        </w:rPr>
      </w:pPr>
      <w:r w:rsidRPr="003A4F29">
        <w:rPr>
          <w:rFonts w:ascii="Arial" w:hAnsi="Arial" w:cs="Arial"/>
          <w:b/>
          <w:bCs/>
        </w:rPr>
        <w:t>OBJETIVOS ESPECÍFICOS</w:t>
      </w:r>
    </w:p>
    <w:p w14:paraId="5056F778" w14:textId="77777777" w:rsidR="005A55E7" w:rsidRPr="003A4F29" w:rsidRDefault="00000000" w:rsidP="003A4F29">
      <w:pPr>
        <w:numPr>
          <w:ilvl w:val="0"/>
          <w:numId w:val="2"/>
        </w:numPr>
        <w:spacing w:before="240" w:after="0" w:line="360" w:lineRule="auto"/>
        <w:jc w:val="both"/>
        <w:rPr>
          <w:rFonts w:ascii="Arial" w:hAnsi="Arial" w:cs="Arial"/>
        </w:rPr>
      </w:pPr>
      <w:r w:rsidRPr="003A4F29">
        <w:rPr>
          <w:rFonts w:ascii="Arial" w:eastAsia="Arial" w:hAnsi="Arial" w:cs="Arial"/>
        </w:rPr>
        <w:t>Caracterizar la ocurrencia temporal de los casos de IRAG por semana epidemiológica.</w:t>
      </w:r>
    </w:p>
    <w:p w14:paraId="3360A783" w14:textId="77777777" w:rsidR="005A55E7" w:rsidRPr="003A4F29" w:rsidRDefault="00000000" w:rsidP="003A4F29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r w:rsidRPr="003A4F29">
        <w:rPr>
          <w:rFonts w:ascii="Arial" w:eastAsia="Arial" w:hAnsi="Arial" w:cs="Arial"/>
        </w:rPr>
        <w:t>Describir la distribución de los casos de IRAG por grupo de edad.</w:t>
      </w:r>
    </w:p>
    <w:p w14:paraId="1E072A8D" w14:textId="77777777" w:rsidR="005A55E7" w:rsidRPr="003A4F29" w:rsidRDefault="00000000" w:rsidP="003A4F29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r w:rsidRPr="003A4F29">
        <w:rPr>
          <w:rFonts w:ascii="Arial" w:eastAsia="Arial" w:hAnsi="Arial" w:cs="Arial"/>
        </w:rPr>
        <w:t>Evaluar el perfil etiológico de las IRAG mediante el análisis de las determinaciones de laboratorio para SARS-CoV-2, influenza y virus sincicial respiratorio (VSR) por semana epidemiológica.</w:t>
      </w:r>
    </w:p>
    <w:p w14:paraId="13F83486" w14:textId="77777777" w:rsidR="005A55E7" w:rsidRPr="003A4F29" w:rsidRDefault="00000000" w:rsidP="003A4F29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r w:rsidRPr="003A4F29">
        <w:rPr>
          <w:rFonts w:ascii="Arial" w:eastAsia="Arial" w:hAnsi="Arial" w:cs="Arial"/>
        </w:rPr>
        <w:t>Describir la distribución de las determinaciones positivas de SARS-CoV-2, influenza y virus sincicial respiratorio (VSR) por grupo de edad.</w:t>
      </w:r>
    </w:p>
    <w:p w14:paraId="3403AF3B" w14:textId="77777777" w:rsidR="005A55E7" w:rsidRPr="003A4F29" w:rsidRDefault="00000000" w:rsidP="003A4F29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r w:rsidRPr="003A4F29">
        <w:rPr>
          <w:rFonts w:ascii="Arial" w:eastAsia="Arial" w:hAnsi="Arial" w:cs="Arial"/>
        </w:rPr>
        <w:t>Analizar las características clínicas de los casos de IRAG a través de la identificación de los signos y síntomas y comorbilidades más frecuentes.</w:t>
      </w:r>
    </w:p>
    <w:p w14:paraId="0C6626E7" w14:textId="77777777" w:rsidR="005A55E7" w:rsidRPr="003A4F29" w:rsidRDefault="00000000" w:rsidP="003A4F29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r w:rsidRPr="003A4F29">
        <w:rPr>
          <w:rFonts w:ascii="Arial" w:eastAsia="Arial" w:hAnsi="Arial" w:cs="Arial"/>
        </w:rPr>
        <w:t>Analizar la severidad de los casos de IRAG mediante la estimación de la tasa de letalidad y su distribución por grupo de edad.</w:t>
      </w:r>
    </w:p>
    <w:p w14:paraId="45EF35CC" w14:textId="77777777" w:rsidR="005A55E7" w:rsidRPr="003A4F29" w:rsidRDefault="00000000" w:rsidP="003A4F29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r w:rsidRPr="003A4F29">
        <w:rPr>
          <w:rFonts w:ascii="Arial" w:eastAsia="Arial" w:hAnsi="Arial" w:cs="Arial"/>
        </w:rPr>
        <w:lastRenderedPageBreak/>
        <w:t>Cuantificar la proporción de casos de IRAG e IRAG extendida en relación con el total de pacientes internados por todas las causas y estimar la carga relativa de enfermedad respiratoria aguda grave.</w:t>
      </w:r>
    </w:p>
    <w:p w14:paraId="04EFB0B3" w14:textId="77777777" w:rsidR="005A55E7" w:rsidRPr="003A4F29" w:rsidRDefault="00000000" w:rsidP="003A4F29">
      <w:pPr>
        <w:numPr>
          <w:ilvl w:val="0"/>
          <w:numId w:val="2"/>
        </w:numPr>
        <w:spacing w:after="240" w:line="360" w:lineRule="auto"/>
        <w:jc w:val="both"/>
        <w:rPr>
          <w:rFonts w:ascii="Arial" w:eastAsia="Arial" w:hAnsi="Arial" w:cs="Arial"/>
        </w:rPr>
      </w:pPr>
      <w:r w:rsidRPr="003A4F29">
        <w:rPr>
          <w:rFonts w:ascii="Arial" w:eastAsia="Arial" w:hAnsi="Arial" w:cs="Arial"/>
        </w:rPr>
        <w:t>Evaluar la severidad clínica de los casos de IRAG mediante el seguimiento de los ingresos a unidades de cuidados intensivos y de las defunciones.</w:t>
      </w:r>
    </w:p>
    <w:p w14:paraId="7A5A717B" w14:textId="77777777" w:rsidR="005A55E7" w:rsidRPr="003A4F29" w:rsidRDefault="00000000" w:rsidP="003A4F29">
      <w:pPr>
        <w:spacing w:line="360" w:lineRule="auto"/>
        <w:jc w:val="both"/>
        <w:rPr>
          <w:rFonts w:ascii="Arial" w:hAnsi="Arial" w:cs="Arial"/>
          <w:b/>
          <w:bCs/>
        </w:rPr>
      </w:pPr>
      <w:r w:rsidRPr="003A4F29">
        <w:rPr>
          <w:rFonts w:ascii="Arial" w:hAnsi="Arial" w:cs="Arial"/>
          <w:b/>
          <w:bCs/>
        </w:rPr>
        <w:t>DEFINICIONES DE CASO</w:t>
      </w:r>
    </w:p>
    <w:p w14:paraId="7AC06D32" w14:textId="77777777" w:rsidR="005A55E7" w:rsidRPr="003A4F29" w:rsidRDefault="00000000" w:rsidP="003A4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</w:rPr>
      </w:pPr>
      <w:r w:rsidRPr="003A4F29">
        <w:rPr>
          <w:rFonts w:ascii="Arial" w:hAnsi="Arial" w:cs="Arial"/>
          <w:b/>
          <w:bCs/>
          <w:color w:val="000000"/>
        </w:rPr>
        <w:t>Infección Respiratoria Aguda Grave (IRAG):</w:t>
      </w:r>
    </w:p>
    <w:p w14:paraId="432A1E8F" w14:textId="77777777" w:rsidR="005A55E7" w:rsidRPr="003A4F29" w:rsidRDefault="00000000" w:rsidP="003A4F29">
      <w:pPr>
        <w:spacing w:line="360" w:lineRule="auto"/>
        <w:ind w:firstLine="360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>Paciente de cualquier edad con infección respiratoria aguda con:</w:t>
      </w:r>
    </w:p>
    <w:p w14:paraId="41E3367B" w14:textId="77777777" w:rsidR="005A55E7" w:rsidRPr="003A4F29" w:rsidRDefault="00000000" w:rsidP="003A4F29">
      <w:pPr>
        <w:numPr>
          <w:ilvl w:val="1"/>
          <w:numId w:val="3"/>
        </w:numPr>
        <w:spacing w:line="360" w:lineRule="auto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>Fiebre referida o constatada &gt;= 38°C y Tos; y </w:t>
      </w:r>
    </w:p>
    <w:p w14:paraId="44ADE10E" w14:textId="77777777" w:rsidR="005A55E7" w:rsidRPr="003A4F29" w:rsidRDefault="00000000" w:rsidP="003A4F29">
      <w:pPr>
        <w:numPr>
          <w:ilvl w:val="1"/>
          <w:numId w:val="3"/>
        </w:numPr>
        <w:spacing w:line="360" w:lineRule="auto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>Inicio del cuadro en los 10 días precedentes; y </w:t>
      </w:r>
    </w:p>
    <w:p w14:paraId="5D9F9DCA" w14:textId="77777777" w:rsidR="005A55E7" w:rsidRPr="003A4F29" w:rsidRDefault="00000000" w:rsidP="003A4F29">
      <w:pPr>
        <w:numPr>
          <w:ilvl w:val="1"/>
          <w:numId w:val="3"/>
        </w:numPr>
        <w:spacing w:line="360" w:lineRule="auto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>Requerimiento de internación por criterio clínico. </w:t>
      </w:r>
    </w:p>
    <w:p w14:paraId="4F754811" w14:textId="77777777" w:rsidR="005A55E7" w:rsidRPr="003A4F29" w:rsidRDefault="00000000" w:rsidP="003A4F2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</w:rPr>
      </w:pPr>
      <w:r w:rsidRPr="003A4F29">
        <w:rPr>
          <w:rFonts w:ascii="Arial" w:hAnsi="Arial" w:cs="Arial"/>
          <w:b/>
          <w:bCs/>
          <w:color w:val="000000"/>
        </w:rPr>
        <w:t>Infección Respiratoria Aguda Grave (IRAG) extendida en &lt; 2 años y</w:t>
      </w:r>
      <w:r w:rsidRPr="003A4F29">
        <w:rPr>
          <w:rFonts w:ascii="Arial" w:hAnsi="Arial" w:cs="Arial"/>
          <w:b/>
          <w:bCs/>
        </w:rPr>
        <w:t xml:space="preserve"> </w:t>
      </w:r>
      <w:r w:rsidRPr="003A4F29">
        <w:rPr>
          <w:rFonts w:ascii="Arial" w:eastAsia="Open Sans" w:hAnsi="Arial" w:cs="Arial"/>
          <w:b/>
          <w:bCs/>
          <w:highlight w:val="white"/>
        </w:rPr>
        <w:t>&gt;= 60 años</w:t>
      </w:r>
      <w:r w:rsidRPr="003A4F29">
        <w:rPr>
          <w:rFonts w:ascii="Arial" w:hAnsi="Arial" w:cs="Arial"/>
          <w:b/>
          <w:bCs/>
        </w:rPr>
        <w:t>:</w:t>
      </w:r>
    </w:p>
    <w:p w14:paraId="615A8D6A" w14:textId="77777777" w:rsidR="005A55E7" w:rsidRPr="003A4F29" w:rsidRDefault="00000000" w:rsidP="003A4F29">
      <w:pPr>
        <w:spacing w:line="360" w:lineRule="auto"/>
        <w:ind w:firstLine="360"/>
        <w:jc w:val="both"/>
        <w:rPr>
          <w:rFonts w:ascii="Arial" w:hAnsi="Arial" w:cs="Arial"/>
        </w:rPr>
      </w:pPr>
      <w:r w:rsidRPr="003A4F29">
        <w:rPr>
          <w:rFonts w:ascii="Arial" w:hAnsi="Arial" w:cs="Arial"/>
          <w:b/>
          <w:bCs/>
        </w:rPr>
        <w:t> </w:t>
      </w:r>
      <w:r w:rsidRPr="003A4F29">
        <w:rPr>
          <w:rFonts w:ascii="Arial" w:hAnsi="Arial" w:cs="Arial"/>
        </w:rPr>
        <w:t>Infección respiratoria: definida por tos o dificultad respiratoria; e</w:t>
      </w:r>
    </w:p>
    <w:p w14:paraId="69F00228" w14:textId="77777777" w:rsidR="005A55E7" w:rsidRPr="003A4F29" w:rsidRDefault="00000000" w:rsidP="003A4F29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>Inicio del cuadro en los 10 días precedentes; y</w:t>
      </w:r>
    </w:p>
    <w:p w14:paraId="378FB2E4" w14:textId="77777777" w:rsidR="005A55E7" w:rsidRPr="003A4F29" w:rsidRDefault="00000000" w:rsidP="003A4F29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>Requerimiento de internación por criterio clínico. </w:t>
      </w:r>
    </w:p>
    <w:p w14:paraId="1ECEA00F" w14:textId="77777777" w:rsidR="005A55E7" w:rsidRPr="003A4F29" w:rsidRDefault="00000000" w:rsidP="003A4F29">
      <w:pPr>
        <w:spacing w:line="360" w:lineRule="auto"/>
        <w:ind w:left="372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 xml:space="preserve"> En lactantes menores de 6 meses también considerar:</w:t>
      </w:r>
    </w:p>
    <w:p w14:paraId="77DF2102" w14:textId="77777777" w:rsidR="005A55E7" w:rsidRPr="003A4F29" w:rsidRDefault="00000000" w:rsidP="003A4F29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>Apnea (cese temporal de la respiración por cualquier causa), o</w:t>
      </w:r>
    </w:p>
    <w:p w14:paraId="46024775" w14:textId="77777777" w:rsidR="005A55E7" w:rsidRPr="003A4F29" w:rsidRDefault="00000000" w:rsidP="003A4F29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>Sepsis (fiebre/hipotermia y shock y gravemente enfermo sin causa aparente)</w:t>
      </w:r>
    </w:p>
    <w:p w14:paraId="607C258C" w14:textId="77777777" w:rsidR="005A55E7" w:rsidRPr="003A4F29" w:rsidRDefault="00000000" w:rsidP="003A4F29">
      <w:pPr>
        <w:spacing w:line="360" w:lineRule="auto"/>
        <w:rPr>
          <w:rFonts w:ascii="Arial" w:hAnsi="Arial" w:cs="Arial"/>
          <w:b/>
          <w:bCs/>
        </w:rPr>
      </w:pPr>
      <w:r w:rsidRPr="003A4F29">
        <w:rPr>
          <w:rFonts w:ascii="Arial" w:hAnsi="Arial" w:cs="Arial"/>
          <w:b/>
          <w:bCs/>
        </w:rPr>
        <w:t>CRITERIOS DE INCLUSIÓN</w:t>
      </w:r>
    </w:p>
    <w:p w14:paraId="4A9B8D0E" w14:textId="4C7F38BD" w:rsidR="003A4F29" w:rsidRPr="003A4F29" w:rsidRDefault="00000000" w:rsidP="003A4F29">
      <w:pPr>
        <w:spacing w:line="360" w:lineRule="auto"/>
        <w:ind w:firstLine="708"/>
        <w:rPr>
          <w:rFonts w:ascii="Arial" w:hAnsi="Arial" w:cs="Arial"/>
        </w:rPr>
      </w:pPr>
      <w:r w:rsidRPr="003A4F29">
        <w:rPr>
          <w:rFonts w:ascii="Arial" w:hAnsi="Arial" w:cs="Arial"/>
        </w:rPr>
        <w:t>Pacientes que cumplan con las definiciones de caso IRAG/IRAG extendida notificados al SNVS 2.0 durante el período de análisis.</w:t>
      </w:r>
    </w:p>
    <w:p w14:paraId="419C3D2B" w14:textId="77777777" w:rsidR="005A55E7" w:rsidRPr="003A4F29" w:rsidRDefault="00000000" w:rsidP="003A4F29">
      <w:pPr>
        <w:spacing w:line="360" w:lineRule="auto"/>
        <w:rPr>
          <w:rFonts w:ascii="Arial" w:hAnsi="Arial" w:cs="Arial"/>
          <w:b/>
          <w:bCs/>
        </w:rPr>
      </w:pPr>
      <w:r w:rsidRPr="003A4F29">
        <w:rPr>
          <w:rFonts w:ascii="Arial" w:hAnsi="Arial" w:cs="Arial"/>
          <w:b/>
          <w:bCs/>
        </w:rPr>
        <w:t>CRITERIOS DE EXCLUSIÓN</w:t>
      </w:r>
    </w:p>
    <w:p w14:paraId="21E36135" w14:textId="77777777" w:rsidR="005A55E7" w:rsidRPr="003A4F29" w:rsidRDefault="00000000" w:rsidP="003A4F29">
      <w:pPr>
        <w:spacing w:line="360" w:lineRule="auto"/>
        <w:ind w:firstLine="708"/>
        <w:rPr>
          <w:rFonts w:ascii="Arial" w:hAnsi="Arial" w:cs="Arial"/>
        </w:rPr>
      </w:pPr>
      <w:r w:rsidRPr="003A4F29">
        <w:rPr>
          <w:rFonts w:ascii="Arial" w:hAnsi="Arial" w:cs="Arial"/>
        </w:rPr>
        <w:t>Se excluyen de este análisis los casos cuya clasificación manual sea “Casos invalidados por epidemiología”.</w:t>
      </w:r>
    </w:p>
    <w:p w14:paraId="2B14E5C7" w14:textId="77777777" w:rsidR="005A55E7" w:rsidRPr="003A4F29" w:rsidRDefault="00000000" w:rsidP="003A4F29">
      <w:pPr>
        <w:spacing w:line="360" w:lineRule="auto"/>
        <w:rPr>
          <w:rFonts w:ascii="Arial" w:hAnsi="Arial" w:cs="Arial"/>
          <w:b/>
          <w:bCs/>
        </w:rPr>
      </w:pPr>
      <w:r w:rsidRPr="003A4F29">
        <w:rPr>
          <w:rFonts w:ascii="Arial" w:hAnsi="Arial" w:cs="Arial"/>
          <w:b/>
          <w:bCs/>
        </w:rPr>
        <w:t xml:space="preserve">ESTRUCTURA DEL INFORME </w:t>
      </w:r>
    </w:p>
    <w:p w14:paraId="5BBFCD9F" w14:textId="77777777" w:rsidR="005A55E7" w:rsidRPr="003A4F29" w:rsidRDefault="00000000" w:rsidP="003A4F29">
      <w:pPr>
        <w:spacing w:line="360" w:lineRule="auto"/>
        <w:ind w:firstLine="360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 xml:space="preserve">El informe </w:t>
      </w:r>
      <w:r w:rsidRPr="003A4F29">
        <w:rPr>
          <w:rFonts w:ascii="Arial" w:hAnsi="Arial" w:cs="Arial"/>
          <w:b/>
          <w:bCs/>
        </w:rPr>
        <w:t>“Unidad Centinela de Infección Respiratoria Aguda Grave (UC-IRAG) – Hospital Señor del Milagro, Provincia de Salta”</w:t>
      </w:r>
      <w:r w:rsidRPr="003A4F29">
        <w:rPr>
          <w:rFonts w:ascii="Arial" w:hAnsi="Arial" w:cs="Arial"/>
        </w:rPr>
        <w:t xml:space="preserve"> se encuentra organizado en </w:t>
      </w:r>
      <w:r w:rsidRPr="003A4F29">
        <w:rPr>
          <w:rFonts w:ascii="Arial" w:hAnsi="Arial" w:cs="Arial"/>
        </w:rPr>
        <w:lastRenderedPageBreak/>
        <w:t>secciones que permiten abordar de manera ordenada y coherente los diferentes aspectos de la vigilancia de la IRAG en el marco de la estrategia nacional. Su estructura es la siguiente:</w:t>
      </w:r>
    </w:p>
    <w:p w14:paraId="68402DCB" w14:textId="77777777" w:rsidR="005A55E7" w:rsidRPr="003A4F29" w:rsidRDefault="00000000" w:rsidP="003A4F29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3A4F29">
        <w:rPr>
          <w:rFonts w:ascii="Arial" w:hAnsi="Arial" w:cs="Arial"/>
          <w:b/>
          <w:bCs/>
        </w:rPr>
        <w:t>Introducción:</w:t>
      </w:r>
      <w:r w:rsidRPr="003A4F29">
        <w:rPr>
          <w:rFonts w:ascii="Arial" w:hAnsi="Arial" w:cs="Arial"/>
        </w:rPr>
        <w:t xml:space="preserve"> presenta el contexto general de las infecciones respiratorias agudas (IRA) como problema relevante de salud pública, su impacto en los grupos poblacionales más vulnerables y la importancia de la vigilancia de virus respiratorios con potencial epidémico o pandémico. Además, describe brevemente el funcionamiento de la estrategia nacional de vigilancia de </w:t>
      </w:r>
      <w:proofErr w:type="spellStart"/>
      <w:r w:rsidRPr="003A4F29">
        <w:rPr>
          <w:rFonts w:ascii="Arial" w:hAnsi="Arial" w:cs="Arial"/>
        </w:rPr>
        <w:t>IRAs</w:t>
      </w:r>
      <w:proofErr w:type="spellEnd"/>
      <w:r w:rsidRPr="003A4F29">
        <w:rPr>
          <w:rFonts w:ascii="Arial" w:hAnsi="Arial" w:cs="Arial"/>
        </w:rPr>
        <w:t>, con especial énfasis en el componente centinela, y detalla la incorporación de la provincia de Salta a la Red Argentina de UC-IRAG, mencionando los establecimientos participantes: Hospital Señor del Milagro (Salta Capital) y Hospital San Vicente de Paul (Orán).</w:t>
      </w:r>
    </w:p>
    <w:p w14:paraId="0129A735" w14:textId="77777777" w:rsidR="005A55E7" w:rsidRPr="003A4F29" w:rsidRDefault="00000000" w:rsidP="003A4F29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3A4F29">
        <w:rPr>
          <w:rFonts w:ascii="Arial" w:hAnsi="Arial" w:cs="Arial"/>
          <w:b/>
          <w:bCs/>
        </w:rPr>
        <w:t>Mapa de efectores:</w:t>
      </w:r>
      <w:r w:rsidRPr="003A4F29">
        <w:rPr>
          <w:rFonts w:ascii="Arial" w:hAnsi="Arial" w:cs="Arial"/>
        </w:rPr>
        <w:t xml:space="preserve"> incluye información sobre la ubicación geográfica y las características institucionales de los efectores que integran la Red Nacional UC-IRAG en Salta, con un mapa georreferenciado que ilustra su distribución y nivel de complejidad.</w:t>
      </w:r>
    </w:p>
    <w:p w14:paraId="3600434B" w14:textId="77777777" w:rsidR="005A55E7" w:rsidRPr="003A4F29" w:rsidRDefault="00000000" w:rsidP="003A4F29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3A4F29">
        <w:rPr>
          <w:rFonts w:ascii="Arial" w:hAnsi="Arial" w:cs="Arial"/>
          <w:b/>
          <w:bCs/>
        </w:rPr>
        <w:t>Objetivo general del análisis:</w:t>
      </w:r>
      <w:r w:rsidRPr="003A4F29">
        <w:rPr>
          <w:rFonts w:ascii="Arial" w:hAnsi="Arial" w:cs="Arial"/>
        </w:rPr>
        <w:t xml:space="preserve"> define la finalidad principal del informe, orientada a describir el perfil clínico, epidemiológico y etiológico de las infecciones respiratorias agudas graves (IRAG) en la población atendida por las unidades centinela de la provincia.</w:t>
      </w:r>
    </w:p>
    <w:p w14:paraId="43226013" w14:textId="77777777" w:rsidR="005A55E7" w:rsidRPr="003A4F29" w:rsidRDefault="00000000" w:rsidP="003A4F29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3A4F29">
        <w:rPr>
          <w:rFonts w:ascii="Arial" w:hAnsi="Arial" w:cs="Arial"/>
          <w:b/>
          <w:bCs/>
        </w:rPr>
        <w:t>Definiciones de caso:</w:t>
      </w:r>
      <w:r w:rsidRPr="003A4F29">
        <w:rPr>
          <w:rFonts w:ascii="Arial" w:hAnsi="Arial" w:cs="Arial"/>
        </w:rPr>
        <w:t xml:space="preserve"> especifica los criterios clínicos utilizados para la identificación y clasificación de los casos de IRAG y de IRAG extendida, de acuerdo con las normas nacionales vigentes. </w:t>
      </w:r>
    </w:p>
    <w:p w14:paraId="18CC9751" w14:textId="77777777" w:rsidR="005A55E7" w:rsidRPr="003A4F29" w:rsidRDefault="00000000" w:rsidP="003A4F29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3A4F29">
        <w:rPr>
          <w:rFonts w:ascii="Arial" w:hAnsi="Arial" w:cs="Arial"/>
          <w:b/>
          <w:bCs/>
        </w:rPr>
        <w:t>Nota metodológica:</w:t>
      </w:r>
      <w:r w:rsidRPr="003A4F29">
        <w:rPr>
          <w:rFonts w:ascii="Arial" w:hAnsi="Arial" w:cs="Arial"/>
        </w:rPr>
        <w:t xml:space="preserve"> detalla las fuentes de información utilizadas, la descripción del período de análisis, el software estadístico empleado y los criterios adoptados para garantizar la calidad y validez de los resultados, como la exclusión de registros o combinaciones de datos con baja frecuencia en análisis específicos.</w:t>
      </w:r>
    </w:p>
    <w:p w14:paraId="7BD5ACCE" w14:textId="77777777" w:rsidR="005A55E7" w:rsidRPr="003A4F29" w:rsidRDefault="00000000" w:rsidP="003A4F29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3A4F29">
        <w:rPr>
          <w:rFonts w:ascii="Arial" w:hAnsi="Arial" w:cs="Arial"/>
          <w:b/>
          <w:bCs/>
        </w:rPr>
        <w:t>Análisis epidemiológico:</w:t>
      </w:r>
      <w:r w:rsidRPr="003A4F29">
        <w:rPr>
          <w:rFonts w:ascii="Arial" w:hAnsi="Arial" w:cs="Arial"/>
        </w:rPr>
        <w:t xml:space="preserve"> comprende el estudio descriptivo de los casos registrados.</w:t>
      </w:r>
    </w:p>
    <w:p w14:paraId="4F534562" w14:textId="77777777" w:rsidR="005A55E7" w:rsidRPr="003A4F29" w:rsidRDefault="00000000" w:rsidP="003A4F29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>Breve comentario que incluye un canal oficial de contacto para que cualquier persona o institución pueda realizar consultas o solicitar información adicional.</w:t>
      </w:r>
    </w:p>
    <w:p w14:paraId="5C6A368E" w14:textId="77777777" w:rsidR="003A4F29" w:rsidRDefault="003A4F29" w:rsidP="003A4F29">
      <w:pPr>
        <w:spacing w:line="360" w:lineRule="auto"/>
        <w:rPr>
          <w:rFonts w:ascii="Arial" w:hAnsi="Arial" w:cs="Arial"/>
          <w:b/>
          <w:bCs/>
        </w:rPr>
      </w:pPr>
    </w:p>
    <w:p w14:paraId="4899A5D4" w14:textId="47B095A8" w:rsidR="005A55E7" w:rsidRPr="003A4F29" w:rsidRDefault="00000000" w:rsidP="003A4F29">
      <w:pPr>
        <w:spacing w:line="360" w:lineRule="auto"/>
        <w:rPr>
          <w:rFonts w:ascii="Arial" w:hAnsi="Arial" w:cs="Arial"/>
          <w:b/>
          <w:bCs/>
        </w:rPr>
      </w:pPr>
      <w:r w:rsidRPr="003A4F29">
        <w:rPr>
          <w:rFonts w:ascii="Arial" w:hAnsi="Arial" w:cs="Arial"/>
          <w:b/>
          <w:bCs/>
        </w:rPr>
        <w:lastRenderedPageBreak/>
        <w:t>PROPUESTA METODOLÓGICA</w:t>
      </w:r>
    </w:p>
    <w:p w14:paraId="497B9F11" w14:textId="77777777" w:rsidR="005A55E7" w:rsidRPr="003A4F29" w:rsidRDefault="00000000" w:rsidP="003A4F29">
      <w:pPr>
        <w:spacing w:line="360" w:lineRule="auto"/>
        <w:ind w:firstLine="708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 xml:space="preserve">A continuación, se presenta la propuesta metodológica empleada para el desarrollo del presente informe, la cual se implementará mediante el uso del entorno </w:t>
      </w:r>
      <w:proofErr w:type="spellStart"/>
      <w:r w:rsidRPr="003A4F29">
        <w:rPr>
          <w:rFonts w:ascii="Arial" w:hAnsi="Arial" w:cs="Arial"/>
          <w:b/>
          <w:bCs/>
        </w:rPr>
        <w:t>RStudio</w:t>
      </w:r>
      <w:proofErr w:type="spellEnd"/>
      <w:r w:rsidRPr="003A4F29">
        <w:rPr>
          <w:rFonts w:ascii="Arial" w:hAnsi="Arial" w:cs="Arial"/>
        </w:rPr>
        <w:t xml:space="preserve"> y de </w:t>
      </w:r>
      <w:proofErr w:type="spellStart"/>
      <w:r w:rsidRPr="003A4F29">
        <w:rPr>
          <w:rFonts w:ascii="Arial" w:hAnsi="Arial" w:cs="Arial"/>
          <w:b/>
          <w:bCs/>
        </w:rPr>
        <w:t>Quarto</w:t>
      </w:r>
      <w:proofErr w:type="spellEnd"/>
      <w:r w:rsidRPr="003A4F29">
        <w:rPr>
          <w:rFonts w:ascii="Arial" w:hAnsi="Arial" w:cs="Arial"/>
        </w:rPr>
        <w:t>, herramientas que permiten integrar análisis, visualizaciones y resultados en un flujo automatizado de reporte.</w:t>
      </w:r>
    </w:p>
    <w:p w14:paraId="26921BFB" w14:textId="77777777" w:rsidR="005A55E7" w:rsidRPr="003A4F29" w:rsidRDefault="00000000" w:rsidP="003A4F29">
      <w:pPr>
        <w:spacing w:line="360" w:lineRule="auto"/>
        <w:ind w:firstLine="708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>En esta sección se detallan la fuente de datos, las variables seleccionadas para el análisis y la metodología de procesamiento y depuración de la información, describiendo de manera sistemática cada una de las etapas necesarias para garantizar la trazabilidad, consistencia y reproducibilidad de los resultados obtenidos.</w:t>
      </w:r>
    </w:p>
    <w:p w14:paraId="4E4826A1" w14:textId="77777777" w:rsidR="005A55E7" w:rsidRPr="003A4F29" w:rsidRDefault="00000000" w:rsidP="003A4F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b/>
          <w:bCs/>
          <w:color w:val="000000"/>
        </w:rPr>
      </w:pPr>
      <w:r w:rsidRPr="003A4F29">
        <w:rPr>
          <w:rFonts w:ascii="Arial" w:hAnsi="Arial" w:cs="Arial"/>
          <w:b/>
          <w:bCs/>
          <w:color w:val="000000"/>
        </w:rPr>
        <w:t>Fuente de datos</w:t>
      </w:r>
    </w:p>
    <w:p w14:paraId="40FEBC0A" w14:textId="77777777" w:rsidR="005A55E7" w:rsidRPr="003A4F29" w:rsidRDefault="00000000" w:rsidP="003A4F29">
      <w:pPr>
        <w:spacing w:line="360" w:lineRule="auto"/>
        <w:ind w:firstLine="708"/>
        <w:rPr>
          <w:rFonts w:ascii="Arial" w:hAnsi="Arial" w:cs="Arial"/>
        </w:rPr>
      </w:pPr>
      <w:r w:rsidRPr="003A4F29">
        <w:rPr>
          <w:rFonts w:ascii="Arial" w:hAnsi="Arial" w:cs="Arial"/>
        </w:rPr>
        <w:t>Para el análisis nominal se empleará la información obtenida del Sistema Nacional de Vigilancia de la Salud SNVS 2.0 a través del empleo de la siguiente base de datos:</w:t>
      </w:r>
    </w:p>
    <w:p w14:paraId="0780A567" w14:textId="77777777" w:rsidR="005A55E7" w:rsidRPr="003A4F29" w:rsidRDefault="00000000" w:rsidP="003A4F29">
      <w:pPr>
        <w:spacing w:line="360" w:lineRule="auto"/>
        <w:ind w:firstLine="708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 xml:space="preserve">La base de datos utilizada corresponde al </w:t>
      </w:r>
      <w:r w:rsidRPr="003A4F29">
        <w:rPr>
          <w:rFonts w:ascii="Arial" w:hAnsi="Arial" w:cs="Arial"/>
          <w:b/>
          <w:bCs/>
        </w:rPr>
        <w:t>evento Unidad Centinela de Infección Respiratoria Aguda Grave (UC-IRAG)</w:t>
      </w:r>
      <w:r w:rsidRPr="003A4F29">
        <w:rPr>
          <w:rFonts w:ascii="Arial" w:hAnsi="Arial" w:cs="Arial"/>
        </w:rPr>
        <w:t xml:space="preserve">, constituida por un </w:t>
      </w:r>
      <w:r w:rsidRPr="003A4F29">
        <w:rPr>
          <w:rFonts w:ascii="Arial" w:hAnsi="Arial" w:cs="Arial"/>
          <w:b/>
          <w:bCs/>
        </w:rPr>
        <w:t>registro único anonimizado</w:t>
      </w:r>
      <w:r w:rsidRPr="003A4F29">
        <w:rPr>
          <w:rFonts w:ascii="Arial" w:hAnsi="Arial" w:cs="Arial"/>
        </w:rPr>
        <w:t xml:space="preserve"> compartido en la “Nube” por el Área de Vigilancia de la Dirección de Epidemiología del Ministerio de Salud de la Nación.</w:t>
      </w:r>
    </w:p>
    <w:p w14:paraId="6D5604C1" w14:textId="77777777" w:rsidR="005A55E7" w:rsidRPr="003A4F29" w:rsidRDefault="00000000" w:rsidP="003A4F29">
      <w:pPr>
        <w:spacing w:line="360" w:lineRule="auto"/>
        <w:ind w:firstLine="708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 xml:space="preserve">Esta base se generó a partir del procesamiento previo de la base </w:t>
      </w:r>
      <w:proofErr w:type="spellStart"/>
      <w:r w:rsidRPr="003A4F29">
        <w:rPr>
          <w:rFonts w:ascii="Arial" w:hAnsi="Arial" w:cs="Arial"/>
        </w:rPr>
        <w:t>multiregistro</w:t>
      </w:r>
      <w:proofErr w:type="spellEnd"/>
      <w:r w:rsidRPr="003A4F29">
        <w:rPr>
          <w:rFonts w:ascii="Arial" w:hAnsi="Arial" w:cs="Arial"/>
        </w:rPr>
        <w:t xml:space="preserve"> de todos los eventos de vigilancia respiratoria, a través del equipo responsable de la vigilancia de infecciones respiratorias. Al tratarse de un producto previamente depurado, se garantiza un registro único por cada caso notificado de IRAG e IRAG extendida (</w:t>
      </w:r>
      <w:proofErr w:type="spellStart"/>
      <w:r w:rsidRPr="003A4F29">
        <w:rPr>
          <w:rFonts w:ascii="Arial" w:hAnsi="Arial" w:cs="Arial"/>
        </w:rPr>
        <w:t>IRAGe</w:t>
      </w:r>
      <w:proofErr w:type="spellEnd"/>
      <w:r w:rsidRPr="003A4F29">
        <w:rPr>
          <w:rFonts w:ascii="Arial" w:hAnsi="Arial" w:cs="Arial"/>
        </w:rPr>
        <w:t>). Asimismo, incluye variables construidas a partir de la información consolidada, lo que permite contar con un resumen integral y estandarizado de los datos disponibles.  El acceso a estos datos está habilitado para el referente jurisdiccional, quien se encarga de distribuir la información a las Unidades Centinela de la provincia, asegurando así la disponibilidad de la información para el análisis local y la toma de decisiones.</w:t>
      </w:r>
    </w:p>
    <w:p w14:paraId="180163FD" w14:textId="77777777" w:rsidR="005A55E7" w:rsidRPr="003A4F29" w:rsidRDefault="00000000" w:rsidP="003A4F29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3A4F29">
        <w:rPr>
          <w:rFonts w:ascii="Arial" w:hAnsi="Arial" w:cs="Arial"/>
        </w:rPr>
        <w:t xml:space="preserve">Para el análisis agrupado se usará </w:t>
      </w:r>
      <w:r w:rsidRPr="003A4F29">
        <w:rPr>
          <w:rFonts w:ascii="Arial" w:eastAsia="Arial" w:hAnsi="Arial" w:cs="Arial"/>
        </w:rPr>
        <w:t xml:space="preserve">la base de datos denomina </w:t>
      </w:r>
      <w:r w:rsidRPr="003A4F29">
        <w:rPr>
          <w:rFonts w:ascii="Arial" w:eastAsia="Arial" w:hAnsi="Arial" w:cs="Arial"/>
          <w:b/>
          <w:bCs/>
        </w:rPr>
        <w:t>“UC IRAG - Carga Agrupada - Salta - HOSPITAL SEÑOR DEL MILAGRO”</w:t>
      </w:r>
      <w:r w:rsidRPr="003A4F29">
        <w:rPr>
          <w:rFonts w:ascii="Arial" w:eastAsia="Arial" w:hAnsi="Arial" w:cs="Arial"/>
        </w:rPr>
        <w:t xml:space="preserve"> o </w:t>
      </w:r>
      <w:r w:rsidRPr="003A4F29">
        <w:rPr>
          <w:rFonts w:ascii="Arial" w:eastAsia="Arial" w:hAnsi="Arial" w:cs="Arial"/>
          <w:b/>
          <w:bCs/>
        </w:rPr>
        <w:t>“UC IRAG - Carga Agrupada - Salta - SAN VICENTE DE PAUL”</w:t>
      </w:r>
      <w:r w:rsidRPr="003A4F29">
        <w:rPr>
          <w:rFonts w:ascii="Arial" w:eastAsia="Arial" w:hAnsi="Arial" w:cs="Arial"/>
        </w:rPr>
        <w:t>, según el establecimiento correspondiente. Esta información se encuentra disponible en el drive del Programa de Vigilancia Epidemiológica y es compartida con las unidades centinelas participantes.</w:t>
      </w:r>
    </w:p>
    <w:p w14:paraId="0865AEC4" w14:textId="77777777" w:rsidR="005A55E7" w:rsidRPr="003A4F29" w:rsidRDefault="00000000" w:rsidP="003A4F29">
      <w:pPr>
        <w:spacing w:before="240" w:after="240" w:line="360" w:lineRule="auto"/>
        <w:ind w:firstLine="720"/>
        <w:jc w:val="both"/>
        <w:rPr>
          <w:rFonts w:ascii="Arial" w:eastAsia="Arial" w:hAnsi="Arial" w:cs="Arial"/>
        </w:rPr>
      </w:pPr>
      <w:r w:rsidRPr="003A4F29">
        <w:rPr>
          <w:rFonts w:ascii="Arial" w:eastAsia="Arial" w:hAnsi="Arial" w:cs="Arial"/>
        </w:rPr>
        <w:t xml:space="preserve">La base está conformada por registros numéricos agregados por semana epidemiológica y año, desde el inicio de la estrategia de vigilancia. Contiene variables </w:t>
      </w:r>
      <w:r w:rsidRPr="003A4F29">
        <w:rPr>
          <w:rFonts w:ascii="Arial" w:eastAsia="Arial" w:hAnsi="Arial" w:cs="Arial"/>
        </w:rPr>
        <w:lastRenderedPageBreak/>
        <w:t>que describen la situación hospitalaria y la carga de enfermedad respiratoria aguda grave, tales como:</w:t>
      </w:r>
    </w:p>
    <w:p w14:paraId="3FEE3E1D" w14:textId="6A98AB97" w:rsidR="005A55E7" w:rsidRPr="003A4F29" w:rsidRDefault="00000000" w:rsidP="003A4F29">
      <w:pPr>
        <w:pStyle w:val="Prrafodelista"/>
        <w:numPr>
          <w:ilvl w:val="0"/>
          <w:numId w:val="9"/>
        </w:numPr>
        <w:spacing w:before="240" w:after="240" w:line="240" w:lineRule="auto"/>
        <w:jc w:val="both"/>
        <w:rPr>
          <w:rFonts w:ascii="Arial" w:eastAsia="Arial" w:hAnsi="Arial" w:cs="Arial"/>
        </w:rPr>
      </w:pPr>
      <w:r w:rsidRPr="003A4F29">
        <w:rPr>
          <w:rFonts w:ascii="Arial" w:eastAsia="Arial" w:hAnsi="Arial" w:cs="Arial"/>
        </w:rPr>
        <w:t>Pacientes internados por todas las causas.</w:t>
      </w:r>
    </w:p>
    <w:p w14:paraId="31D1BF1E" w14:textId="25D6EF44" w:rsidR="005A55E7" w:rsidRPr="003A4F29" w:rsidRDefault="00000000" w:rsidP="003A4F29">
      <w:pPr>
        <w:pStyle w:val="Prrafodelista"/>
        <w:numPr>
          <w:ilvl w:val="0"/>
          <w:numId w:val="9"/>
        </w:numPr>
        <w:spacing w:before="240" w:after="240" w:line="240" w:lineRule="auto"/>
        <w:jc w:val="both"/>
        <w:rPr>
          <w:rFonts w:ascii="Arial" w:eastAsia="Arial" w:hAnsi="Arial" w:cs="Arial"/>
        </w:rPr>
      </w:pPr>
      <w:r w:rsidRPr="003A4F29">
        <w:rPr>
          <w:rFonts w:ascii="Arial" w:eastAsia="Arial" w:hAnsi="Arial" w:cs="Arial"/>
        </w:rPr>
        <w:t>Casos de IRAG entre los internados.</w:t>
      </w:r>
    </w:p>
    <w:p w14:paraId="569DC0E8" w14:textId="681CED27" w:rsidR="005A55E7" w:rsidRPr="003A4F29" w:rsidRDefault="00000000" w:rsidP="003A4F29">
      <w:pPr>
        <w:pStyle w:val="Prrafodelista"/>
        <w:numPr>
          <w:ilvl w:val="0"/>
          <w:numId w:val="9"/>
        </w:numPr>
        <w:spacing w:before="240" w:after="240" w:line="240" w:lineRule="auto"/>
        <w:jc w:val="both"/>
        <w:rPr>
          <w:rFonts w:ascii="Arial" w:eastAsia="Arial" w:hAnsi="Arial" w:cs="Arial"/>
        </w:rPr>
      </w:pPr>
      <w:r w:rsidRPr="003A4F29">
        <w:rPr>
          <w:rFonts w:ascii="Arial" w:eastAsia="Arial" w:hAnsi="Arial" w:cs="Arial"/>
        </w:rPr>
        <w:t>Casos de IRAG extendida entre los internados.</w:t>
      </w:r>
    </w:p>
    <w:p w14:paraId="7CFE6A68" w14:textId="3155CE5E" w:rsidR="005A55E7" w:rsidRPr="003A4F29" w:rsidRDefault="00000000" w:rsidP="003A4F29">
      <w:pPr>
        <w:pStyle w:val="Prrafodelista"/>
        <w:numPr>
          <w:ilvl w:val="0"/>
          <w:numId w:val="9"/>
        </w:numPr>
        <w:spacing w:before="240" w:after="240" w:line="240" w:lineRule="auto"/>
        <w:jc w:val="both"/>
        <w:rPr>
          <w:rFonts w:ascii="Arial" w:eastAsia="Arial" w:hAnsi="Arial" w:cs="Arial"/>
        </w:rPr>
      </w:pPr>
      <w:r w:rsidRPr="003A4F29">
        <w:rPr>
          <w:rFonts w:ascii="Arial" w:eastAsia="Arial" w:hAnsi="Arial" w:cs="Arial"/>
        </w:rPr>
        <w:t>Casos de IRAG con muestra respiratoria.</w:t>
      </w:r>
    </w:p>
    <w:p w14:paraId="474507B9" w14:textId="565C42F3" w:rsidR="005A55E7" w:rsidRPr="003A4F29" w:rsidRDefault="00000000" w:rsidP="003A4F29">
      <w:pPr>
        <w:pStyle w:val="Prrafodelista"/>
        <w:numPr>
          <w:ilvl w:val="0"/>
          <w:numId w:val="9"/>
        </w:numPr>
        <w:spacing w:before="240" w:after="240" w:line="240" w:lineRule="auto"/>
        <w:jc w:val="both"/>
        <w:rPr>
          <w:rFonts w:ascii="Arial" w:eastAsia="Arial" w:hAnsi="Arial" w:cs="Arial"/>
        </w:rPr>
      </w:pPr>
      <w:r w:rsidRPr="003A4F29">
        <w:rPr>
          <w:rFonts w:ascii="Arial" w:eastAsia="Arial" w:hAnsi="Arial" w:cs="Arial"/>
        </w:rPr>
        <w:t>Pacientes ingresados a UCI.</w:t>
      </w:r>
    </w:p>
    <w:p w14:paraId="3E462C6F" w14:textId="6BB98558" w:rsidR="005A55E7" w:rsidRPr="003A4F29" w:rsidRDefault="00000000" w:rsidP="003A4F29">
      <w:pPr>
        <w:pStyle w:val="Prrafodelista"/>
        <w:numPr>
          <w:ilvl w:val="0"/>
          <w:numId w:val="9"/>
        </w:numPr>
        <w:spacing w:before="240" w:after="240" w:line="240" w:lineRule="auto"/>
        <w:jc w:val="both"/>
        <w:rPr>
          <w:rFonts w:ascii="Arial" w:eastAsia="Arial" w:hAnsi="Arial" w:cs="Arial"/>
        </w:rPr>
      </w:pPr>
      <w:r w:rsidRPr="003A4F29">
        <w:rPr>
          <w:rFonts w:ascii="Arial" w:eastAsia="Arial" w:hAnsi="Arial" w:cs="Arial"/>
        </w:rPr>
        <w:t>Casos de IRAG entre los ingresados a UCI.</w:t>
      </w:r>
    </w:p>
    <w:p w14:paraId="25236B34" w14:textId="756E8CC5" w:rsidR="005A55E7" w:rsidRPr="003A4F29" w:rsidRDefault="00000000" w:rsidP="003A4F29">
      <w:pPr>
        <w:pStyle w:val="Prrafodelista"/>
        <w:numPr>
          <w:ilvl w:val="0"/>
          <w:numId w:val="9"/>
        </w:numPr>
        <w:spacing w:before="240" w:after="240" w:line="240" w:lineRule="auto"/>
        <w:jc w:val="both"/>
        <w:rPr>
          <w:rFonts w:ascii="Arial" w:eastAsia="Arial" w:hAnsi="Arial" w:cs="Arial"/>
        </w:rPr>
      </w:pPr>
      <w:r w:rsidRPr="003A4F29">
        <w:rPr>
          <w:rFonts w:ascii="Arial" w:eastAsia="Arial" w:hAnsi="Arial" w:cs="Arial"/>
        </w:rPr>
        <w:t>Casos de IRAG extendida entre los ingresados a UCI.</w:t>
      </w:r>
    </w:p>
    <w:p w14:paraId="5AD46B4D" w14:textId="664DD740" w:rsidR="005A55E7" w:rsidRPr="003A4F29" w:rsidRDefault="00000000" w:rsidP="003A4F29">
      <w:pPr>
        <w:pStyle w:val="Prrafodelista"/>
        <w:numPr>
          <w:ilvl w:val="0"/>
          <w:numId w:val="9"/>
        </w:numPr>
        <w:spacing w:before="240" w:after="240" w:line="240" w:lineRule="auto"/>
        <w:jc w:val="both"/>
        <w:rPr>
          <w:rFonts w:ascii="Arial" w:eastAsia="Arial" w:hAnsi="Arial" w:cs="Arial"/>
        </w:rPr>
      </w:pPr>
      <w:r w:rsidRPr="003A4F29">
        <w:rPr>
          <w:rFonts w:ascii="Arial" w:eastAsia="Arial" w:hAnsi="Arial" w:cs="Arial"/>
        </w:rPr>
        <w:t>Defunciones totales.</w:t>
      </w:r>
    </w:p>
    <w:p w14:paraId="222558C5" w14:textId="65A9C544" w:rsidR="005A55E7" w:rsidRPr="003A4F29" w:rsidRDefault="00000000" w:rsidP="003A4F29">
      <w:pPr>
        <w:pStyle w:val="Prrafodelista"/>
        <w:numPr>
          <w:ilvl w:val="0"/>
          <w:numId w:val="9"/>
        </w:numPr>
        <w:spacing w:before="240" w:after="240" w:line="240" w:lineRule="auto"/>
        <w:jc w:val="both"/>
        <w:rPr>
          <w:rFonts w:ascii="Arial" w:eastAsia="Arial" w:hAnsi="Arial" w:cs="Arial"/>
        </w:rPr>
      </w:pPr>
      <w:r w:rsidRPr="003A4F29">
        <w:rPr>
          <w:rFonts w:ascii="Arial" w:eastAsia="Arial" w:hAnsi="Arial" w:cs="Arial"/>
        </w:rPr>
        <w:t>Defunciones por IRAG.</w:t>
      </w:r>
    </w:p>
    <w:p w14:paraId="0DCB3158" w14:textId="51EB7968" w:rsidR="005A55E7" w:rsidRPr="003A4F29" w:rsidRDefault="00000000" w:rsidP="003A4F29">
      <w:pPr>
        <w:pStyle w:val="Prrafodelista"/>
        <w:numPr>
          <w:ilvl w:val="0"/>
          <w:numId w:val="9"/>
        </w:numPr>
        <w:spacing w:before="240" w:after="240" w:line="240" w:lineRule="auto"/>
        <w:jc w:val="both"/>
        <w:rPr>
          <w:rFonts w:ascii="Arial" w:eastAsia="Arial" w:hAnsi="Arial" w:cs="Arial"/>
        </w:rPr>
      </w:pPr>
      <w:r w:rsidRPr="003A4F29">
        <w:rPr>
          <w:rFonts w:ascii="Arial" w:eastAsia="Arial" w:hAnsi="Arial" w:cs="Arial"/>
        </w:rPr>
        <w:t>Defunciones por IRAG extendida.</w:t>
      </w:r>
    </w:p>
    <w:p w14:paraId="4730C427" w14:textId="77777777" w:rsidR="005A55E7" w:rsidRPr="003A4F29" w:rsidRDefault="00000000" w:rsidP="003A4F29">
      <w:pPr>
        <w:spacing w:before="240" w:after="240" w:line="360" w:lineRule="auto"/>
        <w:ind w:firstLine="720"/>
        <w:jc w:val="both"/>
        <w:rPr>
          <w:rFonts w:ascii="Arial" w:hAnsi="Arial" w:cs="Arial"/>
        </w:rPr>
      </w:pPr>
      <w:r w:rsidRPr="003A4F29">
        <w:rPr>
          <w:rFonts w:ascii="Arial" w:eastAsia="Arial" w:hAnsi="Arial" w:cs="Arial"/>
        </w:rPr>
        <w:t>Asimismo, todas las variables se encuentran discriminadas por grupos de edad</w:t>
      </w:r>
    </w:p>
    <w:p w14:paraId="34E1D513" w14:textId="77777777" w:rsidR="005A55E7" w:rsidRPr="003A4F29" w:rsidRDefault="00000000" w:rsidP="003A4F29">
      <w:pPr>
        <w:spacing w:line="360" w:lineRule="auto"/>
        <w:jc w:val="both"/>
        <w:rPr>
          <w:rFonts w:ascii="Arial" w:hAnsi="Arial" w:cs="Arial"/>
          <w:b/>
          <w:bCs/>
        </w:rPr>
      </w:pPr>
      <w:r w:rsidRPr="003A4F29">
        <w:rPr>
          <w:rFonts w:ascii="Arial" w:hAnsi="Arial" w:cs="Arial"/>
          <w:b/>
          <w:bCs/>
        </w:rPr>
        <w:t>2)</w:t>
      </w:r>
      <w:r w:rsidRPr="003A4F29">
        <w:rPr>
          <w:rFonts w:ascii="Arial" w:hAnsi="Arial" w:cs="Arial"/>
        </w:rPr>
        <w:t xml:space="preserve"> </w:t>
      </w:r>
      <w:r w:rsidRPr="003A4F29">
        <w:rPr>
          <w:rFonts w:ascii="Arial" w:hAnsi="Arial" w:cs="Arial"/>
          <w:b/>
          <w:bCs/>
        </w:rPr>
        <w:t>Unidad de análisis</w:t>
      </w:r>
    </w:p>
    <w:p w14:paraId="56B809A0" w14:textId="77777777" w:rsidR="005A55E7" w:rsidRPr="003A4F29" w:rsidRDefault="00000000" w:rsidP="003A4F29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>Casos</w:t>
      </w:r>
    </w:p>
    <w:p w14:paraId="6D562327" w14:textId="77777777" w:rsidR="005A55E7" w:rsidRPr="003A4F29" w:rsidRDefault="00000000" w:rsidP="003A4F29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>Determinaciones</w:t>
      </w:r>
    </w:p>
    <w:p w14:paraId="1C8F7BD1" w14:textId="77777777" w:rsidR="005A55E7" w:rsidRPr="003A4F29" w:rsidRDefault="00000000" w:rsidP="003A4F29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>Semanas epidemiológicas</w:t>
      </w:r>
    </w:p>
    <w:p w14:paraId="478DC316" w14:textId="77777777" w:rsidR="005A55E7" w:rsidRPr="003A4F29" w:rsidRDefault="00000000" w:rsidP="003A4F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  <w:b/>
          <w:bCs/>
          <w:color w:val="000000"/>
        </w:rPr>
      </w:pPr>
      <w:r w:rsidRPr="003A4F29">
        <w:rPr>
          <w:rFonts w:ascii="Arial" w:hAnsi="Arial" w:cs="Arial"/>
          <w:b/>
          <w:bCs/>
        </w:rPr>
        <w:t xml:space="preserve">3) </w:t>
      </w:r>
      <w:r w:rsidRPr="003A4F29">
        <w:rPr>
          <w:rFonts w:ascii="Arial" w:hAnsi="Arial" w:cs="Arial"/>
          <w:b/>
          <w:bCs/>
          <w:color w:val="000000"/>
        </w:rPr>
        <w:t>Variables seleccionadas para el análisis</w:t>
      </w:r>
    </w:p>
    <w:p w14:paraId="63E5D7D7" w14:textId="2E12C3DC" w:rsidR="003A4F29" w:rsidRPr="003A4F29" w:rsidRDefault="00000000" w:rsidP="003A4F29">
      <w:pPr>
        <w:spacing w:line="360" w:lineRule="auto"/>
        <w:ind w:firstLine="708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>Las mismas se detallan tal cual como se nombran en la base de datos nominal y luego se indican las variables de la base de datos agrupada.</w:t>
      </w:r>
    </w:p>
    <w:p w14:paraId="5F54D619" w14:textId="77777777" w:rsidR="005A55E7" w:rsidRPr="003A4F29" w:rsidRDefault="00000000" w:rsidP="003A4F29">
      <w:pPr>
        <w:spacing w:line="360" w:lineRule="auto"/>
        <w:jc w:val="both"/>
        <w:rPr>
          <w:rFonts w:ascii="Arial" w:hAnsi="Arial" w:cs="Arial"/>
          <w:b/>
          <w:bCs/>
        </w:rPr>
      </w:pPr>
      <w:r w:rsidRPr="003A4F29">
        <w:rPr>
          <w:rFonts w:ascii="Arial" w:hAnsi="Arial" w:cs="Arial"/>
          <w:b/>
          <w:bCs/>
        </w:rPr>
        <w:t>Base de datos nominal:</w:t>
      </w:r>
    </w:p>
    <w:tbl>
      <w:tblPr>
        <w:tblStyle w:val="a"/>
        <w:tblW w:w="9700" w:type="dxa"/>
        <w:tblInd w:w="-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4"/>
        <w:gridCol w:w="7006"/>
      </w:tblGrid>
      <w:tr w:rsidR="005A55E7" w:rsidRPr="003A4F29" w14:paraId="599B61C7" w14:textId="77777777" w:rsidTr="003A4F29">
        <w:trPr>
          <w:trHeight w:val="435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A65473" w14:textId="424A562C" w:rsidR="005A55E7" w:rsidRPr="003A4F29" w:rsidRDefault="003A4F29" w:rsidP="003A4F29">
            <w:pPr>
              <w:spacing w:before="240"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3A4F29">
              <w:rPr>
                <w:rFonts w:ascii="Arial" w:eastAsia="Arial" w:hAnsi="Arial" w:cs="Arial"/>
                <w:b/>
                <w:bCs/>
              </w:rPr>
              <w:t>CATEGORÍA</w:t>
            </w:r>
          </w:p>
        </w:tc>
        <w:tc>
          <w:tcPr>
            <w:tcW w:w="70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206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291AD" w14:textId="6A6B3401" w:rsidR="005A55E7" w:rsidRPr="003A4F29" w:rsidRDefault="003A4F29" w:rsidP="003A4F29">
            <w:pPr>
              <w:spacing w:before="240"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3A4F29">
              <w:rPr>
                <w:rFonts w:ascii="Arial" w:eastAsia="Arial" w:hAnsi="Arial" w:cs="Arial"/>
                <w:b/>
                <w:bCs/>
              </w:rPr>
              <w:t>VARIABLES INCLUIDAS</w:t>
            </w:r>
          </w:p>
        </w:tc>
      </w:tr>
      <w:tr w:rsidR="005A55E7" w:rsidRPr="003A4F29" w14:paraId="0E691D94" w14:textId="77777777" w:rsidTr="003A4F29">
        <w:trPr>
          <w:trHeight w:val="776"/>
        </w:trPr>
        <w:tc>
          <w:tcPr>
            <w:tcW w:w="26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02F785" w14:textId="77777777" w:rsidR="005A55E7" w:rsidRPr="003A4F29" w:rsidRDefault="00000000" w:rsidP="003A4F29">
            <w:pPr>
              <w:spacing w:before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3A4F29">
              <w:rPr>
                <w:rFonts w:ascii="Arial" w:eastAsia="Arial" w:hAnsi="Arial" w:cs="Arial"/>
                <w:b/>
                <w:bCs/>
              </w:rPr>
              <w:t>Identificación y registros</w:t>
            </w:r>
          </w:p>
        </w:tc>
        <w:tc>
          <w:tcPr>
            <w:tcW w:w="70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DE7631" w14:textId="77777777" w:rsidR="005A55E7" w:rsidRPr="003A4F29" w:rsidRDefault="00000000" w:rsidP="003A4F29">
            <w:pPr>
              <w:spacing w:before="240" w:line="360" w:lineRule="auto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IDEVENTOCASO, CLASIFICACION_MANUAL, ESTABLECIMIENTO_INTERNACION</w:t>
            </w:r>
          </w:p>
        </w:tc>
      </w:tr>
      <w:tr w:rsidR="005A55E7" w:rsidRPr="003A4F29" w14:paraId="2C10EF98" w14:textId="77777777" w:rsidTr="003A4F29">
        <w:trPr>
          <w:trHeight w:val="690"/>
        </w:trPr>
        <w:tc>
          <w:tcPr>
            <w:tcW w:w="26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A08031" w14:textId="77777777" w:rsidR="005A55E7" w:rsidRPr="003A4F29" w:rsidRDefault="00000000" w:rsidP="003A4F29">
            <w:pPr>
              <w:spacing w:before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3A4F29">
              <w:rPr>
                <w:rFonts w:ascii="Arial" w:eastAsia="Arial" w:hAnsi="Arial" w:cs="Arial"/>
                <w:b/>
                <w:bCs/>
              </w:rPr>
              <w:t>Fechas y temporales</w:t>
            </w:r>
          </w:p>
        </w:tc>
        <w:tc>
          <w:tcPr>
            <w:tcW w:w="70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62D84E" w14:textId="77777777" w:rsidR="005A55E7" w:rsidRPr="003A4F29" w:rsidRDefault="00000000" w:rsidP="003A4F29">
            <w:pPr>
              <w:spacing w:before="240" w:line="360" w:lineRule="auto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SEPI_MIN_INTERNACION, ANIO_MIN_INTERNACION</w:t>
            </w:r>
          </w:p>
        </w:tc>
      </w:tr>
      <w:tr w:rsidR="005A55E7" w:rsidRPr="003A4F29" w14:paraId="315EBC32" w14:textId="77777777" w:rsidTr="003A4F29">
        <w:trPr>
          <w:trHeight w:val="720"/>
        </w:trPr>
        <w:tc>
          <w:tcPr>
            <w:tcW w:w="26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C46A18" w14:textId="77777777" w:rsidR="005A55E7" w:rsidRPr="003A4F29" w:rsidRDefault="00000000" w:rsidP="003A4F29">
            <w:pPr>
              <w:spacing w:before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3A4F29">
              <w:rPr>
                <w:rFonts w:ascii="Arial" w:eastAsia="Arial" w:hAnsi="Arial" w:cs="Arial"/>
                <w:b/>
                <w:bCs/>
              </w:rPr>
              <w:t>Datos demográficos y clínicos generales</w:t>
            </w:r>
          </w:p>
        </w:tc>
        <w:tc>
          <w:tcPr>
            <w:tcW w:w="70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26E653" w14:textId="77777777" w:rsidR="005A55E7" w:rsidRPr="003A4F29" w:rsidRDefault="00000000" w:rsidP="003A4F29">
            <w:pPr>
              <w:spacing w:before="240" w:line="360" w:lineRule="auto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EDAD_UC_IRAG, FALLECIDO</w:t>
            </w:r>
          </w:p>
        </w:tc>
      </w:tr>
      <w:tr w:rsidR="005A55E7" w:rsidRPr="003A4F29" w14:paraId="0C87A857" w14:textId="77777777" w:rsidTr="003A4F29">
        <w:trPr>
          <w:trHeight w:val="570"/>
        </w:trPr>
        <w:tc>
          <w:tcPr>
            <w:tcW w:w="26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668CEE" w14:textId="77777777" w:rsidR="005A55E7" w:rsidRPr="003A4F29" w:rsidRDefault="00000000" w:rsidP="003A4F29">
            <w:pPr>
              <w:spacing w:before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3A4F29">
              <w:rPr>
                <w:rFonts w:ascii="Arial" w:eastAsia="Arial" w:hAnsi="Arial" w:cs="Arial"/>
                <w:b/>
                <w:bCs/>
              </w:rPr>
              <w:t>Laboratorio / resultados etiológicos</w:t>
            </w:r>
          </w:p>
        </w:tc>
        <w:tc>
          <w:tcPr>
            <w:tcW w:w="70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3933DD" w14:textId="77777777" w:rsidR="005A55E7" w:rsidRPr="003A4F29" w:rsidRDefault="00000000" w:rsidP="003A4F29">
            <w:pPr>
              <w:spacing w:before="240" w:line="360" w:lineRule="auto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INFLUENZA_FINAL, COVID_19_FINAL, VSR_FINAL</w:t>
            </w:r>
          </w:p>
        </w:tc>
      </w:tr>
      <w:tr w:rsidR="005A55E7" w:rsidRPr="003A4F29" w14:paraId="3BBE70A3" w14:textId="77777777" w:rsidTr="003A4F29">
        <w:trPr>
          <w:trHeight w:val="2115"/>
        </w:trPr>
        <w:tc>
          <w:tcPr>
            <w:tcW w:w="26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51B93E" w14:textId="77777777" w:rsidR="005A55E7" w:rsidRPr="003A4F29" w:rsidRDefault="00000000" w:rsidP="003A4F29">
            <w:pPr>
              <w:spacing w:before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3A4F29">
              <w:rPr>
                <w:rFonts w:ascii="Arial" w:eastAsia="Arial" w:hAnsi="Arial" w:cs="Arial"/>
                <w:b/>
                <w:bCs/>
              </w:rPr>
              <w:lastRenderedPageBreak/>
              <w:t>Signos y síntomas</w:t>
            </w:r>
          </w:p>
        </w:tc>
        <w:tc>
          <w:tcPr>
            <w:tcW w:w="70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C5CBD" w14:textId="77777777" w:rsidR="005A55E7" w:rsidRPr="003A4F29" w:rsidRDefault="00000000" w:rsidP="003A4F29">
            <w:pPr>
              <w:spacing w:before="240" w:line="360" w:lineRule="auto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DOLOR_TORACICO, DOLOR_MUSCULAR, DOLOR_ABDOMINAL, VOMITO, DIARRA, RECHAZO_ALIMENTO, TIRAJE, TOS, FIEBRE_MAY_38, FIEBRE_MENOR_38, SIN_FIEBRE, DISNEA, DOLOR_GARGANTA, RINITIS, INYECCION_CONJUNTIVAL, DIFICULTAD_PARA_RESPIRAR, SIBILANCIAS, APNEA, HIPOXEMIA, DISGEUSIA, AGEUSIA, ANOSMIA, DOLOR_DE_CABEZA, MALESTAR_GENERAL, CONFUSION, IRRITABILIDAD, CONVULSIONES, TAQUIPNEA</w:t>
            </w:r>
          </w:p>
        </w:tc>
      </w:tr>
      <w:tr w:rsidR="005A55E7" w:rsidRPr="003A4F29" w14:paraId="3EF38A3B" w14:textId="77777777" w:rsidTr="003A4F29">
        <w:trPr>
          <w:trHeight w:val="3150"/>
        </w:trPr>
        <w:tc>
          <w:tcPr>
            <w:tcW w:w="26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F3FCFA" w14:textId="77777777" w:rsidR="005A55E7" w:rsidRPr="003A4F29" w:rsidRDefault="00000000" w:rsidP="003A4F29">
            <w:pPr>
              <w:spacing w:before="24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3A4F29">
              <w:rPr>
                <w:rFonts w:ascii="Arial" w:eastAsia="Arial" w:hAnsi="Arial" w:cs="Arial"/>
                <w:b/>
                <w:bCs/>
              </w:rPr>
              <w:t>Comorbilidades y factores de riesgo</w:t>
            </w:r>
          </w:p>
        </w:tc>
        <w:tc>
          <w:tcPr>
            <w:tcW w:w="70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3CBB8B" w14:textId="77777777" w:rsidR="005A55E7" w:rsidRPr="003A4F29" w:rsidRDefault="00000000" w:rsidP="003A4F29">
            <w:pPr>
              <w:spacing w:before="240" w:line="360" w:lineRule="auto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FUMADOR, BAJO_PESO_NACIMIENTO, ASMA, DIABETES, TUBERCULOSIS, ENF_RESPIRATORIA, CARDIOPATIA_CONGENITA, VIH, ASPLENIA, DESNUTRICION, CANCER, TRASPLANTADO, BRONQUIOLITIS_PREVIA, EMBARAZO_PUERPERIO, EMBARAZO_COMORBILIDAD, ENF_NEUROLOGICA_CRONICA, ENF_HEPATICA, HIPERTENSION, ENF_CEREBROVASCULAR, ENF_NEUROMUSCULAR, DISCAPACIDAD_INTELECTUAL, ENF_CARDIACA, ENF_REUMATOLOGICA, DBP, ASPIRINA, ENF_RENAL, OBESIDAD, PREMATURIDAD_MEN33SG, PREMATURIDAD_33A36SG, INMUNOCOMPROMETIDO_OTRAS_CAUSAS, S_DOWN, SIN_COMORBILIDADES</w:t>
            </w:r>
          </w:p>
        </w:tc>
      </w:tr>
    </w:tbl>
    <w:p w14:paraId="200ABEE5" w14:textId="77777777" w:rsidR="005A55E7" w:rsidRPr="003A4F29" w:rsidRDefault="005A55E7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p w14:paraId="25238ACA" w14:textId="77777777" w:rsidR="003A4F29" w:rsidRDefault="003A4F29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p w14:paraId="3C0371CE" w14:textId="77777777" w:rsidR="003A4F29" w:rsidRDefault="003A4F29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p w14:paraId="6F1793EA" w14:textId="77777777" w:rsidR="003A4F29" w:rsidRDefault="003A4F29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p w14:paraId="6A099928" w14:textId="77777777" w:rsidR="003A4F29" w:rsidRDefault="003A4F29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p w14:paraId="40E5691B" w14:textId="77777777" w:rsidR="003A4F29" w:rsidRDefault="003A4F29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p w14:paraId="1E5DF7C9" w14:textId="77777777" w:rsidR="003A4F29" w:rsidRDefault="003A4F29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p w14:paraId="58436D0B" w14:textId="77777777" w:rsidR="003A4F29" w:rsidRDefault="003A4F29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p w14:paraId="0146B24B" w14:textId="77777777" w:rsidR="003A4F29" w:rsidRDefault="003A4F29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p w14:paraId="7F698842" w14:textId="77777777" w:rsidR="003A4F29" w:rsidRDefault="003A4F29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p w14:paraId="420373A2" w14:textId="77777777" w:rsidR="003A4F29" w:rsidRDefault="003A4F29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p w14:paraId="2517C478" w14:textId="77777777" w:rsidR="003A4F29" w:rsidRDefault="003A4F29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p w14:paraId="6F34E58A" w14:textId="77777777" w:rsidR="003A4F29" w:rsidRDefault="003A4F29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p w14:paraId="2B5BBF1A" w14:textId="77777777" w:rsidR="003A4F29" w:rsidRDefault="003A4F29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p w14:paraId="574A1947" w14:textId="5B56C8A1" w:rsidR="005A55E7" w:rsidRPr="003A4F29" w:rsidRDefault="00000000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 w:rsidRPr="003A4F29">
        <w:rPr>
          <w:rFonts w:ascii="Arial" w:eastAsia="Arial" w:hAnsi="Arial" w:cs="Arial"/>
          <w:b/>
          <w:bCs/>
        </w:rPr>
        <w:lastRenderedPageBreak/>
        <w:t>Base de datos agrupada</w:t>
      </w:r>
    </w:p>
    <w:p w14:paraId="50B89A93" w14:textId="77777777" w:rsidR="005A55E7" w:rsidRPr="003A4F29" w:rsidRDefault="005A55E7" w:rsidP="003A4F29">
      <w:pP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tbl>
      <w:tblPr>
        <w:tblStyle w:val="a0"/>
        <w:tblW w:w="97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771"/>
      </w:tblGrid>
      <w:tr w:rsidR="005A55E7" w:rsidRPr="003A4F29" w14:paraId="3507207B" w14:textId="77777777" w:rsidTr="003A4F29">
        <w:trPr>
          <w:trHeight w:val="285"/>
        </w:trPr>
        <w:tc>
          <w:tcPr>
            <w:tcW w:w="9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0ED4D0" w14:textId="70EAE9DF" w:rsidR="005A55E7" w:rsidRPr="003A4F29" w:rsidRDefault="003A4F29" w:rsidP="003A4F29">
            <w:pPr>
              <w:spacing w:before="240" w:after="0"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3A4F29">
              <w:rPr>
                <w:rFonts w:ascii="Arial" w:eastAsia="Arial" w:hAnsi="Arial" w:cs="Arial"/>
                <w:b/>
                <w:bCs/>
              </w:rPr>
              <w:t>VARIABLES INCLUIDAS</w:t>
            </w:r>
          </w:p>
        </w:tc>
      </w:tr>
      <w:tr w:rsidR="005A55E7" w:rsidRPr="003A4F29" w14:paraId="5DDC6011" w14:textId="77777777" w:rsidTr="003A4F29">
        <w:trPr>
          <w:trHeight w:val="285"/>
        </w:trPr>
        <w:tc>
          <w:tcPr>
            <w:tcW w:w="97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75DE41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3A4F29">
              <w:rPr>
                <w:rFonts w:ascii="Arial" w:eastAsia="Arial" w:hAnsi="Arial" w:cs="Arial"/>
                <w:b/>
                <w:bCs/>
              </w:rPr>
              <w:t>ANIO</w:t>
            </w:r>
          </w:p>
        </w:tc>
      </w:tr>
      <w:tr w:rsidR="005A55E7" w:rsidRPr="003A4F29" w14:paraId="41C16A4F" w14:textId="77777777" w:rsidTr="003A4F29">
        <w:trPr>
          <w:trHeight w:val="285"/>
        </w:trPr>
        <w:tc>
          <w:tcPr>
            <w:tcW w:w="97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E6123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3A4F29">
              <w:rPr>
                <w:rFonts w:ascii="Arial" w:eastAsia="Arial" w:hAnsi="Arial" w:cs="Arial"/>
                <w:b/>
                <w:bCs/>
              </w:rPr>
              <w:t>SEMANA</w:t>
            </w:r>
          </w:p>
        </w:tc>
      </w:tr>
      <w:tr w:rsidR="005A55E7" w:rsidRPr="003A4F29" w14:paraId="1FED2315" w14:textId="77777777" w:rsidTr="003A4F29">
        <w:trPr>
          <w:trHeight w:val="285"/>
        </w:trPr>
        <w:tc>
          <w:tcPr>
            <w:tcW w:w="97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183670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3A4F29">
              <w:rPr>
                <w:rFonts w:ascii="Arial" w:eastAsia="Arial" w:hAnsi="Arial" w:cs="Arial"/>
                <w:b/>
                <w:bCs/>
              </w:rPr>
              <w:t>ORIGEN</w:t>
            </w:r>
          </w:p>
        </w:tc>
      </w:tr>
      <w:tr w:rsidR="005A55E7" w:rsidRPr="003A4F29" w14:paraId="44A6F778" w14:textId="77777777" w:rsidTr="003A4F29">
        <w:trPr>
          <w:trHeight w:val="4175"/>
        </w:trPr>
        <w:tc>
          <w:tcPr>
            <w:tcW w:w="97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679F8A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3A4F29">
              <w:rPr>
                <w:rFonts w:ascii="Arial" w:eastAsia="Arial" w:hAnsi="Arial" w:cs="Arial"/>
                <w:b/>
                <w:bCs/>
              </w:rPr>
              <w:t>NOMBREEVENTOAGRP:</w:t>
            </w:r>
          </w:p>
          <w:p w14:paraId="0D6052D8" w14:textId="6D97AF98" w:rsidR="005A55E7" w:rsidRPr="003A4F29" w:rsidRDefault="00000000" w:rsidP="003A4F29">
            <w:pPr>
              <w:pStyle w:val="Prrafodelista"/>
              <w:numPr>
                <w:ilvl w:val="0"/>
                <w:numId w:val="11"/>
              </w:num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Pacientes internados por todas las causas</w:t>
            </w:r>
          </w:p>
          <w:p w14:paraId="4356D68D" w14:textId="14AA0B7F" w:rsidR="005A55E7" w:rsidRPr="003A4F29" w:rsidRDefault="00000000" w:rsidP="003A4F29">
            <w:pPr>
              <w:pStyle w:val="Prrafodelista"/>
              <w:numPr>
                <w:ilvl w:val="0"/>
                <w:numId w:val="11"/>
              </w:num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Casos de IRAG entre los internados</w:t>
            </w:r>
          </w:p>
          <w:p w14:paraId="7571ADE5" w14:textId="6C80DE6C" w:rsidR="005A55E7" w:rsidRPr="003A4F29" w:rsidRDefault="00000000" w:rsidP="003A4F29">
            <w:pPr>
              <w:pStyle w:val="Prrafodelista"/>
              <w:numPr>
                <w:ilvl w:val="0"/>
                <w:numId w:val="11"/>
              </w:num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Casos de IRAG extendida entre los internados</w:t>
            </w:r>
          </w:p>
          <w:p w14:paraId="25291FC2" w14:textId="62FD1031" w:rsidR="005A55E7" w:rsidRPr="003A4F29" w:rsidRDefault="00000000" w:rsidP="003A4F29">
            <w:pPr>
              <w:pStyle w:val="Prrafodelista"/>
              <w:numPr>
                <w:ilvl w:val="0"/>
                <w:numId w:val="11"/>
              </w:num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Pacientes ingresados a UCI</w:t>
            </w:r>
          </w:p>
          <w:p w14:paraId="35B408CE" w14:textId="67C421FF" w:rsidR="005A55E7" w:rsidRPr="003A4F29" w:rsidRDefault="00000000" w:rsidP="003A4F29">
            <w:pPr>
              <w:pStyle w:val="Prrafodelista"/>
              <w:numPr>
                <w:ilvl w:val="0"/>
                <w:numId w:val="11"/>
              </w:num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Casos de IRAG entre los ingresados a UCI</w:t>
            </w:r>
          </w:p>
          <w:p w14:paraId="56C28A92" w14:textId="2211103F" w:rsidR="005A55E7" w:rsidRPr="003A4F29" w:rsidRDefault="00000000" w:rsidP="003A4F29">
            <w:pPr>
              <w:pStyle w:val="Prrafodelista"/>
              <w:numPr>
                <w:ilvl w:val="0"/>
                <w:numId w:val="11"/>
              </w:num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Casos de IRAG extendida entre los ingresados a UCI</w:t>
            </w:r>
          </w:p>
          <w:p w14:paraId="004AE4AD" w14:textId="2B160AE2" w:rsidR="005A55E7" w:rsidRPr="003A4F29" w:rsidRDefault="00000000" w:rsidP="003A4F29">
            <w:pPr>
              <w:pStyle w:val="Prrafodelista"/>
              <w:numPr>
                <w:ilvl w:val="0"/>
                <w:numId w:val="11"/>
              </w:num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Defunciones totales</w:t>
            </w:r>
          </w:p>
          <w:p w14:paraId="543367F6" w14:textId="25F64BD0" w:rsidR="005A55E7" w:rsidRPr="003A4F29" w:rsidRDefault="00000000" w:rsidP="003A4F29">
            <w:pPr>
              <w:pStyle w:val="Prrafodelista"/>
              <w:numPr>
                <w:ilvl w:val="0"/>
                <w:numId w:val="11"/>
              </w:num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Defunciones por IRAG</w:t>
            </w:r>
          </w:p>
          <w:p w14:paraId="53281B2A" w14:textId="754B7B65" w:rsidR="005A55E7" w:rsidRPr="003A4F29" w:rsidRDefault="00000000" w:rsidP="003A4F29">
            <w:pPr>
              <w:pStyle w:val="Prrafodelista"/>
              <w:numPr>
                <w:ilvl w:val="0"/>
                <w:numId w:val="11"/>
              </w:num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Defunciones por IRAG extendida</w:t>
            </w:r>
          </w:p>
        </w:tc>
      </w:tr>
      <w:tr w:rsidR="005A55E7" w:rsidRPr="003A4F29" w14:paraId="7D284694" w14:textId="77777777" w:rsidTr="003A4F29">
        <w:trPr>
          <w:trHeight w:val="1095"/>
        </w:trPr>
        <w:tc>
          <w:tcPr>
            <w:tcW w:w="97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D6E357" w14:textId="77777777" w:rsid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3A4F29">
              <w:rPr>
                <w:rFonts w:ascii="Arial" w:eastAsia="Arial" w:hAnsi="Arial" w:cs="Arial"/>
                <w:b/>
                <w:bCs/>
              </w:rPr>
              <w:t>Rango_etario</w:t>
            </w:r>
            <w:proofErr w:type="spellEnd"/>
            <w:r w:rsidRPr="003A4F29">
              <w:rPr>
                <w:rFonts w:ascii="Arial" w:eastAsia="Arial" w:hAnsi="Arial" w:cs="Arial"/>
                <w:b/>
                <w:bCs/>
              </w:rPr>
              <w:t xml:space="preserve">: </w:t>
            </w:r>
          </w:p>
          <w:p w14:paraId="54708EEF" w14:textId="6BC9C6A7" w:rsidR="005A55E7" w:rsidRPr="003A4F29" w:rsidRDefault="00000000" w:rsidP="003A4F29">
            <w:pPr>
              <w:pStyle w:val="Prrafodelista"/>
              <w:numPr>
                <w:ilvl w:val="0"/>
                <w:numId w:val="13"/>
              </w:num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0 a 2 m; 3 a 5 m; 6 a 11 m; 12 a 23 m; 2 a 4 años; 5 a 9 años; 10 a 14 años; 15 a 19 años; 20 a 24 años; 25 a 29 años; 30 a 34 años; 35 a 39 años; 40 a 44 años; 45 a 49 años; 50 a 54 años; 55 a 59 años; 60 a 64 años; 65 a 69 años; 70 a 74 años; &gt;= 75 años; Sin especificar</w:t>
            </w:r>
          </w:p>
        </w:tc>
      </w:tr>
    </w:tbl>
    <w:p w14:paraId="0D28A137" w14:textId="77777777" w:rsidR="005A55E7" w:rsidRPr="003A4F29" w:rsidRDefault="005A55E7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p w14:paraId="6965D4FC" w14:textId="77777777" w:rsidR="003A4F29" w:rsidRDefault="003A4F29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b/>
          <w:bCs/>
        </w:rPr>
      </w:pPr>
    </w:p>
    <w:p w14:paraId="5879F428" w14:textId="77777777" w:rsidR="003A4F29" w:rsidRDefault="003A4F29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b/>
          <w:bCs/>
        </w:rPr>
      </w:pPr>
    </w:p>
    <w:p w14:paraId="4A0A98A2" w14:textId="77777777" w:rsidR="003A4F29" w:rsidRDefault="003A4F29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b/>
          <w:bCs/>
        </w:rPr>
      </w:pPr>
    </w:p>
    <w:p w14:paraId="5532A3E3" w14:textId="77777777" w:rsidR="003A4F29" w:rsidRDefault="003A4F29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b/>
          <w:bCs/>
        </w:rPr>
      </w:pPr>
    </w:p>
    <w:p w14:paraId="5739FFD4" w14:textId="77777777" w:rsidR="003A4F29" w:rsidRDefault="003A4F29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b/>
          <w:bCs/>
        </w:rPr>
      </w:pPr>
    </w:p>
    <w:p w14:paraId="2D0FCD47" w14:textId="77777777" w:rsidR="003A4F29" w:rsidRDefault="003A4F29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b/>
          <w:bCs/>
        </w:rPr>
      </w:pPr>
    </w:p>
    <w:p w14:paraId="6C0E0CC4" w14:textId="77777777" w:rsidR="003A4F29" w:rsidRDefault="003A4F29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b/>
          <w:bCs/>
        </w:rPr>
      </w:pPr>
    </w:p>
    <w:p w14:paraId="6A6AB9F6" w14:textId="77777777" w:rsidR="003A4F29" w:rsidRDefault="003A4F29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b/>
          <w:bCs/>
        </w:rPr>
      </w:pPr>
    </w:p>
    <w:p w14:paraId="402996D6" w14:textId="77777777" w:rsidR="003A4F29" w:rsidRDefault="003A4F29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b/>
          <w:bCs/>
        </w:rPr>
      </w:pPr>
    </w:p>
    <w:p w14:paraId="6ABD81C9" w14:textId="1B6D0370" w:rsidR="005A55E7" w:rsidRPr="003A4F29" w:rsidRDefault="00000000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b/>
          <w:bCs/>
        </w:rPr>
      </w:pPr>
      <w:r w:rsidRPr="003A4F29">
        <w:rPr>
          <w:rFonts w:ascii="Arial" w:hAnsi="Arial" w:cs="Arial"/>
          <w:b/>
          <w:bCs/>
        </w:rPr>
        <w:lastRenderedPageBreak/>
        <w:t>4) Indicadores y método de cálculo</w:t>
      </w:r>
    </w:p>
    <w:p w14:paraId="0328EED0" w14:textId="77777777" w:rsidR="005A55E7" w:rsidRPr="003A4F29" w:rsidRDefault="005A55E7" w:rsidP="003A4F29">
      <w:pPr>
        <w:spacing w:after="0" w:line="360" w:lineRule="auto"/>
        <w:jc w:val="both"/>
        <w:rPr>
          <w:rFonts w:ascii="Arial" w:hAnsi="Arial" w:cs="Arial"/>
          <w:b/>
          <w:bCs/>
        </w:rPr>
      </w:pPr>
    </w:p>
    <w:tbl>
      <w:tblPr>
        <w:tblStyle w:val="a1"/>
        <w:tblW w:w="97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3169"/>
        <w:gridCol w:w="3055"/>
      </w:tblGrid>
      <w:tr w:rsidR="005A55E7" w:rsidRPr="003A4F29" w14:paraId="0EE1097C" w14:textId="77777777" w:rsidTr="003A4F29">
        <w:trPr>
          <w:trHeight w:val="330"/>
        </w:trPr>
        <w:tc>
          <w:tcPr>
            <w:tcW w:w="3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5E5F87" w14:textId="21EF5F7F" w:rsidR="005A55E7" w:rsidRPr="003A4F29" w:rsidRDefault="003A4F29" w:rsidP="003A4F29">
            <w:pPr>
              <w:spacing w:before="240" w:after="0"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3A4F29">
              <w:rPr>
                <w:rFonts w:ascii="Arial" w:eastAsia="Arial" w:hAnsi="Arial" w:cs="Arial"/>
                <w:b/>
                <w:bCs/>
              </w:rPr>
              <w:t>INDICADOR</w:t>
            </w:r>
          </w:p>
        </w:tc>
        <w:tc>
          <w:tcPr>
            <w:tcW w:w="3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83A034" w14:textId="6B849311" w:rsidR="005A55E7" w:rsidRPr="003A4F29" w:rsidRDefault="003A4F29" w:rsidP="003A4F29">
            <w:pPr>
              <w:spacing w:before="240" w:after="0"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3A4F29">
              <w:rPr>
                <w:rFonts w:ascii="Arial" w:eastAsia="Arial" w:hAnsi="Arial" w:cs="Arial"/>
                <w:b/>
                <w:bCs/>
              </w:rPr>
              <w:t>FÓRMULA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A5B36C" w14:textId="333F4EFE" w:rsidR="005A55E7" w:rsidRPr="003A4F29" w:rsidRDefault="003A4F29" w:rsidP="003A4F29">
            <w:pPr>
              <w:spacing w:before="240" w:after="0"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3A4F29">
              <w:rPr>
                <w:rFonts w:ascii="Arial" w:eastAsia="Arial" w:hAnsi="Arial" w:cs="Arial"/>
                <w:b/>
                <w:bCs/>
              </w:rPr>
              <w:t>UNIDAD</w:t>
            </w:r>
          </w:p>
        </w:tc>
      </w:tr>
      <w:tr w:rsidR="005A55E7" w:rsidRPr="003A4F29" w14:paraId="60200ABC" w14:textId="77777777" w:rsidTr="003A4F29">
        <w:trPr>
          <w:trHeight w:val="600"/>
        </w:trPr>
        <w:tc>
          <w:tcPr>
            <w:tcW w:w="3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3585F4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Casos de IRAG e IRAG extendida por semana epidemiológica</w:t>
            </w:r>
          </w:p>
        </w:tc>
        <w:tc>
          <w:tcPr>
            <w:tcW w:w="3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60CC6A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Conteo de casos notificados por SE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8ED220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Número de casos</w:t>
            </w:r>
          </w:p>
        </w:tc>
      </w:tr>
      <w:tr w:rsidR="005A55E7" w:rsidRPr="003A4F29" w14:paraId="361E3A5E" w14:textId="77777777" w:rsidTr="003A4F29">
        <w:trPr>
          <w:trHeight w:val="600"/>
        </w:trPr>
        <w:tc>
          <w:tcPr>
            <w:tcW w:w="3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48CAE7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Casos de IRAG e IRAG extendida por grupo de edad</w:t>
            </w:r>
          </w:p>
        </w:tc>
        <w:tc>
          <w:tcPr>
            <w:tcW w:w="3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9CDC62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Conteo de casos por grupo etario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BF549F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Número de casos</w:t>
            </w:r>
          </w:p>
        </w:tc>
      </w:tr>
      <w:tr w:rsidR="005A55E7" w:rsidRPr="003A4F29" w14:paraId="6CB23198" w14:textId="77777777" w:rsidTr="003A4F29">
        <w:trPr>
          <w:trHeight w:val="870"/>
        </w:trPr>
        <w:tc>
          <w:tcPr>
            <w:tcW w:w="3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B2037C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Tasa de letalidad por grupo de edad en IRAG e IRAG extendida</w:t>
            </w:r>
          </w:p>
        </w:tc>
        <w:tc>
          <w:tcPr>
            <w:tcW w:w="3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3C9600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(Número de defunciones por grupo de edad / Número de casos por grupo de edad) × 100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532B56" w14:textId="77777777" w:rsidR="005A55E7" w:rsidRPr="003A4F29" w:rsidRDefault="00000000" w:rsidP="003A4F29">
            <w:pPr>
              <w:spacing w:before="240" w:after="0" w:line="360" w:lineRule="auto"/>
              <w:jc w:val="center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%</w:t>
            </w:r>
          </w:p>
        </w:tc>
      </w:tr>
      <w:tr w:rsidR="005A55E7" w:rsidRPr="003A4F29" w14:paraId="66275683" w14:textId="77777777" w:rsidTr="003A4F29">
        <w:trPr>
          <w:trHeight w:val="1140"/>
        </w:trPr>
        <w:tc>
          <w:tcPr>
            <w:tcW w:w="3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258CA2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Determinaciones de laboratorio influenza, VSR y SARS-CoV-2 en casos de IRAG/IRAG EXTENDIDA por semana epidemiológica</w:t>
            </w:r>
          </w:p>
        </w:tc>
        <w:tc>
          <w:tcPr>
            <w:tcW w:w="3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90D26F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Conteo de determinaciones por virus y semana epidemiológica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E5ACE9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Número de determinaciones</w:t>
            </w:r>
          </w:p>
        </w:tc>
      </w:tr>
      <w:tr w:rsidR="005A55E7" w:rsidRPr="003A4F29" w14:paraId="5B892E6A" w14:textId="77777777" w:rsidTr="003A4F29">
        <w:trPr>
          <w:trHeight w:val="870"/>
        </w:trPr>
        <w:tc>
          <w:tcPr>
            <w:tcW w:w="3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2EC0B3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Determinaciones positivas de influenza, VSR y SARS-CoV-2 por grupo de edad</w:t>
            </w:r>
          </w:p>
        </w:tc>
        <w:tc>
          <w:tcPr>
            <w:tcW w:w="3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A35617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Conteo de determinaciones positivas por grupo de edad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2A79A3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Número de determinaciones</w:t>
            </w:r>
          </w:p>
        </w:tc>
      </w:tr>
      <w:tr w:rsidR="005A55E7" w:rsidRPr="003A4F29" w14:paraId="4A5344FE" w14:textId="77777777" w:rsidTr="003A4F29">
        <w:trPr>
          <w:trHeight w:val="2430"/>
        </w:trPr>
        <w:tc>
          <w:tcPr>
            <w:tcW w:w="3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C68E4C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 xml:space="preserve">Frecuencia y combinaciones de signos y síntomas en casos de IRAG/IRAG extendida </w:t>
            </w:r>
          </w:p>
        </w:tc>
        <w:tc>
          <w:tcPr>
            <w:tcW w:w="3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4DC1C4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Conteo del número de casos según cada combinación de signos y síntomas registrados</w:t>
            </w:r>
          </w:p>
          <w:p w14:paraId="260F52F9" w14:textId="77777777" w:rsidR="005A55E7" w:rsidRPr="003A4F29" w:rsidRDefault="005A55E7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EEDAF9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Número de casos</w:t>
            </w:r>
          </w:p>
        </w:tc>
      </w:tr>
      <w:tr w:rsidR="005A55E7" w:rsidRPr="003A4F29" w14:paraId="1AA558BB" w14:textId="77777777" w:rsidTr="003A4F29">
        <w:trPr>
          <w:trHeight w:val="2430"/>
        </w:trPr>
        <w:tc>
          <w:tcPr>
            <w:tcW w:w="3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8AA980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 xml:space="preserve">Frecuencia y combinaciones de comorbilidades en casos de IRAG/IRAG extendida </w:t>
            </w:r>
          </w:p>
        </w:tc>
        <w:tc>
          <w:tcPr>
            <w:tcW w:w="3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957C8D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Conteo del número de casos según cada combinación de comorbilidades registradas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D7FA2D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Número de casos</w:t>
            </w:r>
          </w:p>
        </w:tc>
      </w:tr>
      <w:tr w:rsidR="005A55E7" w:rsidRPr="003A4F29" w14:paraId="44B54AE9" w14:textId="77777777" w:rsidTr="003A4F29">
        <w:trPr>
          <w:trHeight w:val="2430"/>
        </w:trPr>
        <w:tc>
          <w:tcPr>
            <w:tcW w:w="3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49C33E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lastRenderedPageBreak/>
              <w:t>Frecuencia y combinaciones de comorbilidades en casos fallecidos de IRAG/IRAG extendida y con laboratorio positivo</w:t>
            </w:r>
          </w:p>
        </w:tc>
        <w:tc>
          <w:tcPr>
            <w:tcW w:w="3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D3FC0A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Conteo del número de casos fallecidos con laboratorio positivo según cada combinación de comorbilidades registradas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78CF4B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Número de casos</w:t>
            </w:r>
          </w:p>
        </w:tc>
      </w:tr>
      <w:tr w:rsidR="005A55E7" w:rsidRPr="003A4F29" w14:paraId="4FCDE5B8" w14:textId="77777777" w:rsidTr="003A4F29">
        <w:trPr>
          <w:trHeight w:val="870"/>
        </w:trPr>
        <w:tc>
          <w:tcPr>
            <w:tcW w:w="3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079E3D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Porcentaje de hospitalizaciones por IRAG e IRAG extendida</w:t>
            </w:r>
          </w:p>
        </w:tc>
        <w:tc>
          <w:tcPr>
            <w:tcW w:w="3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4E82F3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(Número de hospitalizaciones por IRAG / Total hospitalizaciones por todas las causas) × 100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025044" w14:textId="77777777" w:rsidR="005A55E7" w:rsidRPr="003A4F29" w:rsidRDefault="00000000" w:rsidP="003A4F29">
            <w:pPr>
              <w:spacing w:before="240" w:after="0" w:line="360" w:lineRule="auto"/>
              <w:jc w:val="center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%</w:t>
            </w:r>
          </w:p>
        </w:tc>
      </w:tr>
      <w:tr w:rsidR="005A55E7" w:rsidRPr="003A4F29" w14:paraId="1234CC1D" w14:textId="77777777" w:rsidTr="003A4F29">
        <w:trPr>
          <w:trHeight w:val="870"/>
        </w:trPr>
        <w:tc>
          <w:tcPr>
            <w:tcW w:w="3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F29358" w14:textId="39433792" w:rsidR="005A55E7" w:rsidRPr="003A4F29" w:rsidRDefault="001C5F85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Porcentaje de</w:t>
            </w:r>
            <w:r w:rsidR="00000000" w:rsidRPr="003A4F29">
              <w:rPr>
                <w:rFonts w:ascii="Arial" w:eastAsia="Arial" w:hAnsi="Arial" w:cs="Arial"/>
              </w:rPr>
              <w:t xml:space="preserve"> ingresos a unidad de cuidados intensivos por IRAG e IRAG extendida</w:t>
            </w:r>
          </w:p>
        </w:tc>
        <w:tc>
          <w:tcPr>
            <w:tcW w:w="3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B6617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(Número de ingresos a UCI por IRAG / Total ingresos a UCI por todas las causas) × 100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58795E" w14:textId="77777777" w:rsidR="005A55E7" w:rsidRPr="003A4F29" w:rsidRDefault="00000000" w:rsidP="003A4F29">
            <w:pPr>
              <w:spacing w:before="240" w:after="0" w:line="360" w:lineRule="auto"/>
              <w:jc w:val="center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%</w:t>
            </w:r>
          </w:p>
        </w:tc>
      </w:tr>
      <w:tr w:rsidR="005A55E7" w:rsidRPr="003A4F29" w14:paraId="032DBDBF" w14:textId="77777777" w:rsidTr="003A4F29">
        <w:trPr>
          <w:trHeight w:val="600"/>
        </w:trPr>
        <w:tc>
          <w:tcPr>
            <w:tcW w:w="3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873A86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Porcentaje de defunciones por IRAG e IRAG extendida</w:t>
            </w:r>
          </w:p>
        </w:tc>
        <w:tc>
          <w:tcPr>
            <w:tcW w:w="3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DCCCD1" w14:textId="77777777" w:rsidR="005A55E7" w:rsidRPr="003A4F29" w:rsidRDefault="00000000" w:rsidP="003A4F29">
            <w:pPr>
              <w:spacing w:before="240" w:after="0" w:line="360" w:lineRule="auto"/>
              <w:jc w:val="both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(Número de defunciones por IRAG / Total defunciones por todas las causas) × 100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AA5939" w14:textId="77777777" w:rsidR="005A55E7" w:rsidRPr="003A4F29" w:rsidRDefault="00000000" w:rsidP="003A4F29">
            <w:pPr>
              <w:spacing w:before="240" w:after="0" w:line="360" w:lineRule="auto"/>
              <w:jc w:val="center"/>
              <w:rPr>
                <w:rFonts w:ascii="Arial" w:eastAsia="Arial" w:hAnsi="Arial" w:cs="Arial"/>
              </w:rPr>
            </w:pPr>
            <w:r w:rsidRPr="003A4F29">
              <w:rPr>
                <w:rFonts w:ascii="Arial" w:eastAsia="Arial" w:hAnsi="Arial" w:cs="Arial"/>
              </w:rPr>
              <w:t>%</w:t>
            </w:r>
          </w:p>
        </w:tc>
      </w:tr>
    </w:tbl>
    <w:p w14:paraId="6192C1AC" w14:textId="77777777" w:rsidR="005A55E7" w:rsidRPr="003A4F29" w:rsidRDefault="005A55E7" w:rsidP="003A4F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b/>
          <w:bCs/>
        </w:rPr>
      </w:pPr>
    </w:p>
    <w:p w14:paraId="561CDDAF" w14:textId="1F9BD9CB" w:rsidR="005A55E7" w:rsidRPr="003A4F29" w:rsidRDefault="003A4F29" w:rsidP="003A4F29">
      <w:pPr>
        <w:spacing w:before="280" w:after="280" w:line="360" w:lineRule="auto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5) </w:t>
      </w:r>
      <w:r w:rsidRPr="003A4F29">
        <w:rPr>
          <w:rFonts w:ascii="Arial" w:eastAsia="Times New Roman" w:hAnsi="Arial" w:cs="Arial"/>
          <w:b/>
          <w:bCs/>
        </w:rPr>
        <w:t>Mapa del circuito de datos</w:t>
      </w:r>
    </w:p>
    <w:p w14:paraId="2C7156F2" w14:textId="77777777" w:rsidR="005A55E7" w:rsidRPr="003A4F29" w:rsidRDefault="00000000" w:rsidP="003A4F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</w:rPr>
      </w:pPr>
      <w:r w:rsidRPr="003A4F29">
        <w:rPr>
          <w:rFonts w:ascii="Arial" w:hAnsi="Arial" w:cs="Arial"/>
        </w:rPr>
        <w:t>Ingreso del paciente → Tamizaje según criterios de inclusión IRAG → Llenado de la ficha epidemiológica → Toma de muestra → Notificación en SNVS 2.0 → Carga de resultados de laboratorio → Alimentación de la base de datos general → Procesamiento para obtener base anonimizada → Base final lista para análisis</w:t>
      </w:r>
    </w:p>
    <w:sectPr w:rsidR="005A55E7" w:rsidRPr="003A4F29">
      <w:footerReference w:type="default" r:id="rId1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D102E" w14:textId="77777777" w:rsidR="00C81E42" w:rsidRDefault="00C81E42" w:rsidP="003A4F29">
      <w:pPr>
        <w:spacing w:after="0" w:line="240" w:lineRule="auto"/>
      </w:pPr>
      <w:r>
        <w:separator/>
      </w:r>
    </w:p>
  </w:endnote>
  <w:endnote w:type="continuationSeparator" w:id="0">
    <w:p w14:paraId="78014682" w14:textId="77777777" w:rsidR="00C81E42" w:rsidRDefault="00C81E42" w:rsidP="003A4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76BA6CD-8D12-4388-8467-A49397714E6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C36DD3E-D298-4B11-A92E-DB7792263D6D}"/>
    <w:embedBold r:id="rId3" w:fontKey="{61785AEC-76A4-49FD-B382-32A4528F594C}"/>
    <w:embedItalic r:id="rId4" w:fontKey="{BC503363-0A0B-4921-A569-D39BF98A4893}"/>
  </w:font>
  <w:font w:name="Play">
    <w:charset w:val="00"/>
    <w:family w:val="auto"/>
    <w:pitch w:val="default"/>
    <w:embedRegular r:id="rId5" w:fontKey="{7A6C8904-B23F-4052-ADAD-513638C7436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26F18D43-37CB-48DC-B6BE-E916F9E30157}"/>
  </w:font>
  <w:font w:name="Open Sans">
    <w:charset w:val="00"/>
    <w:family w:val="swiss"/>
    <w:pitch w:val="variable"/>
    <w:sig w:usb0="E00002EF" w:usb1="4000205B" w:usb2="00000028" w:usb3="00000000" w:csb0="0000019F" w:csb1="00000000"/>
    <w:embedBold r:id="rId7" w:fontKey="{71A7DB40-D6AB-4EB6-A9D1-0563512FA1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2841534"/>
      <w:docPartObj>
        <w:docPartGallery w:val="Page Numbers (Bottom of Page)"/>
        <w:docPartUnique/>
      </w:docPartObj>
    </w:sdtPr>
    <w:sdtContent>
      <w:p w14:paraId="1CDC38AB" w14:textId="552FF3FC" w:rsidR="003A4F29" w:rsidRDefault="003A4F2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554C139" w14:textId="77777777" w:rsidR="003A4F29" w:rsidRDefault="003A4F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F86ED" w14:textId="77777777" w:rsidR="00C81E42" w:rsidRDefault="00C81E42" w:rsidP="003A4F29">
      <w:pPr>
        <w:spacing w:after="0" w:line="240" w:lineRule="auto"/>
      </w:pPr>
      <w:r>
        <w:separator/>
      </w:r>
    </w:p>
  </w:footnote>
  <w:footnote w:type="continuationSeparator" w:id="0">
    <w:p w14:paraId="6E9331D2" w14:textId="77777777" w:rsidR="00C81E42" w:rsidRDefault="00C81E42" w:rsidP="003A4F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3CFC"/>
    <w:multiLevelType w:val="multilevel"/>
    <w:tmpl w:val="9AF0650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943C4"/>
    <w:multiLevelType w:val="multilevel"/>
    <w:tmpl w:val="179C27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E096FFF"/>
    <w:multiLevelType w:val="multilevel"/>
    <w:tmpl w:val="C3F875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3C62321"/>
    <w:multiLevelType w:val="hybridMultilevel"/>
    <w:tmpl w:val="AB0673C2"/>
    <w:lvl w:ilvl="0" w:tplc="2C0A000D">
      <w:start w:val="1"/>
      <w:numFmt w:val="bullet"/>
      <w:lvlText w:val=""/>
      <w:lvlJc w:val="left"/>
      <w:pPr>
        <w:ind w:left="121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" w15:restartNumberingAfterBreak="0">
    <w:nsid w:val="2ED316E4"/>
    <w:multiLevelType w:val="multilevel"/>
    <w:tmpl w:val="C450D5A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DF93DFC"/>
    <w:multiLevelType w:val="multilevel"/>
    <w:tmpl w:val="5246AC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FAD0991"/>
    <w:multiLevelType w:val="hybridMultilevel"/>
    <w:tmpl w:val="4C96809E"/>
    <w:lvl w:ilvl="0" w:tplc="2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504029"/>
    <w:multiLevelType w:val="hybridMultilevel"/>
    <w:tmpl w:val="8B7A453C"/>
    <w:lvl w:ilvl="0" w:tplc="58902540">
      <w:numFmt w:val="bullet"/>
      <w:lvlText w:val="·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EB4E7F"/>
    <w:multiLevelType w:val="multilevel"/>
    <w:tmpl w:val="552C0D8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5E869A2"/>
    <w:multiLevelType w:val="hybridMultilevel"/>
    <w:tmpl w:val="77C67F44"/>
    <w:lvl w:ilvl="0" w:tplc="2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7605602"/>
    <w:multiLevelType w:val="multilevel"/>
    <w:tmpl w:val="8D206A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D817892"/>
    <w:multiLevelType w:val="multilevel"/>
    <w:tmpl w:val="7878E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8CC385B"/>
    <w:multiLevelType w:val="hybridMultilevel"/>
    <w:tmpl w:val="9038401E"/>
    <w:lvl w:ilvl="0" w:tplc="9BD825E0">
      <w:numFmt w:val="bullet"/>
      <w:lvlText w:val="·"/>
      <w:lvlJc w:val="left"/>
      <w:pPr>
        <w:ind w:left="1284" w:hanging="564"/>
      </w:pPr>
      <w:rPr>
        <w:rFonts w:ascii="Arial" w:eastAsia="Aptos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28655808">
    <w:abstractNumId w:val="4"/>
  </w:num>
  <w:num w:numId="2" w16cid:durableId="258486938">
    <w:abstractNumId w:val="11"/>
  </w:num>
  <w:num w:numId="3" w16cid:durableId="1081684154">
    <w:abstractNumId w:val="1"/>
  </w:num>
  <w:num w:numId="4" w16cid:durableId="1301226500">
    <w:abstractNumId w:val="2"/>
  </w:num>
  <w:num w:numId="5" w16cid:durableId="776632732">
    <w:abstractNumId w:val="10"/>
  </w:num>
  <w:num w:numId="6" w16cid:durableId="1798834929">
    <w:abstractNumId w:val="0"/>
  </w:num>
  <w:num w:numId="7" w16cid:durableId="1237015377">
    <w:abstractNumId w:val="5"/>
  </w:num>
  <w:num w:numId="8" w16cid:durableId="1378315106">
    <w:abstractNumId w:val="8"/>
  </w:num>
  <w:num w:numId="9" w16cid:durableId="1489518787">
    <w:abstractNumId w:val="6"/>
  </w:num>
  <w:num w:numId="10" w16cid:durableId="1700736965">
    <w:abstractNumId w:val="12"/>
  </w:num>
  <w:num w:numId="11" w16cid:durableId="177233030">
    <w:abstractNumId w:val="9"/>
  </w:num>
  <w:num w:numId="12" w16cid:durableId="2053770895">
    <w:abstractNumId w:val="7"/>
  </w:num>
  <w:num w:numId="13" w16cid:durableId="604919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5E7"/>
    <w:rsid w:val="001C5F85"/>
    <w:rsid w:val="003A4F29"/>
    <w:rsid w:val="005A55E7"/>
    <w:rsid w:val="006D07B6"/>
    <w:rsid w:val="00822AE2"/>
    <w:rsid w:val="00C419D1"/>
    <w:rsid w:val="00C8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1FD60"/>
  <w15:docId w15:val="{460CE895-E9D1-4FDE-8C2E-C2521136A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2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2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2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742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742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742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42A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742A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742A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2A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2A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2AB5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742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742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2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2A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2A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2A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2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2A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2A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755D"/>
    <w:rPr>
      <w:rFonts w:ascii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3A4F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4F29"/>
  </w:style>
  <w:style w:type="paragraph" w:styleId="Piedepgina">
    <w:name w:val="footer"/>
    <w:basedOn w:val="Normal"/>
    <w:link w:val="PiedepginaCar"/>
    <w:uiPriority w:val="99"/>
    <w:unhideWhenUsed/>
    <w:rsid w:val="003A4F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4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p0h7Q3w6DtGc66VUCFp4j+Wz0w==">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1982</Words>
  <Characters>10904</Characters>
  <Application>Microsoft Office Word</Application>
  <DocSecurity>0</DocSecurity>
  <Lines>90</Lines>
  <Paragraphs>25</Paragraphs>
  <ScaleCrop>false</ScaleCrop>
  <Company/>
  <LinksUpToDate>false</LinksUpToDate>
  <CharactersWithSpaces>12861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a15282</dc:creator>
  <cp:lastModifiedBy>a15282</cp:lastModifiedBy>
  <cp:revision>4</cp:revision>
  <dcterms:created xsi:type="dcterms:W3CDTF">2025-10-08T22:10:00Z</dcterms:created>
  <dcterms:modified xsi:type="dcterms:W3CDTF">2025-11-27T23:21:00Z</dcterms:modified>
</cp:coreProperties>
</file>