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Lógica matemática e conjuntos</w:t>
      </w:r>
    </w:p>
    <w:p>
      <w:r>
        <w:t>Os símbolos matemáticos permitem registrar relações de forma curta e precisa. Neste material, cada exemplo aparece como uma frase explicativa seguida da expressão correspondente.</w:t>
      </w:r>
    </w:p>
    <w:p>
      <w:r>
        <w:t>Pertencimento e inclusão</w:t>
      </w:r>
    </w:p>
    <w:p>
      <w:r>
        <w:t>Em teoria dos conjuntos, as chaves indicam os elementos de um conjunto. Os símbolos de pertencimento relacionam um elemento a um conjunto; os símbolos de inclusão relacionam dois conjuntos.</w:t>
      </w:r>
    </w:p>
    <w:p>
      <w:r>
        <w:t>[verificacao incerta] Tabela.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Símbolo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</w:tr>
      <w:tr>
        <w:tc>
          <w:tcPr>
            <w:tcW w:type="dxa" w:w="2880"/>
          </w:tcPr>
          <w:p>
            <w:r>
              <w:t>∊</w:t>
            </w:r>
          </w:p>
        </w:tc>
        <w:tc>
          <w:tcPr>
            <w:tcW w:type="dxa" w:w="2880"/>
          </w:tcPr>
          <w:p>
            <w:r>
              <w:t>Pertence</w:t>
            </w:r>
          </w:p>
        </w:tc>
        <w:tc>
          <w:tcPr>
            <w:tcW w:type="dxa" w:w="2880"/>
          </w:tcPr>
          <w:p>
            <w:r>
              <w:t>Indica que um elemento faz parte de um conjunto.</w:t>
            </w:r>
          </w:p>
        </w:tc>
      </w:tr>
      <w:tr>
        <w:tc>
          <w:tcPr>
            <w:tcW w:type="dxa" w:w="2880"/>
          </w:tcPr>
          <w:p>
            <w:r>
              <w:t>∉</w:t>
            </w:r>
          </w:p>
        </w:tc>
        <w:tc>
          <w:tcPr>
            <w:tcW w:type="dxa" w:w="2880"/>
          </w:tcPr>
          <w:p>
            <w:r>
              <w:t>Não pertence</w:t>
            </w:r>
          </w:p>
        </w:tc>
        <w:tc>
          <w:tcPr>
            <w:tcW w:type="dxa" w:w="2880"/>
          </w:tcPr>
          <w:p>
            <w:r>
              <w:t>Indica que um elemento não faz parte de um conjunto.</w:t>
            </w:r>
          </w:p>
        </w:tc>
      </w:tr>
      <w:tr>
        <w:tc>
          <w:tcPr>
            <w:tcW w:type="dxa" w:w="2880"/>
          </w:tcPr>
          <w:p>
            <w:r>
              <w:t>⊂</w:t>
            </w:r>
          </w:p>
        </w:tc>
        <w:tc>
          <w:tcPr>
            <w:tcW w:type="dxa" w:w="2880"/>
          </w:tcPr>
          <w:p>
            <w:r>
              <w:t>Subconjunto próprio</w:t>
            </w:r>
          </w:p>
        </w:tc>
        <w:tc>
          <w:tcPr>
            <w:tcW w:type="dxa" w:w="2880"/>
          </w:tcPr>
          <w:p>
            <w:r>
              <w:t>Todos os elementos do primeiro conjunto estão no segundo, e os conjuntos são diferentes.</w:t>
            </w:r>
          </w:p>
        </w:tc>
      </w:tr>
      <w:tr>
        <w:tc>
          <w:tcPr>
            <w:tcW w:type="dxa" w:w="2880"/>
          </w:tcPr>
          <w:p>
            <w:r>
              <w:t>⊆</w:t>
            </w:r>
          </w:p>
        </w:tc>
        <w:tc>
          <w:tcPr>
            <w:tcW w:type="dxa" w:w="2880"/>
          </w:tcPr>
          <w:p>
            <w:r>
              <w:t>Subconjunto</w:t>
            </w:r>
          </w:p>
        </w:tc>
        <w:tc>
          <w:tcPr>
            <w:tcW w:type="dxa" w:w="2880"/>
          </w:tcPr>
          <w:p>
            <w:r>
              <w:t>Todos os elementos do primeiro conjunto estão no segundo; os conjuntos podem ser iguais.</w:t>
            </w:r>
          </w:p>
        </w:tc>
      </w:tr>
      <w:tr>
        <w:tc>
          <w:tcPr>
            <w:tcW w:type="dxa" w:w="2880"/>
          </w:tcPr>
          <w:p>
            <w:r>
              <w:t>∅</w:t>
            </w:r>
          </w:p>
        </w:tc>
        <w:tc>
          <w:tcPr>
            <w:tcW w:type="dxa" w:w="2880"/>
          </w:tcPr>
          <w:p>
            <w:r>
              <w:t>Conjunto vazio</w:t>
            </w:r>
          </w:p>
        </w:tc>
        <w:tc>
          <w:tcPr>
            <w:tcW w:type="dxa" w:w="2880"/>
          </w:tcPr>
          <w:p>
            <w:r>
              <w:t>Representa um conjunto que não possui elementos.</w:t>
            </w:r>
          </w:p>
        </w:tc>
      </w:tr>
    </w:tbl>
    <w:p>
      <w:r>
        <w:t>Exemplos</w:t>
      </w:r>
    </w:p>
    <w:p>
      <w:pPr>
        <w:pStyle w:val="Heading2"/>
      </w:pPr>
      <w:r>
        <w:t>EXEMPLO 1</w:t>
      </w:r>
    </w:p>
    <w:p>
      <w:r>
        <w:t>O número 3 faz parte do conjunto formado por 1, 2, 3 e 4.</w:t>
      </w:r>
    </w:p>
    <w:p>
      <m:oMath>
        <m:r>
          <m:t>3</m:t>
        </m:r>
        <m:r>
          <m:t>∈</m:t>
        </m:r>
        <m:r>
          <m:t>{</m:t>
        </m:r>
        <m:r>
          <m:t>1</m:t>
        </m:r>
        <m:r>
          <m:t>, </m:t>
        </m:r>
        <m:r>
          <m:t>2</m:t>
        </m:r>
        <m:r>
          <m:t>, </m:t>
        </m:r>
        <m:r>
          <m:t>3</m:t>
        </m:r>
        <m:r>
          <m:t>, </m:t>
        </m:r>
        <m:r>
          <m:t>4</m:t>
        </m:r>
        <m:r>
          <m:t>}</m:t>
        </m:r>
      </m:oMath>
    </w:p>
    <w:p>
      <w:pPr>
        <w:pStyle w:val="Heading2"/>
      </w:pPr>
      <w:r>
        <w:t>EXEMPLO 2</w:t>
      </w:r>
    </w:p>
    <w:p>
      <w:r>
        <w:t>O número 7 não aparece entre os elementos do conjunto indicado.</w:t>
      </w:r>
    </w:p>
    <w:p>
      <m:oMath>
        <m:r>
          <m:t>7</m:t>
        </m:r>
        <m:r>
          <m:t>∉</m:t>
        </m:r>
        <m:r>
          <m:t>{</m:t>
        </m:r>
        <m:r>
          <m:t>1</m:t>
        </m:r>
        <m:r>
          <m:t>, </m:t>
        </m:r>
        <m:r>
          <m:t>2</m:t>
        </m:r>
        <m:r>
          <m:t>, </m:t>
        </m:r>
        <m:r>
          <m:t>3</m:t>
        </m:r>
        <m:r>
          <m:t>, </m:t>
        </m:r>
        <m:r>
          <m:t>4</m:t>
        </m:r>
        <m:r>
          <m:t>}</m:t>
        </m:r>
      </m:oMath>
    </w:p>
    <w:p>
      <w:pPr>
        <w:pStyle w:val="Heading2"/>
      </w:pPr>
      <w:r>
        <w:t>EXEMPLO 3</w:t>
      </w:r>
    </w:p>
    <w:p>
      <w:r>
        <w:t>O conjunto formado por 1 e 2 está propriamente contido no conjunto formado por 1, 2 e 3.</w:t>
      </w:r>
    </w:p>
    <w:p>
      <m:oMath>
        <m:r>
          <m:t>{</m:t>
        </m:r>
        <m:r>
          <m:t>1</m:t>
        </m:r>
        <m:r>
          <m:t>, </m:t>
        </m:r>
        <m:r>
          <m:t>2</m:t>
        </m:r>
        <m:r>
          <m:t>}</m:t>
        </m:r>
        <m:r>
          <m:t>⊂</m:t>
        </m:r>
        <m:r>
          <m:t>{</m:t>
        </m:r>
        <m:r>
          <m:t>1</m:t>
        </m:r>
        <m:r>
          <m:t>, </m:t>
        </m:r>
        <m:r>
          <m:t>2</m:t>
        </m:r>
        <m:r>
          <m:t>, </m:t>
        </m:r>
        <m:r>
          <m:t>3</m:t>
        </m:r>
        <m:r>
          <m:t>}</m:t>
        </m:r>
      </m:oMath>
    </w:p>
    <w:p>
      <w:pPr>
        <w:pStyle w:val="Heading2"/>
      </w:pPr>
      <w:r>
        <w:t>EXEMPLO 4</w:t>
      </w:r>
    </w:p>
    <w:p>
      <w:r>
        <w:t>Todo número natural também é um número inteiro.</w:t>
      </w:r>
    </w:p>
    <w:p>
      <m:oMath>
        <m:r>
          <m:rPr>
            <m:sty m:val="i"/>
          </m:rPr>
          <m:t>ℕ</m:t>
        </m:r>
        <m:r>
          <m:t>⊆</m:t>
        </m:r>
        <m:r>
          <m:rPr>
            <m:sty m:val="i"/>
          </m:rPr>
          <m:t>ℤ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