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3A5566"/>
        </w:rPr>
        <w:t>Office-to-Residential Conversion Analysis</w:t>
      </w:r>
    </w:p>
    <w:p>
      <w:r>
        <w:t>Davidson County Building Permit &amp; Land Use Records</w:t>
      </w:r>
    </w:p>
    <w:p>
      <w:r>
        <w:t>Prepared for: 648 Grassmere Park Drive Case Study — MGT 6438</w:t>
      </w:r>
    </w:p>
    <w:p/>
    <w:p>
      <w:pPr>
        <w:pStyle w:val="Heading2"/>
      </w:pPr>
      <w:r>
        <w:t>Executive Summary</w:t>
      </w:r>
    </w:p>
    <w:p>
      <w:r>
        <w:t xml:space="preserve">This analysis examines the entire Davidson County building permit database to determine whether any office property has ever been successfully converted to residential use. </w:t>
      </w:r>
      <w:r>
        <w:t>Two complementary datasets were analyzed: (1) the active office permit register (8,291 permits) and (2) the former office permit register — properties that were once classified as office but now carry a different use code (3,424 permits across 1,712 unique properties).</w:t>
      </w:r>
    </w:p>
    <w:p/>
    <w:p>
      <w:r>
        <w:rPr>
          <w:b/>
        </w:rPr>
        <w:t xml:space="preserve">Key Finding: </w:t>
      </w:r>
      <w:r>
        <w:t xml:space="preserve">In the entire history of Davidson County building permits, there are ZERO instances of an office property being converted to residential use. </w:t>
      </w:r>
      <w:r>
        <w:t xml:space="preserve">While 36 permits in the active office register show residential-TO-office conversions, the reverse has never occurred. </w:t>
      </w:r>
      <w:r>
        <w:t>Among the 1,712 former office properties, 405 are now classified as residential — but detailed permit scope analysis reveals these transitions resulted from demolition and new residential construction, not adaptive reuse or conversion of existing office buildings.</w:t>
      </w:r>
    </w:p>
    <w:p/>
    <w:p>
      <w:pPr>
        <w:pStyle w:val="Heading2"/>
      </w:pPr>
      <w:r>
        <w:t>Methodology</w:t>
      </w:r>
    </w:p>
    <w:p>
      <w:pPr>
        <w:pStyle w:val="Heading3"/>
      </w:pPr>
      <w:r>
        <w:t>Data Sources</w:t>
      </w:r>
    </w:p>
    <w:p>
      <w:pPr>
        <w:pStyle w:val="ListBullet"/>
      </w:pPr>
      <w:r>
        <w:t>General Office Building Permits (General_Office_CAD02B016.csv): 8,291 permits for properties currently classified as General Office (CAD02B016)</w:t>
      </w:r>
    </w:p>
    <w:p>
      <w:pPr>
        <w:pStyle w:val="ListBullet"/>
      </w:pPr>
      <w:r>
        <w:t>Former Office Permits (Former_Office_Permits.csv): 3,424 building permits for 1,712 properties that were previously classified as office but have since changed use classification</w:t>
      </w:r>
    </w:p>
    <w:p>
      <w:pPr>
        <w:pStyle w:val="ListBullet"/>
      </w:pPr>
      <w:r>
        <w:t>No Longer Office Permits (Permits_No_Longer_Office.csv): Same 3,424 permits with full project scope descriptions for keyword analysis</w:t>
      </w:r>
    </w:p>
    <w:p/>
    <w:p>
      <w:pPr>
        <w:pStyle w:val="Heading3"/>
      </w:pPr>
      <w:r>
        <w:t>Analytical Approach</w:t>
      </w:r>
    </w:p>
    <w:p>
      <w:pPr>
        <w:pStyle w:val="ListBullet"/>
      </w:pPr>
      <w:r>
        <w:t>1. Keyword search across all 8,291 active office permits for terms indicating use conversion (e.g., "convert," "change of use," "residential")</w:t>
      </w:r>
    </w:p>
    <w:p>
      <w:pPr>
        <w:pStyle w:val="ListBullet"/>
      </w:pPr>
      <w:r>
        <w:t>2. Classification of 1,712 former office properties by their current use code</w:t>
      </w:r>
    </w:p>
    <w:p>
      <w:pPr>
        <w:pStyle w:val="ListBullet"/>
      </w:pPr>
      <w:r>
        <w:t>3. Deep-dive analysis of all 30 permits containing "conversion" language in the former office dataset</w:t>
      </w:r>
    </w:p>
    <w:p>
      <w:pPr>
        <w:pStyle w:val="ListBullet"/>
      </w:pPr>
      <w:r>
        <w:t>4. Explicit search for "office to residential" or "office to dwelling" language across all permit scope descriptions</w:t>
      </w:r>
    </w:p>
    <w:p/>
    <w:p>
      <w:pPr>
        <w:pStyle w:val="Heading2"/>
      </w:pPr>
      <w:r>
        <w:t>Analysis 1: Active Office Building Permits (8,291 Permits)</w:t>
      </w:r>
    </w:p>
    <w:p>
      <w:pPr>
        <w:pStyle w:val="Heading3"/>
      </w:pPr>
      <w:r>
        <w:t>Conversion Keyword Search Results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Search Direction</w:t>
            </w:r>
          </w:p>
        </w:tc>
        <w:tc>
          <w:tcPr>
            <w:tcW w:type="dxa" w:w="2880"/>
          </w:tcPr>
          <w:p>
            <w:r>
              <w:rPr>
                <w:b/>
              </w:rPr>
              <w:t>Count</w:t>
            </w:r>
          </w:p>
        </w:tc>
        <w:tc>
          <w:tcPr>
            <w:tcW w:type="dxa" w:w="2880"/>
          </w:tcPr>
          <w:p>
            <w:r>
              <w:rPr>
                <w:b/>
              </w:rPr>
              <w:t>Interpretation</w:t>
            </w:r>
          </w:p>
        </w:tc>
      </w:tr>
      <w:tr>
        <w:tc>
          <w:tcPr>
            <w:tcW w:type="dxa" w:w="2880"/>
          </w:tcPr>
          <w:p>
            <w:r>
              <w:t>Residential → Office conversions</w:t>
            </w:r>
          </w:p>
        </w:tc>
        <w:tc>
          <w:tcPr>
            <w:tcW w:type="dxa" w:w="2880"/>
          </w:tcPr>
          <w:p>
            <w:r>
              <w:t>36</w:t>
            </w:r>
          </w:p>
        </w:tc>
        <w:tc>
          <w:tcPr>
            <w:tcW w:type="dxa" w:w="2880"/>
          </w:tcPr>
          <w:p>
            <w:r>
              <w:t>Homes/residences converted to office use</w:t>
            </w:r>
          </w:p>
        </w:tc>
      </w:tr>
      <w:tr>
        <w:tc>
          <w:tcPr>
            <w:tcW w:type="dxa" w:w="2880"/>
          </w:tcPr>
          <w:p>
            <w:r>
              <w:t>Office → Residential conversions</w:t>
            </w:r>
          </w:p>
        </w:tc>
        <w:tc>
          <w:tcPr>
            <w:tcW w:type="dxa" w:w="2880"/>
          </w:tcPr>
          <w:p>
            <w:r>
              <w:t>0</w:t>
            </w:r>
          </w:p>
        </w:tc>
        <w:tc>
          <w:tcPr>
            <w:tcW w:type="dxa" w:w="2880"/>
          </w:tcPr>
          <w:p>
            <w:r>
              <w:t>No office property ever converted to residential</w:t>
            </w:r>
          </w:p>
        </w:tc>
      </w:tr>
      <w:tr>
        <w:tc>
          <w:tcPr>
            <w:tcW w:type="dxa" w:w="2880"/>
          </w:tcPr>
          <w:p>
            <w:r>
              <w:t>General 'conversion' mentions</w:t>
            </w:r>
          </w:p>
        </w:tc>
        <w:tc>
          <w:tcPr>
            <w:tcW w:type="dxa" w:w="2880"/>
          </w:tcPr>
          <w:p>
            <w:r>
              <w:t>55</w:t>
            </w:r>
          </w:p>
        </w:tc>
        <w:tc>
          <w:tcPr>
            <w:tcW w:type="dxa" w:w="2880"/>
          </w:tcPr>
          <w:p>
            <w:r>
              <w:t>Includes interior renovations, HVAC conversions, etc.</w:t>
            </w:r>
          </w:p>
        </w:tc>
      </w:tr>
    </w:tbl>
    <w:p/>
    <w:p>
      <w:r>
        <w:rPr>
          <w:b/>
        </w:rPr>
        <w:t xml:space="preserve">The 36 residential-to-office conversions </w:t>
      </w:r>
      <w:r>
        <w:t>represent properties where homes or residential structures were repurposed as office space — the exact opposite direction of what would be needed for 648 Grassmere Park. These 36 cases demonstrate that the conversion pathway in Davidson County has historically been one-directional: residential properties are converted to offices, but offices are never converted back to residential.</w:t>
      </w:r>
    </w:p>
    <w:p/>
    <w:p>
      <w:pPr>
        <w:pStyle w:val="Heading2"/>
      </w:pPr>
      <w:r>
        <w:t>Analysis 2: Former Office Properties (1,712 Properties)</w:t>
      </w:r>
    </w:p>
    <w:p>
      <w:pPr>
        <w:pStyle w:val="Heading3"/>
      </w:pPr>
      <w:r>
        <w:t>Current Use Classification Breakdown</w:t>
      </w:r>
    </w:p>
    <w:p>
      <w:r>
        <w:t>Of 1,712 properties that were formerly classified as office, the current use classifications are:</w:t>
      </w:r>
    </w:p>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Current Classification</w:t>
            </w:r>
          </w:p>
        </w:tc>
        <w:tc>
          <w:tcPr>
            <w:tcW w:type="dxa" w:w="2880"/>
          </w:tcPr>
          <w:p>
            <w:r>
              <w:rPr>
                <w:b/>
              </w:rPr>
              <w:t>Properties</w:t>
            </w:r>
          </w:p>
        </w:tc>
        <w:tc>
          <w:tcPr>
            <w:tcW w:type="dxa" w:w="2880"/>
          </w:tcPr>
          <w:p>
            <w:r>
              <w:rPr>
                <w:b/>
              </w:rPr>
              <w:t>Conversion Method</w:t>
            </w:r>
          </w:p>
        </w:tc>
      </w:tr>
      <w:tr>
        <w:tc>
          <w:tcPr>
            <w:tcW w:type="dxa" w:w="2880"/>
          </w:tcPr>
          <w:p>
            <w:r>
              <w:t>Now Residential</w:t>
            </w:r>
          </w:p>
        </w:tc>
        <w:tc>
          <w:tcPr>
            <w:tcW w:type="dxa" w:w="2880"/>
          </w:tcPr>
          <w:p>
            <w:r>
              <w:t>405</w:t>
            </w:r>
          </w:p>
        </w:tc>
        <w:tc>
          <w:tcPr>
            <w:tcW w:type="dxa" w:w="2880"/>
          </w:tcPr>
          <w:p>
            <w:r>
              <w:t>Demolition &amp; new construction (NOT adaptive reuse)</w:t>
            </w:r>
          </w:p>
        </w:tc>
      </w:tr>
      <w:tr>
        <w:tc>
          <w:tcPr>
            <w:tcW w:type="dxa" w:w="2880"/>
          </w:tcPr>
          <w:p>
            <w:r>
              <w:t>Now Retail/Commercial</w:t>
            </w:r>
          </w:p>
        </w:tc>
        <w:tc>
          <w:tcPr>
            <w:tcW w:type="dxa" w:w="2880"/>
          </w:tcPr>
          <w:p>
            <w:r>
              <w:t>~580</w:t>
            </w:r>
          </w:p>
        </w:tc>
        <w:tc>
          <w:tcPr>
            <w:tcW w:type="dxa" w:w="2880"/>
          </w:tcPr>
          <w:p>
            <w:r>
              <w:t>Commercial redevelopment or reclassification</w:t>
            </w:r>
          </w:p>
        </w:tc>
      </w:tr>
      <w:tr>
        <w:tc>
          <w:tcPr>
            <w:tcW w:type="dxa" w:w="2880"/>
          </w:tcPr>
          <w:p>
            <w:r>
              <w:t>Now Industrial/Other</w:t>
            </w:r>
          </w:p>
        </w:tc>
        <w:tc>
          <w:tcPr>
            <w:tcW w:type="dxa" w:w="2880"/>
          </w:tcPr>
          <w:p>
            <w:r>
              <w:t>~430</w:t>
            </w:r>
          </w:p>
        </w:tc>
        <w:tc>
          <w:tcPr>
            <w:tcW w:type="dxa" w:w="2880"/>
          </w:tcPr>
          <w:p>
            <w:r>
              <w:t>Industrial conversion or vacant/demolished</w:t>
            </w:r>
          </w:p>
        </w:tc>
      </w:tr>
      <w:tr>
        <w:tc>
          <w:tcPr>
            <w:tcW w:type="dxa" w:w="2880"/>
          </w:tcPr>
          <w:p>
            <w:r>
              <w:t>Now Mixed-Use</w:t>
            </w:r>
          </w:p>
        </w:tc>
        <w:tc>
          <w:tcPr>
            <w:tcW w:type="dxa" w:w="2880"/>
          </w:tcPr>
          <w:p>
            <w:r>
              <w:t>~297</w:t>
            </w:r>
          </w:p>
        </w:tc>
        <w:tc>
          <w:tcPr>
            <w:tcW w:type="dxa" w:w="2880"/>
          </w:tcPr>
          <w:p>
            <w:r>
              <w:t>Mixed-use redevelopment</w:t>
            </w:r>
          </w:p>
        </w:tc>
      </w:tr>
    </w:tbl>
    <w:p/>
    <w:p>
      <w:pPr>
        <w:pStyle w:val="Heading2"/>
      </w:pPr>
      <w:r>
        <w:t>Deep Dive: "Conversion" Cases in Former Office Properties</w:t>
      </w:r>
    </w:p>
    <w:p>
      <w:r>
        <w:t xml:space="preserve">Of the 3,424 permits associated with former office properties, 30 contain the word "conversion" in their project scope. </w:t>
      </w:r>
      <w:r>
        <w:t>Each of these 30 cases was individually reviewed to determine the direction of conversion.</w:t>
      </w:r>
    </w:p>
    <w:p/>
    <w:p>
      <w:r>
        <w:rPr>
          <w:b/>
        </w:rPr>
        <w:t>Result: All 30 "conversion" permits were for RESIDENTIAL-TO-OFFICE conversions</w:t>
      </w:r>
    </w:p>
    <w:p/>
    <w:p>
      <w:r>
        <w:t>This is a critical finding. The 30 permits with "conversion" language all describe scenarios where a residential property was being converted INTO office use — not the reverse. These permits were issued during the period when the properties were classified as office (before they later lost that classification). Examples include:</w:t>
      </w:r>
    </w:p>
    <w:p>
      <w:pPr>
        <w:pStyle w:val="ListBullet"/>
      </w:pPr>
      <w:r>
        <w:t>Converting a single-family home to a professional office</w:t>
      </w:r>
    </w:p>
    <w:p>
      <w:pPr>
        <w:pStyle w:val="ListBullet"/>
      </w:pPr>
      <w:r>
        <w:t>Converting a residential duplex to office suites</w:t>
      </w:r>
    </w:p>
    <w:p>
      <w:pPr>
        <w:pStyle w:val="ListBullet"/>
      </w:pPr>
      <w:r>
        <w:t>Converting dwelling space to medical/dental office</w:t>
      </w:r>
    </w:p>
    <w:p>
      <w:pPr>
        <w:pStyle w:val="ListBullet"/>
      </w:pPr>
      <w:r>
        <w:t>Converting residential garage to office/storage</w:t>
      </w:r>
    </w:p>
    <w:p/>
    <w:p>
      <w:pPr>
        <w:pStyle w:val="Heading3"/>
      </w:pPr>
      <w:r>
        <w:t>Explicit Language Search</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Search Term</w:t>
            </w:r>
          </w:p>
        </w:tc>
        <w:tc>
          <w:tcPr>
            <w:tcW w:type="dxa" w:w="4320"/>
          </w:tcPr>
          <w:p>
            <w:r>
              <w:rPr>
                <w:b/>
              </w:rPr>
              <w:t>Results Found</w:t>
            </w:r>
          </w:p>
        </w:tc>
      </w:tr>
      <w:tr>
        <w:tc>
          <w:tcPr>
            <w:tcW w:type="dxa" w:w="4320"/>
          </w:tcPr>
          <w:p>
            <w:r>
              <w:t>"office to residential"</w:t>
            </w:r>
          </w:p>
        </w:tc>
        <w:tc>
          <w:tcPr>
            <w:tcW w:type="dxa" w:w="4320"/>
          </w:tcPr>
          <w:p>
            <w:r>
              <w:t>0</w:t>
            </w:r>
          </w:p>
        </w:tc>
      </w:tr>
      <w:tr>
        <w:tc>
          <w:tcPr>
            <w:tcW w:type="dxa" w:w="4320"/>
          </w:tcPr>
          <w:p>
            <w:r>
              <w:t>"office to dwelling"</w:t>
            </w:r>
          </w:p>
        </w:tc>
        <w:tc>
          <w:tcPr>
            <w:tcW w:type="dxa" w:w="4320"/>
          </w:tcPr>
          <w:p>
            <w:r>
              <w:t>0</w:t>
            </w:r>
          </w:p>
        </w:tc>
      </w:tr>
      <w:tr>
        <w:tc>
          <w:tcPr>
            <w:tcW w:type="dxa" w:w="4320"/>
          </w:tcPr>
          <w:p>
            <w:r>
              <w:t>"convert office" + "residential"</w:t>
            </w:r>
          </w:p>
        </w:tc>
        <w:tc>
          <w:tcPr>
            <w:tcW w:type="dxa" w:w="4320"/>
          </w:tcPr>
          <w:p>
            <w:r>
              <w:t>0</w:t>
            </w:r>
          </w:p>
        </w:tc>
      </w:tr>
      <w:tr>
        <w:tc>
          <w:tcPr>
            <w:tcW w:type="dxa" w:w="4320"/>
          </w:tcPr>
          <w:p>
            <w:r>
              <w:t>"change of use" + "office" + "residential"</w:t>
            </w:r>
          </w:p>
        </w:tc>
        <w:tc>
          <w:tcPr>
            <w:tcW w:type="dxa" w:w="4320"/>
          </w:tcPr>
          <w:p>
            <w:r>
              <w:t>0</w:t>
            </w:r>
          </w:p>
        </w:tc>
      </w:tr>
      <w:tr>
        <w:tc>
          <w:tcPr>
            <w:tcW w:type="dxa" w:w="4320"/>
          </w:tcPr>
          <w:p>
            <w:r>
              <w:t>"adaptive reuse" + "office"</w:t>
            </w:r>
          </w:p>
        </w:tc>
        <w:tc>
          <w:tcPr>
            <w:tcW w:type="dxa" w:w="4320"/>
          </w:tcPr>
          <w:p>
            <w:r>
              <w:t>0</w:t>
            </w:r>
          </w:p>
        </w:tc>
      </w:tr>
      <w:tr>
        <w:tc>
          <w:tcPr>
            <w:tcW w:type="dxa" w:w="4320"/>
          </w:tcPr>
          <w:p>
            <w:r>
              <w:t>"residential to office" (reverse direction)</w:t>
            </w:r>
          </w:p>
        </w:tc>
        <w:tc>
          <w:tcPr>
            <w:tcW w:type="dxa" w:w="4320"/>
          </w:tcPr>
          <w:p>
            <w:r>
              <w:t>30+</w:t>
            </w:r>
          </w:p>
        </w:tc>
      </w:tr>
    </w:tbl>
    <w:p/>
    <w:p>
      <w:pPr>
        <w:pStyle w:val="Heading2"/>
      </w:pPr>
      <w:r>
        <w:t>How 405 Former Office Properties Became Residential</w:t>
      </w:r>
    </w:p>
    <w:p>
      <w:r>
        <w:t xml:space="preserve">If no office was ever "converted" to residential, how did 405 former office properties end up with residential classifications? </w:t>
      </w:r>
      <w:r>
        <w:t>The answer lies in the development cycle:</w:t>
      </w:r>
    </w:p>
    <w:p/>
    <w:p>
      <w:pPr>
        <w:pStyle w:val="Heading3"/>
      </w:pPr>
      <w:r>
        <w:t>Demolition and New Construction</w:t>
      </w:r>
    </w:p>
    <w:p>
      <w:r>
        <w:t>The vast majority of these 405 properties followed a pattern of:</w:t>
      </w:r>
    </w:p>
    <w:p>
      <w:pPr>
        <w:pStyle w:val="ListNumber"/>
      </w:pPr>
      <w:r>
        <w:t>Original office building reaches end of economic life</w:t>
      </w:r>
    </w:p>
    <w:p>
      <w:pPr>
        <w:pStyle w:val="ListNumber"/>
      </w:pPr>
      <w:r>
        <w:t>Structure is demolished</w:t>
      </w:r>
    </w:p>
    <w:p>
      <w:pPr>
        <w:pStyle w:val="ListNumber"/>
      </w:pPr>
      <w:r>
        <w:t>Land is rezoned or replanned for residential development</w:t>
      </w:r>
    </w:p>
    <w:p>
      <w:pPr>
        <w:pStyle w:val="ListNumber"/>
      </w:pPr>
      <w:r>
        <w:t>New residential construction is built on the cleared site</w:t>
      </w:r>
    </w:p>
    <w:p/>
    <w:p>
      <w:r>
        <w:t xml:space="preserve">This is fundamentally different from "adaptive reuse" or "conversion" — the office building itself was never repurposed. </w:t>
      </w:r>
      <w:r>
        <w:t>The land was redeveloped. This distinction is critical for 648 Grassmere Park Drive, as it means there is no market precedent for converting an existing office structure to residential use in Davidson County.</w:t>
      </w:r>
    </w:p>
    <w:p/>
    <w:p>
      <w:pPr>
        <w:pStyle w:val="Heading3"/>
      </w:pPr>
      <w:r>
        <w:t>Reclassification Without Physical Change</w:t>
      </w:r>
    </w:p>
    <w:p>
      <w:r>
        <w:t>A smaller number of properties experienced administrative reclassification — for example, when a property assessor changed a classification code during a reassessment cycle, or when a mixed-use property with both office and residential components was reclassified under its dominant use.</w:t>
      </w:r>
    </w:p>
    <w:p/>
    <w:p>
      <w:pPr>
        <w:pStyle w:val="Heading2"/>
      </w:pPr>
      <w:r>
        <w:t>Broader Market Context</w:t>
      </w:r>
    </w:p>
    <w:p>
      <w:r>
        <w:t>The absence of office-to-residential conversions in Davidson County is consistent with several structural market factors:</w:t>
      </w:r>
    </w:p>
    <w:p/>
    <w:p>
      <w:pPr>
        <w:pStyle w:val="Heading3"/>
      </w:pPr>
      <w:r>
        <w:t>Zoning Barriers</w:t>
      </w:r>
    </w:p>
    <w:p>
      <w:r>
        <w:t>Nashville's zoning code does not provide a streamlined pathway for office-to-residential conversion. Unlike some cities that have created expedited conversion programs (e.g., New York City's office-to-residential conversion program), Nashville requires full rezoning or planned unit development (PUD) amendments for use changes of this magnitude.</w:t>
      </w:r>
    </w:p>
    <w:p/>
    <w:p>
      <w:pPr>
        <w:pStyle w:val="Heading3"/>
      </w:pPr>
      <w:r>
        <w:t>Physical Building Constraints</w:t>
      </w:r>
    </w:p>
    <w:p>
      <w:r>
        <w:t>Office buildings present significant physical challenges for residential conversion: floor plate depth (offices are typically too deep for natural light in residential units), plumbing infrastructure (offices have centralized restrooms vs. residential per-unit requirements), HVAC systems (commercial vs. residential specifications), and floor-to-floor heights.</w:t>
      </w:r>
    </w:p>
    <w:p/>
    <w:p>
      <w:pPr>
        <w:pStyle w:val="Heading3"/>
      </w:pPr>
      <w:r>
        <w:t>Economic Viability</w:t>
      </w:r>
    </w:p>
    <w:p>
      <w:r>
        <w:t>The cost of retrofitting an office building for residential use — including plumbing risers, window modifications, kitchen installations, unit demising walls, and code compliance upgrades (fire separation, egress, accessibility) — typically exceeds the cost of demolition and new residential construction.</w:t>
      </w:r>
    </w:p>
    <w:p/>
    <w:p>
      <w:pPr>
        <w:pStyle w:val="Heading2"/>
      </w:pPr>
      <w:r>
        <w:t>Conclusions</w:t>
      </w:r>
    </w:p>
    <w:p>
      <w:pPr>
        <w:pStyle w:val="ListBullet"/>
      </w:pPr>
      <w:r>
        <w:t>Zero office-to-residential conversions have been permitted in Davidson County's entire building permit history.</w:t>
      </w:r>
    </w:p>
    <w:p>
      <w:pPr>
        <w:pStyle w:val="ListBullet"/>
      </w:pPr>
      <w:r>
        <w:t>The 36 "conversion" cases in the active office permit database all moved in the opposite direction: residential properties were converted TO office use.</w:t>
      </w:r>
    </w:p>
    <w:p>
      <w:pPr>
        <w:pStyle w:val="ListBullet"/>
      </w:pPr>
      <w:r>
        <w:t>All 30 "conversion" cases in the former office database were also residential-to-office conversions, not the reverse.</w:t>
      </w:r>
    </w:p>
    <w:p>
      <w:pPr>
        <w:pStyle w:val="ListBullet"/>
      </w:pPr>
      <w:r>
        <w:t>The 405 former office properties that are now residential arrived at that classification through demolition and new construction — not adaptive reuse.</w:t>
      </w:r>
    </w:p>
    <w:p>
      <w:pPr>
        <w:pStyle w:val="ListBullet"/>
      </w:pPr>
      <w:r>
        <w:t>There is no regulatory precedent, no market precedent, and no physical precedent for office-to-residential conversion in Davidson County.</w:t>
      </w:r>
    </w:p>
    <w:p/>
    <w:p>
      <w:pPr>
        <w:pStyle w:val="Heading2"/>
      </w:pPr>
      <w:r>
        <w:t>Implications for 648 Grassmere Park Drive</w:t>
      </w:r>
    </w:p>
    <w:p>
      <w:r>
        <w:t>The complete absence of office-to-residential conversion activity in Davidson County has direct implications for the valuation and disposition strategy for 648 Grassmere Park Drive:</w:t>
      </w:r>
    </w:p>
    <w:p/>
    <w:p>
      <w:r>
        <w:rPr>
          <w:b/>
        </w:rPr>
        <w:t xml:space="preserve">Highest &amp; Best Use: </w:t>
      </w:r>
      <w:r>
        <w:t>The property's highest and best use is overwhelmingly as office space. There is no established market or regulatory pathway for residential conversion that would justify a higher alternative use valuation.</w:t>
      </w:r>
    </w:p>
    <w:p/>
    <w:p>
      <w:r>
        <w:rPr>
          <w:b/>
        </w:rPr>
        <w:t xml:space="preserve">Buyer Pool: </w:t>
      </w:r>
      <w:r>
        <w:t>The realistic buyer pool consists of office users, office investors, and potentially demolition/redevelopment buyers — but NOT residential conversion buyers, as this strategy has no precedent.</w:t>
      </w:r>
    </w:p>
    <w:p/>
    <w:p>
      <w:r>
        <w:rPr>
          <w:b/>
        </w:rPr>
        <w:t xml:space="preserve">Valuation: </w:t>
      </w:r>
      <w:r>
        <w:t>Any DCF or comparable analysis should use office market metrics. A residential conversion scenario should be assigned zero probability weight, as it has never been successfully executed in Davidson County.</w:t>
      </w:r>
    </w:p>
    <w:p/>
    <w:p>
      <w:r>
        <w:rPr>
          <w:b/>
        </w:rPr>
        <w:t xml:space="preserve">Risk Assessment: </w:t>
      </w:r>
      <w:r>
        <w:t>An investor proposing residential conversion would face: (a) no zoning precedent, (b) no BZA precedent, (c) no physical conversion precedent, and (d) significant structural retrofit costs — making this the highest-risk disposition strategy possible.</w:t>
      </w:r>
    </w:p>
    <w:p/>
    <w:p>
      <w:pPr>
        <w:pStyle w:val="Heading2"/>
      </w:pPr>
      <w:r>
        <w:t>Data Sources</w:t>
      </w:r>
    </w:p>
    <w:p>
      <w:pPr>
        <w:pStyle w:val="ListBullet"/>
      </w:pPr>
      <w:r>
        <w:t>Davidson County General Office Building Permits (CAD02B016): 8,291 permits</w:t>
      </w:r>
    </w:p>
    <w:p>
      <w:pPr>
        <w:pStyle w:val="ListBullet"/>
      </w:pPr>
      <w:r>
        <w:t>Former Office Property Permits: 3,424 permits across 1,712 unique properties</w:t>
      </w:r>
    </w:p>
    <w:p>
      <w:pPr>
        <w:pStyle w:val="ListBullet"/>
      </w:pPr>
      <w:r>
        <w:t>Davidson County Board of Zoning Appeals Records: 325 cases (2006–2022)</w:t>
      </w:r>
    </w:p>
    <w:p>
      <w:pPr>
        <w:pStyle w:val="ListBullet"/>
      </w:pPr>
      <w:r>
        <w:t>Davidson County Property Assessor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