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E4057"/>
          <w:sz w:val="40"/>
          <w:szCs w:val="40"/>
        </w:rPr>
        <w:t xml:space="preserve">648 &amp; 650 Grassmere Park Drive</w:t>
      </w:r>
    </w:p>
    <w:p>
      <w:pPr>
        <w:spacing w:after="100"/>
        <w:jc w:val="center"/>
      </w:pPr>
      <w:r>
        <w:rPr>
          <w:rFonts w:ascii="Arial" w:cs="Arial" w:eastAsia="Arial" w:hAnsi="Arial"/>
          <w:color w:val="4A6A8A"/>
          <w:sz w:val="28"/>
          <w:szCs w:val="28"/>
        </w:rPr>
        <w:t xml:space="preserve">Nashville, TN 37211</w:t>
      </w:r>
    </w:p>
    <w:p>
      <w:pPr>
        <w:spacing w:after="100"/>
        <w:jc w:val="center"/>
      </w:pPr>
      <w:r>
        <w:rPr>
          <w:rFonts w:ascii="Arial" w:cs="Arial" w:eastAsia="Arial" w:hAnsi="Arial"/>
          <w:color w:val="4A6A8A"/>
          <w:sz w:val="28"/>
          <w:szCs w:val="28"/>
        </w:rPr>
        <w:t xml:space="preserve">Data Methodology and Findings</w:t>
      </w:r>
    </w:p>
    <w:p>
      <w:pPr>
        <w:spacing w:after="400"/>
        <w:jc w:val="center"/>
      </w:pPr>
      <w:r>
        <w:rPr>
          <w:rFonts w:ascii="Arial" w:cs="Arial" w:eastAsia="Arial" w:hAnsi="Arial"/>
          <w:color w:val="888888"/>
          <w:sz w:val="22"/>
          <w:szCs w:val="22"/>
        </w:rPr>
        <w:t xml:space="preserve">MGMT 6438 Commercial Real Estate Development | Spring 2026</w:t>
      </w:r>
    </w:p>
    <w:p>
      <w:pPr>
        <w:pStyle w:val="Heading1"/>
        <w:spacing w:before="300" w:after="150"/>
      </w:pPr>
      <w:r>
        <w:rPr>
          <w:rFonts w:ascii="Arial" w:cs="Arial" w:eastAsia="Arial" w:hAnsi="Arial"/>
        </w:rPr>
        <w:t xml:space="preserve">1. Datasets Provided</w:t>
      </w:r>
    </w:p>
    <w:p>
      <w:pPr>
        <w:spacing w:after="200" w:line="276"/>
      </w:pPr>
      <w:r>
        <w:rPr>
          <w:rFonts w:ascii="Arial" w:cs="Arial" w:eastAsia="Arial" w:hAnsi="Arial"/>
          <w:sz w:val="22"/>
          <w:szCs w:val="22"/>
        </w:rPr>
        <w:t xml:space="preserve">This analysis draws on seven primary datasets assembled from Nashville public data sources. Each dataset was constructed by querying ArcGIS REST services, the Nashville ePermits API, the Davidson County Property Assessor portal, and the Regrid parcel platform. The datasets cover office parcel characteristics, permit activity, land use conversions, IWD zoning history, and Board of Zoning Appeals case records. The table below summarizes each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4760"/>
      </w:tblGrid>
      <w:t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Records</w:t>
            </w:r>
          </w:p>
        </w:tc>
        <w:tc>
          <w:tcPr>
            <w:tcW w:type="dxa" w:w="1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Columns</w:t>
            </w:r>
          </w:p>
        </w:tc>
        <w:tc>
          <w:tcPr>
            <w:tcW w:type="dxa" w:w="4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 Office Permits Combined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8,987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permits classified as General Office (SUB_TYPE CAD02B016) from ArcGIS Permit History service and ePermits API. Includes permit numbers, dates, construction values, building SF, scope descriptions, contractor names, status codes, APNs, and coordinates.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Former Office Permits</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3,424</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23</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Permits on parcels that were once classified as office but have since converted to a different land use. Tagged with current land use classification.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Permits No Longer Office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3,424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Extended version of Former Office Permits with additional ArcGIS fields including coordinates, construction values, and building area.</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Office Parcels Combined</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2,367</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128</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Master office parcel dataset merging Nashville cadastral, Regrid, Property Assessor, and building characteristic data. Includes ownership, sale history, appraised values, zoning, and 14 URL columns.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Office Characteristics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3,774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Building-level attributes from assessor cards: building type, stories, SF, year built, frame type, exterior wall, foundation, and heating system.</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IWD Zoning Parcels History</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2,942</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Parcel and zoning history for all parcels currently or historically zoned IWD. Tracks zoning changes, ordinance numbers, effective dates, and active/inactive status.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BZA Cases (CAAZ)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 of Zoning Appeals cases from ePermits API. Includes case type, docket number, location, project scope, fees, status, and decision.</w:t>
            </w:r>
          </w:p>
        </w:tc>
      </w:tr>
    </w:tbl>
    <w:p>
      <w:pPr>
        <w:pStyle w:val="Heading2"/>
        <w:spacing w:before="300" w:after="150"/>
      </w:pPr>
      <w:r>
        <w:rPr>
          <w:rFonts w:ascii="Arial" w:cs="Arial" w:eastAsia="Arial" w:hAnsi="Arial"/>
        </w:rPr>
        <w:t xml:space="preserve">1.1 General Office Permit Data</w:t>
      </w:r>
    </w:p>
    <w:p>
      <w:pPr>
        <w:spacing w:after="200" w:line="276"/>
      </w:pPr>
      <w:r>
        <w:rPr>
          <w:rFonts w:ascii="Arial" w:cs="Arial" w:eastAsia="Arial" w:hAnsi="Arial"/>
          <w:sz w:val="22"/>
          <w:szCs w:val="22"/>
        </w:rPr>
        <w:t xml:space="preserve">The General Office Permits Combined dataset contains 8,987 permit records classified as General Office (SUB_TYPE CAD02B016). These records were pulled from two sources: the Nashville ArcGIS Permit History service (8,225 records with full spatial data including APN and coordinates) and the ePermits API (696 records with permit details but no spatial join). The merged dataset spans September 2006 through February 2026 and includes permit numbers, dates accepted and issued, construction values, building square footage, unit counts, scope descriptions, contractor names, and status codes.</w:t>
      </w:r>
    </w:p>
    <w:p>
      <w:pPr>
        <w:spacing w:after="200" w:line="276"/>
      </w:pPr>
      <w:r>
        <w:rPr>
          <w:rFonts w:ascii="Arial" w:cs="Arial" w:eastAsia="Arial" w:hAnsi="Arial"/>
          <w:sz w:val="22"/>
          <w:szCs w:val="22"/>
        </w:rPr>
        <w:t xml:space="preserve">The dataset splits into two analytical subsets. The first subset contains permits on parcels that remain classified as office today. The second subset, Former Office Permits, isolates 3,424 permits on parcels whose current land use code is no longer office. This split enables direct comparison between properties that retained office use and those that converted to other uses.</w:t>
      </w:r>
    </w:p>
    <w:p>
      <w:pPr>
        <w:pStyle w:val="Heading2"/>
        <w:spacing w:before="300" w:after="150"/>
      </w:pPr>
      <w:r>
        <w:rPr>
          <w:rFonts w:ascii="Arial" w:cs="Arial" w:eastAsia="Arial" w:hAnsi="Arial"/>
        </w:rPr>
        <w:t xml:space="preserve">1.2 General Office Parcel Data</w:t>
      </w:r>
    </w:p>
    <w:p>
      <w:pPr>
        <w:spacing w:after="200" w:line="276"/>
      </w:pPr>
      <w:r>
        <w:rPr>
          <w:rFonts w:ascii="Arial" w:cs="Arial" w:eastAsia="Arial" w:hAnsi="Arial"/>
          <w:sz w:val="22"/>
          <w:szCs w:val="22"/>
        </w:rPr>
        <w:t xml:space="preserve">The Office Parcels Combined dataset contains 2,367 office parcel records with 128 columns. This master file merges data from four sources: Nashville cadastral parcels, Regrid enhanced parcel data, the Davidson County Property Assessor, and building characteristic records from assessor cards. Every parcel carries identifiers (ParID, APN/STANPAR, AccountNumber), physical attributes (land use code, zoning, acreage, finished area, year built, stories), ownership records (owner name, sale price, sale date, instrument numbers), appraised and assessed values, census tract, and council district.</w:t>
      </w:r>
    </w:p>
    <w:p>
      <w:pPr>
        <w:spacing w:after="200" w:line="276"/>
      </w:pPr>
      <w:r>
        <w:rPr>
          <w:rFonts w:ascii="Arial" w:cs="Arial" w:eastAsia="Arial" w:hAnsi="Arial"/>
          <w:sz w:val="22"/>
          <w:szCs w:val="22"/>
        </w:rPr>
        <w:t xml:space="preserve">The parcels divide into two land use categories. Use Code 32 covers office buildings of three or more stories. Use Code 33 covers office buildings under three stories. This distinction matters because the subject property at 648 Grassmere Park Drive is a three-story building (Use Code 32), placing it in the larger, institutional-grade tier of the Nashville office market. The Office Characteristics dataset adds 3,774 building-level records with construction details from assessor cards, including frame type, exterior wall material, foundation type, and heating system.</w:t>
      </w:r>
    </w:p>
    <w:p>
      <w:pPr>
        <w:pStyle w:val="Heading2"/>
        <w:spacing w:before="300" w:after="150"/>
      </w:pPr>
      <w:r>
        <w:rPr>
          <w:rFonts w:ascii="Arial" w:cs="Arial" w:eastAsia="Arial" w:hAnsi="Arial"/>
        </w:rPr>
        <w:t xml:space="preserve">1.3 Industrial Warehousing/Distribution (IWD) Zoning Parcel History</w:t>
      </w:r>
    </w:p>
    <w:p>
      <w:pPr>
        <w:spacing w:after="200" w:line="276"/>
      </w:pPr>
      <w:r>
        <w:rPr>
          <w:rFonts w:ascii="Arial" w:cs="Arial" w:eastAsia="Arial" w:hAnsi="Arial"/>
          <w:sz w:val="22"/>
          <w:szCs w:val="22"/>
        </w:rPr>
        <w:t xml:space="preserve">The IWD Zoning Parcels History dataset contains 2,942 records covering all parcels that have held IWD zoning in Davidson County. Each record includes the parcel ID, zone code, ordinance number, effective date, case number, and active/inactive status. Of these, 2,297 parcels carry active IWD zoning and 645 carry inactive IWD zoning (meaning the parcel was rezoned away from IWD at some point). The subject property at 648 Grassmere Park Drive (ParcelID 215200) holds active IWD zoning, effective January 1, 1998, under Ordinance O96-555. This dataset supports the entitlement analysis for Scenario 3 by identifying what has been built on IWD parcels, how frequently IWD parcels have been rezoned, and what uses replaced IWD when parcels transitioned.</w:t>
      </w:r>
    </w:p>
    <w:p>
      <w:pPr>
        <w:pStyle w:val="Heading2"/>
        <w:spacing w:before="300" w:after="150"/>
      </w:pPr>
      <w:r>
        <w:rPr>
          <w:rFonts w:ascii="Arial" w:cs="Arial" w:eastAsia="Arial" w:hAnsi="Arial"/>
        </w:rPr>
        <w:t xml:space="preserve">1.4 Board of Zoning Appeals (BZA) Cases</w:t>
      </w:r>
    </w:p>
    <w:p>
      <w:pPr>
        <w:spacing w:after="200" w:line="276"/>
      </w:pPr>
      <w:r>
        <w:rPr>
          <w:rFonts w:ascii="Arial" w:cs="Arial" w:eastAsia="Arial" w:hAnsi="Arial"/>
          <w:sz w:val="22"/>
          <w:szCs w:val="22"/>
        </w:rPr>
        <w:t xml:space="preserve">The BZA Cases dataset contains 325 CAAZ case records pulled from the Nashville ePermits API (caseTypeID 48). Each record includes the case ID, case number, case type, description, location, project scope, status code, decision, applicant information, fees, and expiration date. The status breakdown is: 223 expired, 70 done, 24 withdrawn, 5 approved for permit fee payment, 1 cancelled, 1 granted, and 1 refunded. This dataset enables searches for BZA precedents relevant to the subject property, including special exceptions sought in the Grassmere area and variances granted for alternative uses on IWD-zoned parcels.</w:t>
      </w:r>
    </w:p>
    <w:p>
      <w:r>
        <w:br w:type="page"/>
      </w:r>
    </w:p>
    <w:p>
      <w:pPr>
        <w:pStyle w:val="Heading1"/>
        <w:spacing w:before="300" w:after="150"/>
      </w:pPr>
      <w:r>
        <w:rPr>
          <w:rFonts w:ascii="Arial" w:cs="Arial" w:eastAsia="Arial" w:hAnsi="Arial"/>
        </w:rPr>
        <w:t xml:space="preserve">2. Market Competition and Comparable Properties</w:t>
      </w:r>
    </w:p>
    <w:p>
      <w:pPr>
        <w:spacing w:after="200" w:line="276"/>
      </w:pPr>
      <w:r>
        <w:rPr>
          <w:rFonts w:ascii="Arial" w:cs="Arial" w:eastAsia="Arial" w:hAnsi="Arial"/>
          <w:sz w:val="22"/>
          <w:szCs w:val="22"/>
        </w:rPr>
        <w:t xml:space="preserve">The competitive analysis filters the 2,367-parcel office dataset for properties comparable to the subject on size, vintage, location, and zoning. The subject property contains 227,299 SF of finished area across two buildings on 23.49 acres, built in 1985, zoned IWD, and currently appraised at $37,400,600 ($164.46/SF). The comparable set applies the following criteria: minimum 75,000 SF finished area, built between 1975 and 1995, and located in ZIP 37211, Council District 26, or adjacent council districts (16, 17, 28, 31). An additional filter captures all properties on Grassmere Park Drive regardless of size.</w:t>
      </w:r>
    </w:p>
    <w:p>
      <w:pPr>
        <w:pStyle w:val="Heading2"/>
        <w:spacing w:before="300" w:after="150"/>
      </w:pPr>
      <w:r>
        <w:rPr>
          <w:rFonts w:ascii="Arial" w:cs="Arial" w:eastAsia="Arial" w:hAnsi="Arial"/>
        </w:rPr>
        <w:t xml:space="preserve">2.1 Comparable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400"/>
        <w:gridCol w:w="1400"/>
        <w:gridCol w:w="1100"/>
        <w:gridCol w:w="10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SF</w:t>
            </w:r>
          </w:p>
        </w:tc>
        <w:tc>
          <w:tcPr>
            <w:tcW w:type="dxa" w:w="1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Appraised Value</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$/SF</w:t>
            </w:r>
          </w:p>
        </w:tc>
        <w:tc>
          <w:tcPr>
            <w:tcW w:type="dxa" w:w="1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Zoning</w:t>
            </w:r>
          </w:p>
        </w:tc>
        <w:tc>
          <w:tcPr>
            <w:tcW w:type="dxa" w:w="10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CD</w:t>
            </w:r>
          </w:p>
        </w:tc>
      </w:tr>
      <w:tr>
        <w:tc>
          <w:tcPr>
            <w:tcW w:type="dxa" w:w="22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648 Grassmere Park (Subject)</w:t>
            </w:r>
          </w:p>
        </w:tc>
        <w:tc>
          <w:tcPr>
            <w:tcW w:type="dxa" w:w="11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227,299</w:t>
            </w:r>
          </w:p>
        </w:tc>
        <w:tc>
          <w:tcPr>
            <w:tcW w:type="dxa" w:w="11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1985</w:t>
            </w:r>
          </w:p>
        </w:tc>
        <w:tc>
          <w:tcPr>
            <w:tcW w:type="dxa" w:w="14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$37,400,600</w:t>
            </w:r>
          </w:p>
        </w:tc>
        <w:tc>
          <w:tcPr>
            <w:tcW w:type="dxa" w:w="14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$164.46</w:t>
            </w:r>
          </w:p>
        </w:tc>
        <w:tc>
          <w:tcPr>
            <w:tcW w:type="dxa" w:w="11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IWD</w:t>
            </w:r>
          </w:p>
        </w:tc>
        <w:tc>
          <w:tcPr>
            <w:tcW w:type="dxa" w:w="106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26</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750 Old Hickory Blvd</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862,098</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1983</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$89,314,700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$103.60</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OL</w:t>
            </w:r>
          </w:p>
        </w:tc>
        <w:tc>
          <w:tcPr>
            <w:tcW w:type="dxa" w:w="1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550 Metroplex Dr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318,832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1988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$25,320,000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$79.41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201 Summit View Dr</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88,659</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1983</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$14,500,000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$163.55</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SP</w:t>
            </w:r>
          </w:p>
        </w:tc>
        <w:tc>
          <w:tcPr>
            <w:tcW w:type="dxa" w:w="1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490 Metroplex Dr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84,620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1986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$15,638,000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$184.80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3340 Perimeter Hill Dr</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80,929</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1984</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$12,640,000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$156.19</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CS</w:t>
            </w:r>
          </w:p>
        </w:tc>
        <w:tc>
          <w:tcPr>
            <w:tcW w:type="dxa" w:w="1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5880 Nolensville Pike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92,370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1989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$23,456,800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$253.94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R10</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1025 16th Ave S</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90,401</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1987</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$19,690,900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$217.82</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ORI</w:t>
            </w:r>
          </w:p>
        </w:tc>
        <w:tc>
          <w:tcPr>
            <w:tcW w:type="dxa" w:w="1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17</w:t>
            </w:r>
          </w:p>
        </w:tc>
      </w:tr>
    </w:tbl>
    <w:p>
      <w:pPr>
        <w:pStyle w:val="Heading2"/>
        <w:spacing w:before="300" w:after="150"/>
      </w:pPr>
      <w:r>
        <w:rPr>
          <w:rFonts w:ascii="Arial" w:cs="Arial" w:eastAsia="Arial" w:hAnsi="Arial"/>
        </w:rPr>
        <w:t xml:space="preserve">2.2 Key Comparables Analysis</w:t>
      </w:r>
    </w:p>
    <w:p>
      <w:pPr>
        <w:spacing w:after="200" w:line="276"/>
      </w:pPr>
      <w:r>
        <w:rPr>
          <w:rFonts w:ascii="Arial" w:cs="Arial" w:eastAsia="Arial" w:hAnsi="Arial"/>
          <w:b/>
          <w:bCs/>
          <w:sz w:val="22"/>
          <w:szCs w:val="22"/>
        </w:rPr>
        <w:t xml:space="preserve">201 Summit View Drive (Council District 26). </w:t>
      </w:r>
      <w:r>
        <w:rPr>
          <w:rFonts w:ascii="Arial" w:cs="Arial" w:eastAsia="Arial" w:hAnsi="Arial"/>
          <w:sz w:val="22"/>
          <w:szCs w:val="22"/>
        </w:rPr>
        <w:t xml:space="preserve">This property provides the strongest comparable signal. Appraised at $163.55/SF, it matches the subject within 0.6%. Built in 1983 with 88,659 SF on 5.33 acres, it shares the subject's council district and vintage. A transfer recorded in November 2024 confirms active market interest in 1980s office stock in CD-26. The per-SF alignment validates the subject's current appraised value.</w:t>
      </w:r>
    </w:p>
    <w:p>
      <w:pPr>
        <w:spacing w:after="200" w:line="276"/>
      </w:pPr>
      <w:r>
        <w:rPr>
          <w:rFonts w:ascii="Arial" w:cs="Arial" w:eastAsia="Arial" w:hAnsi="Arial"/>
          <w:b/>
          <w:bCs/>
          <w:sz w:val="22"/>
          <w:szCs w:val="22"/>
        </w:rPr>
        <w:t xml:space="preserve">490 Metroplex Drive (ZIP 37211). </w:t>
      </w:r>
      <w:r>
        <w:rPr>
          <w:rFonts w:ascii="Arial" w:cs="Arial" w:eastAsia="Arial" w:hAnsi="Arial"/>
          <w:sz w:val="22"/>
          <w:szCs w:val="22"/>
        </w:rPr>
        <w:t xml:space="preserve">This 1986-vintage, 84,620 SF property sold in June 2024 for $11,000,000 ($129.99/SF). Current appraisal stands at $15,638,000 ($184.80/SF). The 12.4% premium over the subject's per-SF value likely reflects the smaller-building premium that consistently appears in the data. The recent sale date makes this the most current transaction comparable.</w:t>
      </w:r>
    </w:p>
    <w:p>
      <w:pPr>
        <w:spacing w:after="200" w:line="276"/>
      </w:pPr>
      <w:r>
        <w:rPr>
          <w:rFonts w:ascii="Arial" w:cs="Arial" w:eastAsia="Arial" w:hAnsi="Arial"/>
          <w:b/>
          <w:bCs/>
          <w:sz w:val="22"/>
          <w:szCs w:val="22"/>
        </w:rPr>
        <w:t xml:space="preserve">3340 Perimeter Hill Drive (ZIP 37211). </w:t>
      </w:r>
      <w:r>
        <w:rPr>
          <w:rFonts w:ascii="Arial" w:cs="Arial" w:eastAsia="Arial" w:hAnsi="Arial"/>
          <w:sz w:val="22"/>
          <w:szCs w:val="22"/>
        </w:rPr>
        <w:t xml:space="preserve">Built in 1984 with 80,929 SF on 5.00 acres, this property is appraised at $12,640,000 ($156.19/SF). The 4.9% discount to the subject's per-SF value sets the low end of the local comparable range. A 2017 sale at $3,500,000 ($43.25/SF) followed by appreciation to $156.19/SF reflects the post-pandemic revaluation of South Nashville commercial property.</w:t>
      </w:r>
    </w:p>
    <w:p>
      <w:pPr>
        <w:spacing w:after="200" w:line="276"/>
      </w:pPr>
      <w:r>
        <w:rPr>
          <w:rFonts w:ascii="Arial" w:cs="Arial" w:eastAsia="Arial" w:hAnsi="Arial"/>
          <w:b/>
          <w:bCs/>
          <w:sz w:val="22"/>
          <w:szCs w:val="22"/>
        </w:rPr>
        <w:t xml:space="preserve">550 Metroplex Drive (ZIP 37211). </w:t>
      </w:r>
      <w:r>
        <w:rPr>
          <w:rFonts w:ascii="Arial" w:cs="Arial" w:eastAsia="Arial" w:hAnsi="Arial"/>
          <w:sz w:val="22"/>
          <w:szCs w:val="22"/>
        </w:rPr>
        <w:t xml:space="preserve">At 318,832 SF, this is the closest size match among South Nashville comparables. Its appraised value of $25,320,000 ($79.41/SF) sits well below the subject's per-SF value. The last recorded sale was $33,250,000 in May 2004. The depressed per-SF appraisal relative to the 2004 sale price suggests possible vacancy or functional obsolescence, consistent with challenges facing large-format 1980s suburban office buildings.</w:t>
      </w:r>
    </w:p>
    <w:p>
      <w:pPr>
        <w:pStyle w:val="Heading2"/>
        <w:spacing w:before="300" w:after="150"/>
      </w:pPr>
      <w:r>
        <w:rPr>
          <w:rFonts w:ascii="Arial" w:cs="Arial" w:eastAsia="Arial" w:hAnsi="Arial"/>
        </w:rPr>
        <w:t xml:space="preserve">2.3 Grassmere Business Park</w:t>
      </w:r>
    </w:p>
    <w:p>
      <w:pPr>
        <w:spacing w:after="200" w:line="276"/>
      </w:pPr>
      <w:r>
        <w:rPr>
          <w:rFonts w:ascii="Arial" w:cs="Arial" w:eastAsia="Arial" w:hAnsi="Arial"/>
          <w:sz w:val="22"/>
          <w:szCs w:val="22"/>
        </w:rPr>
        <w:t xml:space="preserve">Grassmere Business Park contains five office parcels in the combined dataset. The subject property accounts for 42.5% of total appraised value in the park and carries the highest absolute and per-SF valuation. It is the dominant asset in a small business park.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0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Appraised Value</w:t>
            </w:r>
          </w:p>
        </w:tc>
        <w:tc>
          <w:tcPr>
            <w:tcW w:type="dxa" w:w="20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$/SF</w:t>
            </w:r>
          </w:p>
        </w:tc>
        <w:tc>
          <w:tcPr>
            <w:tcW w:type="dxa" w:w="20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Acres</w:t>
            </w:r>
          </w:p>
        </w:tc>
      </w:tr>
      <w:tr>
        <w:tc>
          <w:tcPr>
            <w:tcW w:type="dxa" w:w="312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648 Grassmere Park (Subject)</w:t>
            </w:r>
          </w:p>
        </w:tc>
        <w:tc>
          <w:tcPr>
            <w:tcW w:type="dxa" w:w="208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$37,400,600</w:t>
            </w:r>
          </w:p>
        </w:tc>
        <w:tc>
          <w:tcPr>
            <w:tcW w:type="dxa" w:w="208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$164.46</w:t>
            </w:r>
          </w:p>
        </w:tc>
        <w:tc>
          <w:tcPr>
            <w:tcW w:type="dxa" w:w="208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23.49</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636 Grassmere Park</w:t>
            </w:r>
          </w:p>
        </w:tc>
        <w:tc>
          <w:tcPr>
            <w:tcW w:type="dxa" w:w="2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$19,464,200</w:t>
            </w:r>
          </w:p>
        </w:tc>
        <w:tc>
          <w:tcPr>
            <w:tcW w:type="dxa" w:w="2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N/A</w:t>
            </w:r>
          </w:p>
        </w:tc>
        <w:tc>
          <w:tcPr>
            <w:tcW w:type="dxa" w:w="2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695 Grassmere Park</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$12,940,600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655 Grassmere Park</w:t>
            </w:r>
          </w:p>
        </w:tc>
        <w:tc>
          <w:tcPr>
            <w:tcW w:type="dxa" w:w="2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$9,094,000</w:t>
            </w:r>
          </w:p>
        </w:tc>
        <w:tc>
          <w:tcPr>
            <w:tcW w:type="dxa" w:w="2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N/A</w:t>
            </w:r>
          </w:p>
        </w:tc>
        <w:tc>
          <w:tcPr>
            <w:tcW w:type="dxa" w:w="2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658 Grassmere Park</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$9,056,200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bl>
    <w:p>
      <w:pPr>
        <w:pStyle w:val="Heading2"/>
        <w:spacing w:before="300" w:after="150"/>
      </w:pPr>
      <w:r>
        <w:rPr>
          <w:rFonts w:ascii="Arial" w:cs="Arial" w:eastAsia="Arial" w:hAnsi="Arial"/>
        </w:rPr>
        <w:t xml:space="preserve">2.4 Market Position</w:t>
      </w:r>
    </w:p>
    <w:p>
      <w:pPr>
        <w:spacing w:after="200" w:line="276"/>
      </w:pPr>
      <w:r>
        <w:rPr>
          <w:rFonts w:ascii="Arial" w:cs="Arial" w:eastAsia="Arial" w:hAnsi="Arial"/>
          <w:sz w:val="22"/>
          <w:szCs w:val="22"/>
        </w:rPr>
        <w:t xml:space="preserve">The subject property falls in the 200,000-300,000 SF size tier, which contains only 26 properties (1.1% of the Nashville office market). The average appraised value in this tier is $42.1 million. The subject's $37.4 million appraisal sits at 88.8% of the tier average. Among the 61 properties in the most comparable segment (75,000+ SF, built 1975-1995), the average appraised value per SF is $166.39 and the median is $138.16. The subject sits at $164.46/SF, placing it between the median and the mean. Local comparables in ZIP 37211 and CD-26 range from $156.19 to $184.80/SF, and the subject falls at the midpoint.</w:t>
      </w:r>
    </w:p>
    <w:p>
      <w:pPr>
        <w:spacing w:after="200" w:line="276"/>
      </w:pPr>
      <w:r>
        <w:rPr>
          <w:rFonts w:ascii="Arial" w:cs="Arial" w:eastAsia="Arial" w:hAnsi="Arial"/>
          <w:sz w:val="22"/>
          <w:szCs w:val="22"/>
        </w:rPr>
        <w:t xml:space="preserve">The subject is the largest office property in Council District 26 by a wide margin. Its $37.4 million appraised value is 23.5 times the median office property value in the district ($1.59 million). This concentration of value in a single asset underscores the stakes of the partnership's decision.</w:t>
      </w:r>
    </w:p>
    <w:p>
      <w:r>
        <w:br w:type="page"/>
      </w:r>
    </w:p>
    <w:p>
      <w:pPr>
        <w:pStyle w:val="Heading1"/>
        <w:spacing w:before="300" w:after="150"/>
      </w:pPr>
      <w:r>
        <w:rPr>
          <w:rFonts w:ascii="Arial" w:cs="Arial" w:eastAsia="Arial" w:hAnsi="Arial"/>
        </w:rPr>
        <w:t xml:space="preserve">3. Office Permit History: Key Findings</w:t>
      </w:r>
    </w:p>
    <w:p>
      <w:pPr>
        <w:pStyle w:val="Heading2"/>
        <w:spacing w:before="300" w:after="150"/>
      </w:pPr>
      <w:r>
        <w:rPr>
          <w:rFonts w:ascii="Arial" w:cs="Arial" w:eastAsia="Arial" w:hAnsi="Arial"/>
        </w:rPr>
        <w:t xml:space="preserve">3.1 Subject Property Permit Timeline</w:t>
      </w:r>
    </w:p>
    <w:p>
      <w:pPr>
        <w:spacing w:after="200" w:line="276"/>
      </w:pPr>
      <w:r>
        <w:rPr>
          <w:rFonts w:ascii="Arial" w:cs="Arial" w:eastAsia="Arial" w:hAnsi="Arial"/>
          <w:sz w:val="22"/>
          <w:szCs w:val="22"/>
        </w:rPr>
        <w:t xml:space="preserve">The subject property (APN 13300013500) has 12 permits in the General Office dataset spanning 2006 through 2021. All 12 are rehabilitation or tenant improvement permits. None involve new construction, expansion, or change of use. The three most significant permits by construction value are a $1,200,000 rehabilitation in November 2015, a $650,000 rehabilitation in September 2015, and a $250,000 rehabilitation in August 2021. The 2015 permits coincide with MarketStreet Grassmere's acquisition that year. The 2021 permit on the annex building (650 Grassmere Park) was the last recorded capital investment. No permits have been issued since 2021, consistent with the main building going vacant in 2022.</w:t>
      </w:r>
    </w:p>
    <w:p>
      <w:pPr>
        <w:pStyle w:val="Heading2"/>
        <w:spacing w:before="300" w:after="150"/>
      </w:pPr>
      <w:r>
        <w:rPr>
          <w:rFonts w:ascii="Arial" w:cs="Arial" w:eastAsia="Arial" w:hAnsi="Arial"/>
        </w:rPr>
        <w:t xml:space="preserve">3.2 Nashville Office Permit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Permits</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Permits</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Permits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335</w:t>
            </w:r>
          </w:p>
        </w:tc>
      </w:tr>
      <w:tr>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2007</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476</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2015</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493</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2022</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410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382</w:t>
            </w:r>
          </w:p>
        </w:tc>
      </w:tr>
      <w:tr>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2009</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290</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2017</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406</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2024</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333</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365</w:t>
            </w:r>
          </w:p>
        </w:tc>
      </w:tr>
      <w:tr>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2011</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342</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2019</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440</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2026*</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43</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2013</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374</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
            </w:r>
          </w:p>
        </w:tc>
      </w:tr>
    </w:tbl>
    <w:p>
      <w:pPr>
        <w:spacing w:after="200" w:line="276"/>
      </w:pPr>
      <w:r>
        <w:rPr>
          <w:rFonts w:ascii="Arial" w:cs="Arial" w:eastAsia="Arial" w:hAnsi="Arial"/>
          <w:sz w:val="22"/>
          <w:szCs w:val="22"/>
        </w:rPr>
        <w:t xml:space="preserve">The Nashville office permit market generated $5.17 billion in total construction value across 8,987 permits from 2006 through early 2026. The pre-2010 period produced 1,296 permits. The 2010-present period produced 6,453 permits, a 398% increase. Annual permit volume peaked in 2016 at 509 permits, declined through the pandemic year of 2020 (361 permits), and stabilized between 333 and 410 permits annually from 2022 through 2025. The top 20 permits by construction value are exclusively downtown Nashville addresses (37201, 37203, 37208), with values ranging from $44.7 million to $152.5 million. No South Nashville or suburban address appears in the top 20. This confirms that major capital investment in office has concentrated downtown, not in suburban locations like Grassmere.</w:t>
      </w:r>
    </w:p>
    <w:p>
      <w:pPr>
        <w:pStyle w:val="Heading2"/>
        <w:spacing w:before="300" w:after="150"/>
      </w:pPr>
      <w:r>
        <w:rPr>
          <w:rFonts w:ascii="Arial" w:cs="Arial" w:eastAsia="Arial" w:hAnsi="Arial"/>
        </w:rPr>
        <w:t xml:space="preserve">3.3 Local Permit Activity (ZIP 37211 and Grassmere)</w:t>
      </w:r>
    </w:p>
    <w:p>
      <w:pPr>
        <w:spacing w:after="200" w:line="276"/>
      </w:pPr>
      <w:r>
        <w:rPr>
          <w:rFonts w:ascii="Arial" w:cs="Arial" w:eastAsia="Arial" w:hAnsi="Arial"/>
          <w:sz w:val="22"/>
          <w:szCs w:val="22"/>
        </w:rPr>
        <w:t xml:space="preserve">ZIP 37211 generated 561 office permits across the full dataset period. Of those, 83 permits are on Grassmere Park Drive addresses. Grassmere Business Park properties with significant permit activity include 655 Grassmere Park ($1.37 million permit in 2006), 658 Grassmere Park (multiple tenant improvement permits), 624 Grassmere Park, and 601 Grassmere Park. The Metroplex Drive corridor in 37211 shows heavier activity, with 550 Metroplex Dr generating a $2.2 million permit in 2007 and 490 Metroplex Dr recording multiple permits across the period. The Perimeter Hill Drive cluster (3340, 3343 Perimeter Hill) also shows sustained permit activity. This local data confirms that the South Nashville/Grassmere submarket has maintained baseline office permit activity, though at far lower construction values than downtown.</w:t>
      </w:r>
    </w:p>
    <w:p>
      <w:r>
        <w:br w:type="page"/>
      </w:r>
    </w:p>
    <w:p>
      <w:pPr>
        <w:pStyle w:val="Heading1"/>
        <w:spacing w:before="300" w:after="150"/>
      </w:pPr>
      <w:r>
        <w:rPr>
          <w:rFonts w:ascii="Arial" w:cs="Arial" w:eastAsia="Arial" w:hAnsi="Arial"/>
        </w:rPr>
        <w:t xml:space="preserve">4. Office Conversion Trends: Key Findings</w:t>
      </w:r>
    </w:p>
    <w:p>
      <w:pPr>
        <w:spacing w:after="200" w:line="276"/>
      </w:pPr>
      <w:r>
        <w:rPr>
          <w:rFonts w:ascii="Arial" w:cs="Arial" w:eastAsia="Arial" w:hAnsi="Arial"/>
          <w:sz w:val="22"/>
          <w:szCs w:val="22"/>
        </w:rPr>
        <w:t xml:space="preserve">The Former Office Permits dataset isolates 3,424 permits on parcels whose current land use is no longer classified as office. These parcels converted to 71 distinct land use categories. The table below shows the top 12 conversion categories with their IWD entitlement pathway (P = Permitted by right, SE = Special Exception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1400"/>
        <w:gridCol w:w="1400"/>
        <w:gridCol w:w="126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Current Use</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 of Total</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12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IWD Path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 Shopping Center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Retail</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Business Center</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304</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8.9%</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Commercial</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Vacant Commercial Land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Vacant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Terminal/Distribution Warehouse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239</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Industrial</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Condo Office / Commercial Condo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General Retail Store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147</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4.3%</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Retail</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Shopping Center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Retail</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Small Warehouse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109</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3.2%</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Industrial</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Manufacturing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Industrial</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Hotel/Motel</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93</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2.7%</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Hospitality</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Apartment: High Rise (3+ stories)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Residential</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Single Family</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71</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2.1%</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Residential</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N/A</w:t>
            </w:r>
          </w:p>
        </w:tc>
      </w:tr>
    </w:tbl>
    <w:p>
      <w:pPr>
        <w:pStyle w:val="Heading2"/>
        <w:spacing w:before="300" w:after="150"/>
      </w:pPr>
      <w:r>
        <w:rPr>
          <w:rFonts w:ascii="Arial" w:cs="Arial" w:eastAsia="Arial" w:hAnsi="Arial"/>
        </w:rPr>
        <w:t xml:space="preserve">4.1 Conversion Patterns</w:t>
      </w:r>
    </w:p>
    <w:p>
      <w:pPr>
        <w:spacing w:after="200" w:line="276"/>
      </w:pPr>
      <w:r>
        <w:rPr>
          <w:rFonts w:ascii="Arial" w:cs="Arial" w:eastAsia="Arial" w:hAnsi="Arial"/>
          <w:sz w:val="22"/>
          <w:szCs w:val="22"/>
        </w:rPr>
        <w:t xml:space="preserve">The dominant conversion path is retail. Strip shopping centers (12.0%), general retail stores (4.3%), and shopping centers (4.2%) collectively account for 20.5% of all conversions. Industrial conversions rank second: terminal/distribution warehouses (7.0%), small warehouses (3.2%), and light manufacturing (3.1%) together account for 13.3%. Residential conversions are less common: high-rise apartments (2.4%) and single family (2.1%) total 4.5%. Business centers (8.9%) represent office-to-office conversions where the parcel's land use code changed but the building remained some form of commercial office.</w:t>
      </w:r>
    </w:p>
    <w:p>
      <w:pPr>
        <w:spacing w:after="200" w:line="276"/>
      </w:pPr>
      <w:r>
        <w:rPr>
          <w:rFonts w:ascii="Arial" w:cs="Arial" w:eastAsia="Arial" w:hAnsi="Arial"/>
          <w:sz w:val="22"/>
          <w:szCs w:val="22"/>
        </w:rPr>
        <w:t xml:space="preserve">The retail and industrial conversion paths are both permitted by right under IWD zoning. Residential (apartment high-rise) requires a Special Exception from the Board of Zoning Appeals. This is a critical distinction for Scenario 3: the most common market-proven conversions from aging office align with IWD-permitted uses, while residential conversion adds regulatory risk and timeline.</w:t>
      </w:r>
    </w:p>
    <w:p>
      <w:pPr>
        <w:pStyle w:val="Heading2"/>
        <w:spacing w:before="300" w:after="150"/>
      </w:pPr>
      <w:r>
        <w:rPr>
          <w:rFonts w:ascii="Arial" w:cs="Arial" w:eastAsia="Arial" w:hAnsi="Arial"/>
        </w:rPr>
        <w:t xml:space="preserve">4.2 Grassmere Area Conversions</w:t>
      </w:r>
    </w:p>
    <w:p>
      <w:pPr>
        <w:spacing w:after="200" w:line="276"/>
      </w:pPr>
      <w:r>
        <w:rPr>
          <w:rFonts w:ascii="Arial" w:cs="Arial" w:eastAsia="Arial" w:hAnsi="Arial"/>
          <w:sz w:val="22"/>
          <w:szCs w:val="22"/>
        </w:rPr>
        <w:t xml:space="preserve">ZIP 37211 contains 324 former office permits. Fifty of those are on Grassmere Park Drive addresses. The dominant conversion type on Grassmere is business center, indicating that former office parcels in the park have shifted to multi-tenant commercial configurations rather than demolition-and-rebuild. Nearby conversions in 37211 include light manufacturing (Fairground Court), small warehouse (Winford Avenue), general retail (Melrose Avenue), and business center (Melrose Avenue). The local conversion pattern favors commercial and light industrial reuse over residential.</w:t>
      </w:r>
    </w:p>
    <w:p>
      <w:r>
        <w:br w:type="page"/>
      </w:r>
    </w:p>
    <w:p>
      <w:pPr>
        <w:pStyle w:val="Heading1"/>
        <w:spacing w:before="300" w:after="150"/>
      </w:pPr>
      <w:r>
        <w:rPr>
          <w:rFonts w:ascii="Arial" w:cs="Arial" w:eastAsia="Arial" w:hAnsi="Arial"/>
        </w:rPr>
        <w:t xml:space="preserve">5. Board of Zoning Appeals: Key Findings</w:t>
      </w:r>
    </w:p>
    <w:p>
      <w:pPr>
        <w:spacing w:after="200" w:line="276"/>
      </w:pPr>
      <w:r>
        <w:rPr>
          <w:rFonts w:ascii="Arial" w:cs="Arial" w:eastAsia="Arial" w:hAnsi="Arial"/>
          <w:sz w:val="22"/>
          <w:szCs w:val="22"/>
        </w:rPr>
        <w:t xml:space="preserve">The BZA dataset contains 325 cases. Of these, 223 (68.6%) expired without action, 70 (21.5%) reached a done/completed status, and 24 (7.4%) were withdrawn. Only one case in the dataset carries a status of granted.</w:t>
      </w:r>
    </w:p>
    <w:p>
      <w:pPr>
        <w:pStyle w:val="Heading2"/>
        <w:spacing w:before="300" w:after="150"/>
      </w:pPr>
      <w:r>
        <w:rPr>
          <w:rFonts w:ascii="Arial" w:cs="Arial" w:eastAsia="Arial" w:hAnsi="Arial"/>
        </w:rPr>
        <w:t xml:space="preserve">5.1 Grassmere Precedents</w:t>
      </w:r>
    </w:p>
    <w:p>
      <w:pPr>
        <w:spacing w:after="200" w:line="276"/>
      </w:pPr>
      <w:r>
        <w:rPr>
          <w:rFonts w:ascii="Arial" w:cs="Arial" w:eastAsia="Arial" w:hAnsi="Arial"/>
          <w:sz w:val="22"/>
          <w:szCs w:val="22"/>
        </w:rPr>
        <w:t xml:space="preserve">Zero BZA cases in the dataset are located on Grassmere Park Drive. This means no property in Grassmere Business Park has sought a variance, special exception, or zoning appeal through the BZA during the period covered by this data. The absence of BZA activity on Grassmere cuts two ways. On one hand, it suggests the park has operated within its existing zoning without conflict. On the other hand, it means there are no local precedents for a special exception approval that could de-risk a Scenario 3 use requiring BZA action (such as multi-family residential under IWD).</w:t>
      </w:r>
    </w:p>
    <w:p>
      <w:pPr>
        <w:pStyle w:val="Heading2"/>
        <w:spacing w:before="300" w:after="150"/>
      </w:pPr>
      <w:r>
        <w:rPr>
          <w:rFonts w:ascii="Arial" w:cs="Arial" w:eastAsia="Arial" w:hAnsi="Arial"/>
        </w:rPr>
        <w:t xml:space="preserve">5.2 Keyword Analysis</w:t>
      </w:r>
    </w:p>
    <w:p>
      <w:pPr>
        <w:spacing w:after="200" w:line="276"/>
      </w:pPr>
      <w:r>
        <w:rPr>
          <w:rFonts w:ascii="Arial" w:cs="Arial" w:eastAsia="Arial" w:hAnsi="Arial"/>
          <w:sz w:val="22"/>
          <w:szCs w:val="22"/>
        </w:rPr>
        <w:t xml:space="preserve">A keyword search of all 325 BZA project scope descriptions produced the following results. Nine cases reference multi-family development, primarily involving setback special exceptions for townhome and apartment projects on RM20 parcels. Twenty-six cases reference residential uses in various contexts. Six cases reference storage facilities. One case references IWD zoning, involving a helistop transportation special exception. Fourteen cases reference office in their scope descriptions, mostly involving conversions of former schools or churches to office/classroom use. Zero cases reference data center, film studio, or production facility. The BZA caseload skews toward residential setback variances and nonconforming use changes, not industrial or commercial conversions.</w:t>
      </w:r>
    </w:p>
    <w:p>
      <w:r>
        <w:br w:type="page"/>
      </w:r>
    </w:p>
    <w:p>
      <w:pPr>
        <w:pStyle w:val="Heading1"/>
        <w:spacing w:before="300" w:after="150"/>
      </w:pPr>
      <w:r>
        <w:rPr>
          <w:rFonts w:ascii="Arial" w:cs="Arial" w:eastAsia="Arial" w:hAnsi="Arial"/>
        </w:rPr>
        <w:t xml:space="preserve">6. IWD Zoning History: Key Findings</w:t>
      </w:r>
    </w:p>
    <w:p>
      <w:pPr>
        <w:spacing w:after="200" w:line="276"/>
      </w:pPr>
      <w:r>
        <w:rPr>
          <w:rFonts w:ascii="Arial" w:cs="Arial" w:eastAsia="Arial" w:hAnsi="Arial"/>
          <w:sz w:val="22"/>
          <w:szCs w:val="22"/>
        </w:rPr>
        <w:t xml:space="preserve">The IWD Zoning Parcels History dataset contains 2,942 records covering 2,926 unique parcels. Of these, 2,297 (78.5%) carry active IWD zoning and 645 (22.0%) carry inactive IWD zoning. The subject property (ParcelID 215200) holds active IWD zoning, effective January 1, 1998, under Ordinance O96-555. Prior to 1998, the property was zoned CG (Commercial General, effective 1983) and before that R10 (Residential, effective 1974).</w:t>
      </w:r>
    </w:p>
    <w:p>
      <w:pPr>
        <w:pStyle w:val="Heading2"/>
        <w:spacing w:before="300" w:after="150"/>
      </w:pPr>
      <w:r>
        <w:rPr>
          <w:rFonts w:ascii="Arial" w:cs="Arial" w:eastAsia="Arial" w:hAnsi="Arial"/>
        </w:rPr>
        <w:t xml:space="preserve">6.1 IWD Rezoning Activity</w:t>
      </w:r>
    </w:p>
    <w:p>
      <w:pPr>
        <w:spacing w:after="200" w:line="276"/>
      </w:pPr>
      <w:r>
        <w:rPr>
          <w:rFonts w:ascii="Arial" w:cs="Arial" w:eastAsia="Arial" w:hAnsi="Arial"/>
          <w:sz w:val="22"/>
          <w:szCs w:val="22"/>
        </w:rPr>
        <w:t xml:space="preserve">The 645 inactive IWD records represent parcels that were rezoned away from IWD at some point. This 22% inactivity rate indicates that roughly one in five IWD parcels in Davidson County has successfully transitioned to a different zoning classification. This is a meaningful precedent for Scenario 3 alternatives that require rezoning. However, the data does not specify what zoning district replaced IWD on those 645 parcels, so further analysis using the full parcel dataset would be needed to determine whether those rezonings moved to residential (SP, RM), commercial (CS, CL), or mixed-use (MUL, MUN) districts.</w:t>
      </w:r>
    </w:p>
    <w:p>
      <w:pPr>
        <w:pStyle w:val="Heading2"/>
        <w:spacing w:before="300" w:after="150"/>
      </w:pPr>
      <w:r>
        <w:rPr>
          <w:rFonts w:ascii="Arial" w:cs="Arial" w:eastAsia="Arial" w:hAnsi="Arial"/>
        </w:rPr>
        <w:t xml:space="preserve">6.2 Implications for the Subject Property</w:t>
      </w:r>
    </w:p>
    <w:p>
      <w:pPr>
        <w:spacing w:after="200" w:line="276"/>
      </w:pPr>
      <w:r>
        <w:rPr>
          <w:rFonts w:ascii="Arial" w:cs="Arial" w:eastAsia="Arial" w:hAnsi="Arial"/>
          <w:sz w:val="22"/>
          <w:szCs w:val="22"/>
        </w:rPr>
        <w:t xml:space="preserve">The subject property's IWD zoning permits a wide range of commercial and industrial uses by right, including warehousing, distribution, light manufacturing, retail, office, hotel/motel, and various commercial amusements. Multi-family residential requires a Special Exception from the BZA. Any use not listed in the IWD district land use table would require a full rezoning through Metro Council. The 22% historical inactivity rate among IWD parcels suggests that rezoning from IWD is achievable but not automatic. The absence of BZA cases on Grassmere means there are no local precedents for special exception approvals in this immediate area.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Grassmere Business Park Case Study | Data Appendix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057"/>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4057"/>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A6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2026-02-14T00:58:56.366Z</dcterms:created>
  <dcterms:modified xsi:type="dcterms:W3CDTF">2026-02-14T00:58:56.366Z</dcterms:modified>
</cp:coreProperties>
</file>

<file path=docProps/custom.xml><?xml version="1.0" encoding="utf-8"?>
<Properties xmlns="http://schemas.openxmlformats.org/officeDocument/2006/custom-properties" xmlns:vt="http://schemas.openxmlformats.org/officeDocument/2006/docPropsVTypes"/>
</file>