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4E79"/>
          <w:sz w:val="36"/>
          <w:szCs w:val="36"/>
        </w:rPr>
        <w:t xml:space="preserve">Scenario 1: Sell Property As-Is</w:t>
      </w:r>
    </w:p>
    <w:p>
      <w:pPr>
        <w:spacing w:after="60"/>
      </w:pPr>
      <w:r>
        <w:rPr>
          <w:rFonts w:ascii="Arial" w:cs="Arial" w:eastAsia="Arial" w:hAnsi="Arial"/>
          <w:i/>
          <w:iCs/>
          <w:sz w:val="24"/>
          <w:szCs w:val="24"/>
        </w:rPr>
        <w:t xml:space="preserve">648 &amp; 650 Grassmere Park Drive, Nashville, TN 37211</w:t>
      </w:r>
    </w:p>
    <w:p>
      <w:pPr>
        <w:pBdr>
          <w:bottom w:val="single" w:color="1F4E79" w:sz="6" w:space="1"/>
        </w:pBdr>
        <w:spacing w:after="200"/>
      </w:pPr>
      <w:r>
        <w:rPr>
          <w:rFonts w:ascii="Arial" w:cs="Arial" w:eastAsia="Arial" w:hAnsi="Arial"/>
          <w:color w:val="666666"/>
          <w:sz w:val="20"/>
          <w:szCs w:val="20"/>
        </w:rPr>
        <w:t xml:space="preserve">MGT 6438 Final Project  |  Spring 2026</w:t>
      </w:r>
    </w:p>
    <w:p>
      <w:pPr>
        <w:pStyle w:val="Heading1"/>
        <w:spacing w:before="240" w:after="120"/>
      </w:pPr>
      <w:r>
        <w:rPr>
          <w:rFonts w:ascii="Arial" w:cs="Arial" w:eastAsia="Arial" w:hAnsi="Arial"/>
          <w:b/>
          <w:bCs/>
          <w:sz w:val="22"/>
          <w:szCs w:val="22"/>
        </w:rPr>
        <w:t xml:space="preserve">Executive Summary</w:t>
      </w:r>
    </w:p>
    <w:p>
      <w:pPr>
        <w:spacing w:after="200"/>
      </w:pPr>
      <w:r>
        <w:rPr>
          <w:rFonts w:ascii="Arial" w:cs="Arial" w:eastAsia="Arial" w:hAnsi="Arial"/>
          <w:sz w:val="22"/>
          <w:szCs w:val="22"/>
        </w:rPr>
        <w:t xml:space="preserve">MarketStreet Grassmere, CO acquired the 224,199 SF office complex at 648 Grassmere Park in June 2015 for $25,938,000 ($115.69/SF). The main building (162,550 SF, three stories) has stood vacant since 2022. The single remaining tenant, Asurion, occupies the 61,649 SF annex under a lease expiring March 2027 with no expected renewal. A $16,252,413 interest-only loan matures in December 2029, creating a hard deadline for action. Scenario 1 evaluates an immediate sale of the property as-is and concludes that while no sale price in the realistic range covers the original equity investment, the base case produces net proceeds sufficient to retire the outstanding debt with a modest surplus, making this the lowest-risk exit path.</w:t>
      </w:r>
    </w:p>
    <w:p>
      <w:pPr>
        <w:pStyle w:val="Heading1"/>
        <w:spacing w:before="240" w:after="120"/>
      </w:pPr>
      <w:r>
        <w:rPr>
          <w:rFonts w:ascii="Arial" w:cs="Arial" w:eastAsia="Arial" w:hAnsi="Arial"/>
          <w:b/>
          <w:bCs/>
          <w:sz w:val="22"/>
          <w:szCs w:val="22"/>
        </w:rPr>
        <w:t xml:space="preserve">Capital Structure: Corrected Loan Data</w:t>
      </w:r>
    </w:p>
    <w:p>
      <w:pPr>
        <w:spacing w:after="200"/>
      </w:pPr>
      <w:r>
        <w:rPr>
          <w:rFonts w:ascii="Arial" w:cs="Arial" w:eastAsia="Arial" w:hAnsi="Arial"/>
          <w:sz w:val="22"/>
          <w:szCs w:val="22"/>
        </w:rPr>
        <w:t xml:space="preserve">Exhibit G identifies the outstanding loan as $16,252,413, originated November 5, 2024, with a December 2029 maturity. The loan is interest-only for 60 months, indexed to 3-Month SOFR plus a 450-basis-point spread. At closing, SOFR stood at 4.43%, producing an all-in rate of 8.93% and annual debt service of approximately $1,451,340. This figure supersedes the $25,938,000 loan balance assumed in the prior version of the pro forma, which erroneously equated the 2015 acquisition price with the current outstanding debt. The corrected balance reduces the breakeven sale price from approximately $120/SF to approximately $78/SF, a material difference that shifts the feasibility of every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Metric</w:t>
            </w:r>
          </w:p>
        </w:tc>
        <w:tc>
          <w:tcPr>
            <w:tcW w:type="dxa" w:w="27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Prior Assumption</w:t>
            </w:r>
          </w:p>
        </w:tc>
        <w:tc>
          <w:tcPr>
            <w:tcW w:type="dxa" w:w="27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Corrected (Exh. 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Loan Balance</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$25,938,000</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Interest Rate</w:t>
            </w:r>
          </w:p>
        </w:tc>
        <w:tc>
          <w:tcPr>
            <w:tcW w:type="dxa" w:w="2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6.5%</w:t>
            </w:r>
          </w:p>
        </w:tc>
        <w:tc>
          <w:tcPr>
            <w:tcW w:type="dxa" w:w="2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8.93% (SOFR+450)</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Annual Debt Service</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$1,685,970</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$1,451,340</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Breakeven $/SF</w:t>
            </w:r>
          </w:p>
        </w:tc>
        <w:tc>
          <w:tcPr>
            <w:tcW w:type="dxa" w:w="2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~$120/SF</w:t>
            </w:r>
          </w:p>
        </w:tc>
        <w:tc>
          <w:tcPr>
            <w:tcW w:type="dxa" w:w="2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~$78/SF</w:t>
            </w:r>
          </w:p>
        </w:tc>
      </w:tr>
    </w:tbl>
    <w:p>
      <w:pPr>
        <w:spacing w:before="200" w:after="200"/>
      </w:pPr>
    </w:p>
    <w:p>
      <w:pPr>
        <w:pStyle w:val="Heading1"/>
        <w:spacing w:before="240" w:after="120"/>
      </w:pPr>
      <w:r>
        <w:rPr>
          <w:rFonts w:ascii="Arial" w:cs="Arial" w:eastAsia="Arial" w:hAnsi="Arial"/>
          <w:b/>
          <w:bCs/>
          <w:sz w:val="22"/>
          <w:szCs w:val="22"/>
        </w:rPr>
        <w:t xml:space="preserve">Comparable Sales Evidence</w:t>
      </w:r>
    </w:p>
    <w:p>
      <w:pPr>
        <w:spacing w:after="200"/>
      </w:pPr>
      <w:r>
        <w:rPr>
          <w:rFonts w:ascii="Arial" w:cs="Arial" w:eastAsia="Arial" w:hAnsi="Arial"/>
          <w:sz w:val="22"/>
          <w:szCs w:val="22"/>
        </w:rPr>
        <w:t xml:space="preserve">We assembled 20 comparable sales from the Davidson County office market, scored each against the subject on six criteria (zoning match, vintage, building size, submarket proximity, sale recency, and building type), and organized them into three tiers. The most relevant comps for an as-is sale are distressed or value-add suburban office properties in the $54 to $107/SF range. Two occupied Grassmere Park properties (636 Grassmere at $236/SF and 200 Athens Way at $146/SF) set the ceiling, but neither reflects the subject’s 73% vacancy rate or near-term lease rollover.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60"/>
        <w:gridCol w:w="1400"/>
        <w:gridCol w:w="1000"/>
        <w:gridCol w:w="2200"/>
      </w:tblGrid>
      <w:tr>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Comparable</w:t>
            </w:r>
          </w:p>
        </w:tc>
        <w:tc>
          <w:tcPr>
            <w:tcW w:type="dxa" w:w="111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$/SF</w:t>
            </w:r>
          </w:p>
        </w:tc>
        <w:tc>
          <w:tcPr>
            <w:tcW w:type="dxa" w:w="111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Year</w:t>
            </w:r>
          </w:p>
        </w:tc>
        <w:tc>
          <w:tcPr>
            <w:tcW w:type="dxa" w:w="111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SF</w:t>
            </w:r>
          </w:p>
        </w:tc>
        <w:tc>
          <w:tcPr>
            <w:tcW w:type="dxa" w:w="111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Built</w:t>
            </w:r>
          </w:p>
        </w:tc>
        <w:tc>
          <w:tcPr>
            <w:tcW w:type="dxa" w:w="111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400 Deaderick St</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$54</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2025</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295,914</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1985</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CBD distressed floor</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41 Rachel Dr</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$70</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2025</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157,262</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1992</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Suburban distressed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3343 Perimeter Hill</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$72</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2018</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73,352</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1985</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Value-add suburban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100 Centerview Dr</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$78</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2025</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248,573</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1984</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Size match, suburban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424 Church (resale)</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$85</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2025</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647,732</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1985</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CBD distressed resale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1321 Murfreesboro</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$97</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2021</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189,836</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1987</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South Nash corridor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1 Burton Hills</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$98</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2025</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121,968</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1985</w:t>
            </w:r>
          </w:p>
        </w:tc>
        <w:tc>
          <w:tcPr>
            <w:tcW w:type="dxa" w:w="111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Same vintage suburban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215 Cumberland Bnd</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$107</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2020</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101,124</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1980</w:t>
            </w:r>
          </w:p>
        </w:tc>
        <w:tc>
          <w:tcPr>
            <w:tcW w:type="dxa" w:w="11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IWD zoning match</w:t>
            </w:r>
          </w:p>
        </w:tc>
      </w:tr>
      <w:tr>
        <w:tc>
          <w:tcPr>
            <w:tcW w:type="dxa" w:w="3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636 Grassmere Park</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$236</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2022</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63,474</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1985</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Same park (occupied)</w:t>
            </w:r>
          </w:p>
        </w:tc>
      </w:tr>
      <w:tr>
        <w:tc>
          <w:tcPr>
            <w:tcW w:type="dxa" w:w="3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200 Athens Way</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$146</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2019</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246,151</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1985</w:t>
            </w:r>
          </w:p>
        </w:tc>
        <w:tc>
          <w:tcPr>
            <w:tcW w:type="dxa" w:w="1112"/>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IWD (occupied)</w:t>
            </w:r>
          </w:p>
        </w:tc>
      </w:tr>
    </w:tbl>
    <w:p>
      <w:pPr>
        <w:spacing w:before="200" w:after="200"/>
      </w:pPr>
      <w:r>
        <w:rPr>
          <w:rFonts w:ascii="Arial" w:cs="Arial" w:eastAsia="Arial" w:hAnsi="Arial"/>
          <w:sz w:val="22"/>
          <w:szCs w:val="22"/>
        </w:rPr>
        <w:t xml:space="preserve">The distressed suburban comp average is $79/SF. Adding the IWD-zoned comps that traded with occupancy pushes the full average to $104/SF. A buyer underwriting the subject would discount heavily from the occupied comps to account for the vacant main building, near-term Asurion rollover, CC&amp;R restrictions through 2033, and the single access point via Trousdale Drive.</w:t>
      </w:r>
    </w:p>
    <w:p>
      <w:pPr>
        <w:pStyle w:val="Heading1"/>
        <w:spacing w:before="240" w:after="120"/>
      </w:pPr>
      <w:r>
        <w:rPr>
          <w:rFonts w:ascii="Arial" w:cs="Arial" w:eastAsia="Arial" w:hAnsi="Arial"/>
          <w:b/>
          <w:bCs/>
          <w:sz w:val="22"/>
          <w:szCs w:val="22"/>
        </w:rPr>
        <w:t xml:space="preserve">Sale Price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800"/>
        <w:gridCol w:w="2160"/>
      </w:tblGrid>
      <w:tr>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Scenario</w:t>
            </w:r>
          </w:p>
        </w:tc>
        <w:tc>
          <w:tcPr>
            <w:tcW w:type="dxa" w:w="139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$/SF</w:t>
            </w:r>
          </w:p>
        </w:tc>
        <w:tc>
          <w:tcPr>
            <w:tcW w:type="dxa" w:w="139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Gross Price</w:t>
            </w:r>
          </w:p>
        </w:tc>
        <w:tc>
          <w:tcPr>
            <w:tcW w:type="dxa" w:w="139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Net Proceeds</w:t>
            </w:r>
          </w:p>
        </w:tc>
        <w:tc>
          <w:tcPr>
            <w:tcW w:type="dxa" w:w="139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After Debt</w:t>
            </w:r>
          </w:p>
        </w:tc>
      </w:tr>
      <w:tr>
        <w:tc>
          <w:tcPr>
            <w:tcW w:type="dxa" w:w="38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spacing w:before="40" w:after="40"/>
              <w:jc w:val="left"/>
            </w:pPr>
            <w:r>
              <w:rPr>
                <w:rFonts w:ascii="Arial" w:cs="Arial" w:eastAsia="Arial" w:hAnsi="Arial"/>
                <w:b/>
                <w:bCs/>
                <w:sz w:val="20"/>
                <w:szCs w:val="20"/>
              </w:rPr>
              <w:t xml:space="preserve">Low Case</w:t>
            </w:r>
          </w:p>
        </w:tc>
        <w:tc>
          <w:tcPr>
            <w:tcW w:type="dxa" w:w="139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$65</w:t>
            </w:r>
          </w:p>
        </w:tc>
        <w:tc>
          <w:tcPr>
            <w:tcW w:type="dxa" w:w="139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$14,572,935</w:t>
            </w:r>
          </w:p>
        </w:tc>
        <w:tc>
          <w:tcPr>
            <w:tcW w:type="dxa" w:w="139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$13,438,491</w:t>
            </w:r>
          </w:p>
        </w:tc>
        <w:tc>
          <w:tcPr>
            <w:tcW w:type="dxa" w:w="139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($2,813,922)</w:t>
            </w:r>
          </w:p>
        </w:tc>
      </w:tr>
      <w:tr>
        <w:tc>
          <w:tcPr>
            <w:tcW w:type="dxa" w:w="3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left"/>
            </w:pPr>
            <w:r>
              <w:rPr>
                <w:rFonts w:ascii="Arial" w:cs="Arial" w:eastAsia="Arial" w:hAnsi="Arial"/>
                <w:b/>
                <w:bCs/>
                <w:sz w:val="20"/>
                <w:szCs w:val="20"/>
              </w:rPr>
              <w:t xml:space="preserve">Base Case</w:t>
            </w:r>
          </w:p>
        </w:tc>
        <w:tc>
          <w:tcPr>
            <w:tcW w:type="dxa" w:w="139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$85</w:t>
            </w:r>
          </w:p>
        </w:tc>
        <w:tc>
          <w:tcPr>
            <w:tcW w:type="dxa" w:w="139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$19,056,915</w:t>
            </w:r>
          </w:p>
        </w:tc>
        <w:tc>
          <w:tcPr>
            <w:tcW w:type="dxa" w:w="139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$17,832,792</w:t>
            </w:r>
          </w:p>
        </w:tc>
        <w:tc>
          <w:tcPr>
            <w:tcW w:type="dxa" w:w="139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$1,580,379</w:t>
            </w:r>
          </w:p>
        </w:tc>
      </w:tr>
      <w:tr>
        <w:tc>
          <w:tcPr>
            <w:tcW w:type="dxa" w:w="3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left"/>
            </w:pPr>
            <w:r>
              <w:rPr>
                <w:rFonts w:ascii="Arial" w:cs="Arial" w:eastAsia="Arial" w:hAnsi="Arial"/>
                <w:b/>
                <w:bCs/>
                <w:sz w:val="20"/>
                <w:szCs w:val="20"/>
              </w:rPr>
              <w:t xml:space="preserve">High Case</w:t>
            </w:r>
          </w:p>
        </w:tc>
        <w:tc>
          <w:tcPr>
            <w:tcW w:type="dxa" w:w="139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$115</w:t>
            </w:r>
          </w:p>
        </w:tc>
        <w:tc>
          <w:tcPr>
            <w:tcW w:type="dxa" w:w="139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$25,782,885</w:t>
            </w:r>
          </w:p>
        </w:tc>
        <w:tc>
          <w:tcPr>
            <w:tcW w:type="dxa" w:w="139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$24,414,847</w:t>
            </w:r>
          </w:p>
        </w:tc>
        <w:tc>
          <w:tcPr>
            <w:tcW w:type="dxa" w:w="139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$8,162,434</w:t>
            </w:r>
          </w:p>
        </w:tc>
      </w:tr>
    </w:tbl>
    <w:p>
      <w:pPr>
        <w:spacing w:before="200" w:after="80"/>
      </w:pPr>
      <w:r>
        <w:rPr>
          <w:rFonts w:ascii="Arial" w:cs="Arial" w:eastAsia="Arial" w:hAnsi="Arial"/>
          <w:b/>
          <w:bCs/>
          <w:sz w:val="22"/>
          <w:szCs w:val="22"/>
        </w:rPr>
        <w:t xml:space="preserve">Low Case ($65/SF):</w:t>
      </w:r>
    </w:p>
    <w:p>
      <w:pPr>
        <w:spacing w:after="120"/>
      </w:pPr>
      <w:r>
        <w:rPr>
          <w:rFonts w:ascii="Arial" w:cs="Arial" w:eastAsia="Arial" w:hAnsi="Arial"/>
          <w:sz w:val="22"/>
          <w:szCs w:val="22"/>
        </w:rPr>
        <w:t xml:space="preserve">Assumes a forced or time-constrained sale with limited buyer competition. Aligns with 400 Deaderick ($54/SF) and 41 Rachel Dr ($70/SF). At this price, net proceeds fall $2.8M short of the loan balance, requiring the owner to bring capital to close.</w:t>
      </w:r>
    </w:p>
    <w:p>
      <w:pPr>
        <w:spacing w:after="80"/>
      </w:pPr>
      <w:r>
        <w:rPr>
          <w:rFonts w:ascii="Arial" w:cs="Arial" w:eastAsia="Arial" w:hAnsi="Arial"/>
          <w:b/>
          <w:bCs/>
          <w:sz w:val="22"/>
          <w:szCs w:val="22"/>
        </w:rPr>
        <w:t xml:space="preserve">Base Case ($85/SF):</w:t>
      </w:r>
    </w:p>
    <w:p>
      <w:pPr>
        <w:spacing w:after="120"/>
      </w:pPr>
      <w:r>
        <w:rPr>
          <w:rFonts w:ascii="Arial" w:cs="Arial" w:eastAsia="Arial" w:hAnsi="Arial"/>
          <w:sz w:val="22"/>
          <w:szCs w:val="22"/>
        </w:rPr>
        <w:t xml:space="preserve">Supported by the 424 Church resale ($85/SF) and bracketed by 100 Centerview ($78/SF) and 1 Burton Hills ($98/SF). Net proceeds of $17.8M cover the $16.25M loan with a $1.6M surplus. This represents a significant loss on the original $25.9M equity investment but eliminates the debt overhang and stops ongoing negative cash flow.</w:t>
      </w:r>
    </w:p>
    <w:p>
      <w:pPr>
        <w:spacing w:after="80"/>
      </w:pPr>
      <w:r>
        <w:rPr>
          <w:rFonts w:ascii="Arial" w:cs="Arial" w:eastAsia="Arial" w:hAnsi="Arial"/>
          <w:b/>
          <w:bCs/>
          <w:sz w:val="22"/>
          <w:szCs w:val="22"/>
        </w:rPr>
        <w:t xml:space="preserve">High Case ($115/SF):</w:t>
      </w:r>
    </w:p>
    <w:p>
      <w:pPr>
        <w:spacing w:after="200"/>
      </w:pPr>
      <w:r>
        <w:rPr>
          <w:rFonts w:ascii="Arial" w:cs="Arial" w:eastAsia="Arial" w:hAnsi="Arial"/>
          <w:sz w:val="22"/>
          <w:szCs w:val="22"/>
        </w:rPr>
        <w:t xml:space="preserve">Near the 2015 acquisition basis of $116/SF. Requires competitive bidding, likely from a warehouse or data center developer attracted by the IWD zoning and 23.5-acre site. Net proceeds of $24.4M comfortably retire the loan with an $8.2M surplus, though this still represents a loss relative to total equity invested over the hold period.</w:t>
      </w:r>
    </w:p>
    <w:p>
      <w:pPr>
        <w:pStyle w:val="Heading1"/>
        <w:spacing w:before="240" w:after="120"/>
      </w:pPr>
      <w:r>
        <w:rPr>
          <w:rFonts w:ascii="Arial" w:cs="Arial" w:eastAsia="Arial" w:hAnsi="Arial"/>
          <w:b/>
          <w:bCs/>
          <w:sz w:val="22"/>
          <w:szCs w:val="22"/>
        </w:rPr>
        <w:t xml:space="preserve">Income Approach Cross-Check</w:t>
      </w:r>
    </w:p>
    <w:p>
      <w:pPr>
        <w:spacing w:after="200"/>
      </w:pPr>
      <w:r>
        <w:rPr>
          <w:rFonts w:ascii="Arial" w:cs="Arial" w:eastAsia="Arial" w:hAnsi="Arial"/>
          <w:sz w:val="22"/>
          <w:szCs w:val="22"/>
        </w:rPr>
        <w:t xml:space="preserve">Capitalizing the Asurion annex income provides a floor value independent of the sales comparison approach. At $1,047,633 annual rent, a 35% expense ratio yields annex NOI of approximately $680,961. Applying an 8.5% cap rate produces an income-approach value of $8,011,306, or $36/SF on the total building. This figure confirms that buyers pricing solely on in-place income would bid well below the comp-supported range, reinforcing that any sale above $65/SF requires a buyer underwriting redevelopment potential, not current income.</w:t>
      </w:r>
    </w:p>
    <w:p>
      <w:pPr>
        <w:pStyle w:val="Heading1"/>
        <w:spacing w:before="240" w:after="120"/>
      </w:pPr>
      <w:r>
        <w:rPr>
          <w:rFonts w:ascii="Arial" w:cs="Arial" w:eastAsia="Arial" w:hAnsi="Arial"/>
          <w:b/>
          <w:bCs/>
          <w:sz w:val="22"/>
          <w:szCs w:val="22"/>
        </w:rPr>
        <w:t xml:space="preserve">Sensitivity Analysis</w:t>
      </w:r>
    </w:p>
    <w:p>
      <w:pPr>
        <w:spacing w:after="120"/>
      </w:pPr>
      <w:r>
        <w:rPr>
          <w:rFonts w:ascii="Arial" w:cs="Arial" w:eastAsia="Arial" w:hAnsi="Arial"/>
          <w:sz w:val="22"/>
          <w:szCs w:val="22"/>
        </w:rPr>
        <w:t xml:space="preserve">The breakeven sale price, the point at which net proceeds exactly cover the $16.25M loan after selling costs and six months of carry, is approximately $78/SF. This sits within the distressed comp range, meaning even a below-market sale has a reasonable probability of covering the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930"/>
        <w:gridCol w:w="1930"/>
      </w:tblGrid>
      <w:tr>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$/SF</w:t>
            </w:r>
          </w:p>
        </w:tc>
        <w:tc>
          <w:tcPr>
            <w:tcW w:type="dxa" w:w="139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Gross Proceeds</w:t>
            </w:r>
          </w:p>
        </w:tc>
        <w:tc>
          <w:tcPr>
            <w:tcW w:type="dxa" w:w="139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Net Proceeds</w:t>
            </w:r>
          </w:p>
        </w:tc>
        <w:tc>
          <w:tcPr>
            <w:tcW w:type="dxa" w:w="139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Less Debt</w:t>
            </w:r>
          </w:p>
        </w:tc>
        <w:tc>
          <w:tcPr>
            <w:tcW w:type="dxa" w:w="139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spacing w:before="40" w:after="40"/>
              <w:jc w:val="center"/>
            </w:pPr>
            <w:r>
              <w:rPr>
                <w:rFonts w:ascii="Arial" w:cs="Arial" w:eastAsia="Arial" w:hAnsi="Arial"/>
                <w:b/>
                <w:bCs/>
                <w:color w:val="FFFFFF"/>
                <w:sz w:val="20"/>
                <w:szCs w:val="20"/>
              </w:rPr>
              <w:t xml:space="preserve">Surplus/(Short)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$50</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$11,209,950</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$10,142,766</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($6,109,647)</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$65</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$14,572,935</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$13,438,491</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($2,813,922)</w:t>
            </w:r>
          </w:p>
        </w:tc>
      </w:tr>
      <w:tr>
        <w:tc>
          <w:tcPr>
            <w:tcW w:type="dxa" w:w="3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$78</w:t>
            </w:r>
          </w:p>
        </w:tc>
        <w:tc>
          <w:tcPr>
            <w:tcW w:type="dxa" w:w="139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$17,487,522</w:t>
            </w:r>
          </w:p>
        </w:tc>
        <w:tc>
          <w:tcPr>
            <w:tcW w:type="dxa" w:w="139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c>
          <w:tcPr>
            <w:tcW w:type="dxa" w:w="139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c>
          <w:tcPr>
            <w:tcW w:type="dxa" w:w="139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$0</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$85</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$19,056,915</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$17,832,792</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$1,580,379</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$100</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$22,419,900</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$21,128,517</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$4,876,104</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$115</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$25,782,885</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$24,414,847</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c>
          <w:tcPr>
            <w:tcW w:type="dxa" w:w="13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$8,162,434</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left"/>
            </w:pPr>
            <w:r>
              <w:rPr>
                <w:rFonts w:ascii="Arial" w:cs="Arial" w:eastAsia="Arial" w:hAnsi="Arial"/>
                <w:sz w:val="20"/>
                <w:szCs w:val="20"/>
              </w:rPr>
              <w:t xml:space="preserve">$130</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$29,145,870</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$27,719,968</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($16,252,413)</w:t>
            </w:r>
          </w:p>
        </w:tc>
        <w:tc>
          <w:tcPr>
            <w:tcW w:type="dxa" w:w="139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40" w:after="40"/>
              <w:jc w:val="center"/>
            </w:pPr>
            <w:r>
              <w:rPr>
                <w:rFonts w:ascii="Arial" w:cs="Arial" w:eastAsia="Arial" w:hAnsi="Arial"/>
                <w:sz w:val="20"/>
                <w:szCs w:val="20"/>
              </w:rPr>
              <w:t xml:space="preserve">$11,467,555</w:t>
            </w:r>
          </w:p>
        </w:tc>
      </w:tr>
    </w:tbl>
    <w:p>
      <w:pPr>
        <w:spacing w:before="200" w:after="200"/>
      </w:pPr>
    </w:p>
    <w:p>
      <w:pPr>
        <w:pStyle w:val="Heading1"/>
        <w:spacing w:before="240" w:after="120"/>
      </w:pPr>
      <w:r>
        <w:rPr>
          <w:rFonts w:ascii="Arial" w:cs="Arial" w:eastAsia="Arial" w:hAnsi="Arial"/>
          <w:b/>
          <w:bCs/>
          <w:sz w:val="22"/>
          <w:szCs w:val="22"/>
        </w:rPr>
        <w:t xml:space="preserve">Conclusion and Recommendation</w:t>
      </w:r>
    </w:p>
    <w:p>
      <w:pPr>
        <w:spacing w:after="200"/>
      </w:pPr>
      <w:r>
        <w:rPr>
          <w:rFonts w:ascii="Arial" w:cs="Arial" w:eastAsia="Arial" w:hAnsi="Arial"/>
          <w:sz w:val="22"/>
          <w:szCs w:val="22"/>
        </w:rPr>
        <w:t xml:space="preserve">Scenario 1 delivers the fastest resolution with the least capital at risk. The property generates negative cash flow every month it remains in the current owner’s portfolio, the main building has no realistic path to re-tenanting at rents that cover operating costs, and the December 2029 loan maturity compresses the timeline for any alternative strategy. At the base case of $85/SF, the owner recovers enough to retire the loan with a modest surplus while avoiding the $9.5M-plus capital outlay and 24-month execution risk embedded in Scenarios 2 and 3. The key risk is achieving less than $78/SF, which would require the owner to fund a shortfall at closing. Listing the property immediately with a 6-month marketing period and targeting IWD-zoned land buyers, warehouse operators, and data center developers maximizes the probability of reaching or exceeding the base case.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1"/>
      </w:pBdr>
    </w:pPr>
    <w:r>
      <w:rPr>
        <w:rFonts w:ascii="Arial" w:cs="Arial" w:eastAsia="Arial" w:hAnsi="Arial"/>
        <w:color w:val="999999"/>
        <w:sz w:val="16"/>
        <w:szCs w:val="16"/>
      </w:rPr>
      <w:t xml:space="preserve">648 Grassmere Park  |  Scenario 1: Sell As-Is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2026-02-17T23:11:10.389Z</dcterms:created>
  <dcterms:modified xsi:type="dcterms:W3CDTF">2026-02-17T23:11:10.390Z</dcterms:modified>
</cp:coreProperties>
</file>

<file path=docProps/custom.xml><?xml version="1.0" encoding="utf-8"?>
<Properties xmlns="http://schemas.openxmlformats.org/officeDocument/2006/custom-properties" xmlns:vt="http://schemas.openxmlformats.org/officeDocument/2006/docPropsVTypes"/>
</file>