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Garamond" w:hAnsi="Garamond"/>
          <w:b/>
          <w:sz w:val="28"/>
        </w:rPr>
        <w:t>WHO BUILDS NASHVILLE?</w:t>
      </w:r>
    </w:p>
    <w:p>
      <w:pPr>
        <w:jc w:val="center"/>
      </w:pPr>
      <w:r>
        <w:rPr>
          <w:rFonts w:ascii="Garamond" w:hAnsi="Garamond"/>
          <w:i/>
          <w:sz w:val="24"/>
        </w:rPr>
        <w:t>Build-to-Rent, the Statute's Open Door, and the Institutionalization of New Single-Family Housing in Davidson County</w:t>
      </w:r>
    </w:p>
    <w:p>
      <w:pPr>
        <w:jc w:val="center"/>
      </w:pPr>
      <w:r>
        <w:rPr>
          <w:rFonts w:ascii="Garamond" w:hAnsi="Garamond"/>
          <w:i/>
          <w:sz w:val="22"/>
        </w:rPr>
        <w:t>By Natalie Baldacci</w:t>
      </w:r>
    </w:p>
    <w:p>
      <w:pPr>
        <w:spacing w:line="480" w:lineRule="auto" w:before="0" w:after="0"/>
        <w:ind w:firstLine="720"/>
      </w:pPr>
      <w:r>
        <w:rPr>
          <w:rFonts w:ascii="Garamond" w:hAnsi="Garamond"/>
          <w:i/>
        </w:rPr>
        <w:t>Part III of the series</w:t>
      </w:r>
      <w:r>
        <w:rPr>
          <w:rFonts w:ascii="Garamond" w:hAnsi="Garamond"/>
        </w:rPr>
        <w:t xml:space="preserve"> Who Owns Nashville? Wall Street's Quiet Takeover of a City's Housing Market</w:t>
      </w:r>
    </w:p>
    <w:p>
      <w:pPr>
        <w:pStyle w:val="Heading1"/>
        <w:spacing w:before="360"/>
      </w:pPr>
      <w:r>
        <w:t>INTRODUCTION</w:t>
      </w:r>
    </w:p>
    <w:p>
      <w:pPr>
        <w:spacing w:line="480" w:lineRule="auto" w:before="0" w:after="0"/>
        <w:ind w:firstLine="720"/>
      </w:pPr>
      <w:r>
        <w:rPr>
          <w:rFonts w:ascii="Garamond" w:hAnsi="Garamond"/>
        </w:rPr>
        <w:t>On December 30, 2025, VineBrook Homes recorded a $24.5 million deed for Hamilton Crossing, taking one hundred six townhome parcels from the community's builder, Century Communities, in a single transaction, fifty-nine of them already built and none ever listed.</w:t>
      </w:r>
      <w:r>
        <w:rPr>
          <w:rStyle w:val="FootnoteReference"/>
        </w:rPr>
        <w:footnoteReference w:id="1"/>
      </w:r>
      <w:r>
        <w:rPr>
          <w:rFonts w:ascii="Garamond" w:hAnsi="Garamond"/>
        </w:rPr>
        <w:t xml:space="preserve"> No family bid on those houses. They entered the county's housing stock as rentals the way a hotel enters the stock as rooms, built for an operator, delivered at completion, tenanted from the first month. A decade ago that transaction shape barely existed in Davidson County. This Part measures how it became a principal channel of the county's new single-family supply, and why the federal statute at the center of this series is the reason to expect its growth rather than its restraint.</w:t>
      </w:r>
    </w:p>
    <w:p>
      <w:pPr>
        <w:spacing w:line="480" w:lineRule="auto" w:before="0" w:after="0"/>
        <w:ind w:firstLine="720"/>
      </w:pPr>
      <w:r>
        <w:rPr>
          <w:rFonts w:ascii="Garamond" w:hAnsi="Garamond"/>
        </w:rPr>
        <w:t>The national background gives the local record its scale. After the 2008 foreclosure crisis, federal policy choices jump-started a new asset class, first through bulk auctions of foreclosed homes and then through institutional bidding on ordinary resale inventory.</w:t>
      </w:r>
      <w:r>
        <w:rPr>
          <w:rStyle w:val="FootnoteReference"/>
        </w:rPr>
        <w:footnoteReference w:id="2"/>
      </w:r>
      <w:r>
        <w:rPr>
          <w:rFonts w:ascii="Garamond" w:hAnsi="Garamond"/>
        </w:rPr>
        <w:t xml:space="preserve"> Between 2012 and 2022, single-family rental homes owned by institutional investors climbed more than 900 percent, from roughly 40,000 to 415,000.</w:t>
      </w:r>
      <w:r>
        <w:rPr>
          <w:rStyle w:val="FootnoteReference"/>
        </w:rPr>
        <w:footnoteReference w:id="3"/>
      </w:r>
      <w:r>
        <w:rPr>
          <w:rFonts w:ascii="Garamond" w:hAnsi="Garamond"/>
        </w:rPr>
        <w:t xml:space="preserve"> That first wave bought homes that already existed. The second wave builds them. Build-to-rent operators construct new single-family homes and hold them as rentals from the start, in communities designed for centralized management, with no arm's-length sale to an owner-occupant anywhere in the chain of title.</w:t>
      </w:r>
      <w:r>
        <w:rPr>
          <w:rStyle w:val="FootnoteReference"/>
        </w:rPr>
        <w:footnoteReference w:id="4"/>
      </w:r>
      <w:r>
        <w:rPr>
          <w:rFonts w:ascii="Garamond" w:hAnsi="Garamond"/>
        </w:rPr>
        <w:t xml:space="preserve"> The product remains a small slice of the standing national rental stock, roughly 350,000 of 23 million single-family rental units, but the flow tells a different story: built-for-rent construction ran near a 2.7 percent share of single-family starts from 1992 through 2012 and reached 8 percent on the most recent four-quarter measure, with industry estimates adding roughly another five percent of starts for homes built for sale and sold to landlords.</w:t>
      </w:r>
      <w:r>
        <w:rPr>
          <w:rStyle w:val="FootnoteReference"/>
        </w:rPr>
        <w:footnoteReference w:id="5"/>
      </w:r>
      <w:r>
        <w:rPr>
          <w:rFonts w:ascii="Garamond" w:hAnsi="Garamond"/>
        </w:rPr>
        <w:t xml:space="preserve"> Standing inventory and annual flow are different measures, and the two must not be conflated.</w:t>
      </w:r>
    </w:p>
    <w:p>
      <w:pPr>
        <w:spacing w:line="480" w:lineRule="auto" w:before="0" w:after="0"/>
        <w:ind w:firstLine="720"/>
      </w:pPr>
      <w:r>
        <w:rPr>
          <w:rFonts w:ascii="Garamond" w:hAnsi="Garamond"/>
        </w:rPr>
        <w:t>The statute gives the question its stakes. The 21st Century ROAD to Housing Act became law on July 11, 2026, without the President's signature.</w:t>
      </w:r>
      <w:r>
        <w:rPr>
          <w:rStyle w:val="FootnoteReference"/>
        </w:rPr>
        <w:footnoteReference w:id="6"/>
      </w:r>
      <w:r>
        <w:rPr>
          <w:rFonts w:ascii="Garamond" w:hAnsi="Garamond"/>
        </w:rPr>
        <w:t xml:space="preserve"> Section 1001, Homes Are for People, Not Corporations, bars a for-profit entity controlling 350 or more single-family homes from purchasing another. It then excepts several categories of purchase, and the build-to-rent exception is the broadest. Section 1001(a)(2)(B) permits a covered operator to purchase, construct, or construct and retain newly constructed single-family homes "to be managed as a rental property," in communities exclusively rented or mixed.</w:t>
      </w:r>
      <w:r>
        <w:rPr>
          <w:rStyle w:val="FootnoteReference"/>
        </w:rPr>
        <w:footnoteReference w:id="7"/>
      </w:r>
      <w:r>
        <w:rPr>
          <w:rFonts w:ascii="Garamond" w:hAnsi="Garamond"/>
        </w:rPr>
        <w:t xml:space="preserve"> A covered operator barred from buying an existing home may build and hold new single-family rentals without limit, without a holding period, and without any condition beyond the rental purpose. Build-to-rent collapses the developer and the landlord into one entity, so the home reaches the operator's portfolio without ever entering the for-sale market. New construction is the channel the statute leaves open, and in Davidson County it is the faster-growing one.</w:t>
      </w:r>
    </w:p>
    <w:p>
      <w:pPr>
        <w:spacing w:line="480" w:lineRule="auto" w:before="0" w:after="0"/>
        <w:ind w:firstLine="720"/>
      </w:pPr>
      <w:r>
        <w:rPr>
          <w:rFonts w:ascii="Garamond" w:hAnsi="Garamond"/>
        </w:rPr>
        <w:t>This Part is the third in a series that traces institutional single-family housing backward through the development lifecycle. Part I mapped who owns the standing stock: 16,615 entity-owned homes in a framework universe of 205,933 parcels, roughly 3,940 of them held by named national operators.</w:t>
      </w:r>
      <w:r>
        <w:rPr>
          <w:rStyle w:val="FootnoteReference"/>
        </w:rPr>
        <w:footnoteReference w:id="8"/>
      </w:r>
      <w:r>
        <w:rPr>
          <w:rFonts w:ascii="Garamond" w:hAnsi="Garamond"/>
        </w:rPr>
        <w:t xml:space="preserve"> Part II examined who rents it. This Part steps back to the house's origin, the construction stage, where the parcel becomes a dwelling and where the statute's ban gives way to its exception. The Part pursues three objectives. First, it identifies the builders, the integrated operator-builders, and the pipelines that connect them. Second, it assesses how § 1001(a)(2)(A) through (C) apply to that conduct. Third, it investigates the harm this Part owns: supply diversion, the routing of new construction away from the for-sale market and into rental portfolios before a family can bid.</w:t>
      </w:r>
    </w:p>
    <w:p>
      <w:pPr>
        <w:spacing w:line="480" w:lineRule="auto" w:before="0" w:after="0"/>
        <w:ind w:firstLine="720"/>
      </w:pPr>
      <w:r>
        <w:rPr>
          <w:rFonts w:ascii="Garamond" w:hAnsi="Garamond"/>
        </w:rPr>
        <w:t>The findings preview in one walk. Sixteen percent of the county's standing non-owner-occupied one- and two-unit homes arrived through the build-to-rent channel, a stock measure (Finding 1). On the permit flow, build-to-rent did not exist before 2013 and reached 7.27 percent of the county's 2025 single-family permits, 199 of 2,739 on the Census Building Permits Survey count (also Finding 1). Two patterns divide the record: one operator builds its own subdivisions, and the rest capture builders' subdivisions decades later (Finding 2). The subdivisions they capture were built by an industry that consolidated away from local hands, from a 48.9 percent local share of institutional construction in 2015 to 12.3 percent a decade later (Finding 2). The current pipeline holds 1,537 platted lots across 73 communities under fourteen operators, arriving through four delivery models (Finding 2). And the pipeline is invisible to the statute's own definitions while the county's tax roll marks it precisely (Finding 3). In this paper, we trace the county's new single-family supply from the permit to the operator. First, we establish the builders and the build-to-rent model. Second, we set out the Act's construction-stage framework. Next, we turn to Nashville as the case study. Then, we state the research questions, data, and methods, and present the findings, the discussion, and recommendations. The Conclusion carries the walk one stage further back, to the land.</w:t>
      </w:r>
    </w:p>
    <w:p>
      <w:pPr>
        <w:pStyle w:val="Heading1"/>
        <w:spacing w:before="360"/>
      </w:pPr>
      <w:r>
        <w:t>1. Background on the Builders</w:t>
      </w:r>
    </w:p>
    <w:p>
      <w:pPr>
        <w:pStyle w:val="Heading2"/>
      </w:pPr>
      <w:r>
        <w:t>A. What Is the Build-to-Rent Business Model?</w:t>
      </w:r>
    </w:p>
    <w:p>
      <w:pPr>
        <w:spacing w:line="480" w:lineRule="auto" w:before="0" w:after="0"/>
        <w:ind w:firstLine="720"/>
      </w:pPr>
      <w:r>
        <w:rPr>
          <w:rFonts w:ascii="Garamond" w:hAnsi="Garamond"/>
        </w:rPr>
        <w:t>Institutional homebuilding predates the corporate landlord by more than half a century. Large-scale homebuilding in the United States emerged with the postwar housing boom, when wartime production techniques, federal mortgage programs, and surging suburban demand let builders construct entire tract-home communities for suburban buyers. Levitt &amp; Sons pioneered mass production and built 17,447 homes in Levittown, New York between 1947 and 1951.</w:t>
      </w:r>
      <w:r>
        <w:rPr>
          <w:rStyle w:val="FootnoteReference"/>
        </w:rPr>
        <w:footnoteReference w:id="9"/>
      </w:r>
      <w:r>
        <w:rPr>
          <w:rFonts w:ascii="Garamond" w:hAnsi="Garamond"/>
        </w:rPr>
        <w:t xml:space="preserve"> For most of the twentieth century the industry stayed fragmented and local, with thousands of small builders. By the 1980s, publicly traded builders such as D.R. Horton (founded 1978) and Lennar (founded 1954) operated as national enterprises, integrating land acquisition, construction, and mortgage origination into unified business models tied to public debt and equity.</w:t>
      </w:r>
      <w:r>
        <w:rPr>
          <w:rStyle w:val="FootnoteReference"/>
        </w:rPr>
        <w:footnoteReference w:id="10"/>
      </w:r>
    </w:p>
    <w:p>
      <w:pPr>
        <w:spacing w:line="480" w:lineRule="auto" w:before="0" w:after="0"/>
        <w:ind w:firstLine="720"/>
      </w:pPr>
      <w:r>
        <w:rPr>
          <w:rFonts w:ascii="Garamond" w:hAnsi="Garamond"/>
        </w:rPr>
        <w:t>The corporate landlord arrived from the other direction. Institutional single-family investors emerged from the 2007 to 2009 financial crisis, bulk-purchasing foreclosed homes at auction and converting them to rentals under the Federal Housing Finance Agency's 2012 REO-to-Rental Initiative.</w:t>
      </w:r>
      <w:r>
        <w:rPr>
          <w:rStyle w:val="FootnoteReference"/>
        </w:rPr>
        <w:footnoteReference w:id="11"/>
      </w:r>
      <w:r>
        <w:rPr>
          <w:rFonts w:ascii="Garamond" w:hAnsi="Garamond"/>
        </w:rPr>
        <w:t xml:space="preserve"> In late 2011, no single investor owned more than 1,000 homes. By 2022, institutional investors controlled roughly 450,000 single-family rentals nationwide.</w:t>
      </w:r>
      <w:r>
        <w:rPr>
          <w:rStyle w:val="FootnoteReference"/>
        </w:rPr>
        <w:footnoteReference w:id="12"/>
      </w:r>
      <w:r>
        <w:rPr>
          <w:rFonts w:ascii="Garamond" w:hAnsi="Garamond"/>
        </w:rPr>
        <w:t xml:space="preserve"> As foreclosure inventory dwindled, the sector consolidated: eight firms issued the first wave's rental securitizations between 2013 and 2015, and by 2025 a handful of platforms held most of the institutional stock.</w:t>
      </w:r>
      <w:r>
        <w:rPr>
          <w:rStyle w:val="FootnoteReference"/>
        </w:rPr>
        <w:footnoteReference w:id="13"/>
      </w:r>
    </w:p>
    <w:p>
      <w:pPr>
        <w:spacing w:line="480" w:lineRule="auto" w:before="0" w:after="0"/>
        <w:ind w:firstLine="720"/>
      </w:pPr>
      <w:r>
        <w:rPr>
          <w:rFonts w:ascii="Garamond" w:hAnsi="Garamond"/>
        </w:rPr>
        <w:t>Build-to-rent is where the two industries merge. Builders once sold homes to owner-occupants; some now construct entire subdivisions for lease, selling them in bulk to landlords or renting them through partnerships. Landlords once bought existing homes; some now commission or construct their own communities. Industry trackers place built-for-rent construction at between five and ten percent of new single-family starts nationally in the early 2020s, and completions concentrate in Phoenix, Dallas-Fort Worth, Atlanta, Austin, and Charlotte, the same Sun Belt metros that absorbed the first wave's securitized acquisitions.</w:t>
      </w:r>
      <w:r>
        <w:rPr>
          <w:rStyle w:val="FootnoteReference"/>
        </w:rPr>
        <w:footnoteReference w:id="14"/>
      </w:r>
    </w:p>
    <w:p>
      <w:pPr>
        <w:spacing w:line="480" w:lineRule="auto" w:before="0" w:after="0"/>
        <w:ind w:firstLine="720"/>
      </w:pPr>
      <w:r>
        <w:rPr>
          <w:rFonts w:ascii="Garamond" w:hAnsi="Garamond"/>
        </w:rPr>
        <w:t>The model changes what a tenant occupies and what the public record shows. A built-for-rent home is designed for rental occupancy from the moment the permit is filed, sits inside a community engineered for centralized management, and reaches the operator's balance sheet with no sale to an owner-occupant in its history. It is rental stock at origin. Operators reach the product through four delivery structures, and one question separates them: who owns the land while the homes go up.</w:t>
      </w:r>
      <w:r>
        <w:rPr>
          <w:rStyle w:val="FootnoteReference"/>
        </w:rPr>
        <w:footnoteReference w:id="15"/>
      </w:r>
      <w:r>
        <w:rPr>
          <w:rFonts w:ascii="Garamond" w:hAnsi="Garamond"/>
        </w:rPr>
        <w:t xml:space="preserve"> The vertically integrated operator builds, holds, and manages its own homes. The contractor model puts the rental investor on the land and hires a builder. The partnership model puts the builder on the land, which presells the finished homes to an investor who posts a deposit. The one-off sale model takes homes a builder built to sell and disposes of them in bulk to a rental operator. Whole communities enter the rental stock as new supply under the first three. Under the fourth, a builder that platted homes for individual sale converts them to rental instead, which diverts supply rather than adding it.</w:t>
      </w:r>
    </w:p>
    <w:p>
      <w:pPr>
        <w:spacing w:line="480" w:lineRule="auto" w:before="0" w:after="0"/>
        <w:ind w:firstLine="720"/>
      </w:pPr>
      <w:r>
        <w:rPr>
          <w:rFonts w:ascii="Garamond" w:hAnsi="Garamond"/>
        </w:rPr>
        <w:t>A second structural shift runs beneath the delivery models: the builders went land-light. Public homebuilders owned about 64 percent of their lots in 2017 and about 26 percent more recently, moving land onto option contracts and third-party land banks so that controlled inventory replaced owned inventory on the balance sheet.</w:t>
      </w:r>
      <w:r>
        <w:rPr>
          <w:rStyle w:val="FootnoteReference"/>
        </w:rPr>
        <w:footnoteReference w:id="16"/>
      </w:r>
      <w:r>
        <w:rPr>
          <w:rFonts w:ascii="Garamond" w:hAnsi="Garamond"/>
        </w:rPr>
        <w:t xml:space="preserve"> Lennar's 2025 spin-off of Millrose Properties turned the strategy into a freestanding public company that holds land for the builder to option back. The starter home meanwhile collapsed as a share of new construction, to a single-digit share today, about half its rate in the early 2000s.</w:t>
      </w:r>
      <w:r>
        <w:rPr>
          <w:rStyle w:val="FootnoteReference"/>
        </w:rPr>
        <w:footnoteReference w:id="17"/>
      </w:r>
      <w:r>
        <w:rPr>
          <w:rFonts w:ascii="Garamond" w:hAnsi="Garamond"/>
        </w:rPr>
        <w:t xml:space="preserve"> The builder that once carried land and built entry-level product for buyers now controls land through intermediaries and, at the margin, routes entry-level product to rental operators.</w:t>
      </w:r>
    </w:p>
    <w:p>
      <w:pPr>
        <w:pStyle w:val="Heading2"/>
      </w:pPr>
      <w:r>
        <w:t>B. Who Are the Key Players?</w:t>
      </w:r>
    </w:p>
    <w:p>
      <w:pPr>
        <w:spacing w:line="480" w:lineRule="auto" w:before="0" w:after="0"/>
        <w:ind w:firstLine="720"/>
      </w:pPr>
      <w:r>
        <w:rPr>
          <w:rFonts w:ascii="Garamond" w:hAnsi="Garamond"/>
        </w:rPr>
        <w:t>Roughly two dozen homebuilders trade on U.S. exchanges. D.R. Horton closed 87,168 homes in 2025, Lennar 82,583, PulteGroup 29,572, NVR 21,915, and Meritage 15,026 (Appendix Table III.4).</w:t>
      </w:r>
      <w:r>
        <w:rPr>
          <w:rStyle w:val="FootnoteReference"/>
        </w:rPr>
        <w:footnoteReference w:id="18"/>
      </w:r>
      <w:r>
        <w:rPr>
          <w:rFonts w:ascii="Garamond" w:hAnsi="Garamond"/>
        </w:rPr>
        <w:t xml:space="preserve"> The largest institutional landlords operate at comparable scale: Progress Residential manages roughly 94,000 homes, Invitation Homes about 85,000, Tricon (including Home Partners of America) and American Homes 4 Rent about 60,000 each, and FirstKey about 48,000.</w:t>
      </w:r>
      <w:r>
        <w:rPr>
          <w:rStyle w:val="FootnoteReference"/>
        </w:rPr>
        <w:footnoteReference w:id="19"/>
      </w:r>
    </w:p>
    <w:p>
      <w:pPr>
        <w:spacing w:line="480" w:lineRule="auto" w:before="0" w:after="0"/>
        <w:ind w:firstLine="720"/>
      </w:pPr>
      <w:r>
        <w:rPr>
          <w:rFonts w:ascii="Garamond" w:hAnsi="Garamond"/>
        </w:rPr>
        <w:t>Both sides moved into build-to-rent. D.R. Horton's rental operations sold 6,175 newly built single-family rental homes in fiscal 2023 and 3,970 in fiscal 2024, for $2.0 billion and $1.2 billion.</w:t>
      </w:r>
      <w:r>
        <w:rPr>
          <w:rStyle w:val="FootnoteReference"/>
        </w:rPr>
        <w:footnoteReference w:id="20"/>
      </w:r>
      <w:r>
        <w:rPr>
          <w:rFonts w:ascii="Garamond" w:hAnsi="Garamond"/>
        </w:rPr>
        <w:t xml:space="preserve"> Lennar formed the Upward America Venture in 2021 with $1.25 billion of equity led by Centerbridge Partners to buy more than $4 billion of new homes and townhomes, from Lennar and other builders, for rent.</w:t>
      </w:r>
      <w:r>
        <w:rPr>
          <w:rStyle w:val="FootnoteReference"/>
        </w:rPr>
        <w:footnoteReference w:id="21"/>
      </w:r>
      <w:r>
        <w:rPr>
          <w:rFonts w:ascii="Garamond" w:hAnsi="Garamond"/>
        </w:rPr>
        <w:t xml:space="preserve"> From the landlord side, American Homes 4 Rent launched its development program in 2017, built 2,317 new rental homes in 2023, delivered its 10,000th built home in July 2024, and now ranks as the 35th largest homebuilder in the country by closings, the only company on both lists.</w:t>
      </w:r>
      <w:r>
        <w:rPr>
          <w:rStyle w:val="FootnoteReference"/>
        </w:rPr>
        <w:footnoteReference w:id="22"/>
      </w:r>
      <w:r>
        <w:rPr>
          <w:rFonts w:ascii="Garamond" w:hAnsi="Garamond"/>
        </w:rPr>
        <w:t xml:space="preserve"> Tricon committed $950 million of equity across two joint ventures with the Arizona State Retirement System, $450 million in 2019 and $500 million in 2022, to acquire or construct rental homes.</w:t>
      </w:r>
      <w:r>
        <w:rPr>
          <w:rStyle w:val="FootnoteReference"/>
        </w:rPr>
        <w:footnoteReference w:id="23"/>
      </w:r>
      <w:r>
        <w:rPr>
          <w:rFonts w:ascii="Garamond" w:hAnsi="Garamond"/>
        </w:rPr>
        <w:t xml:space="preserve"> Invitation Homes sourced all 368 of its wholly owned fourth-quarter 2025 acquisitions from homebuilders, and nearly all of its 2,410 acquisitions for the year.</w:t>
      </w:r>
      <w:r>
        <w:rPr>
          <w:rStyle w:val="FootnoteReference"/>
        </w:rPr>
        <w:footnoteReference w:id="24"/>
      </w:r>
      <w:r>
        <w:rPr>
          <w:rFonts w:ascii="Garamond" w:hAnsi="Garamond"/>
        </w:rPr>
        <w:t xml:space="preserve"> The structural bridge between the two industries is now ordinary business on both sides of it.</w:t>
      </w:r>
    </w:p>
    <w:p>
      <w:pPr>
        <w:pStyle w:val="Heading2"/>
      </w:pPr>
      <w:r>
        <w:t>C. What Issues Do These Players Raise?</w:t>
      </w:r>
    </w:p>
    <w:p>
      <w:pPr>
        <w:spacing w:line="480" w:lineRule="auto" w:before="0" w:after="0"/>
        <w:ind w:firstLine="720"/>
      </w:pPr>
      <w:r>
        <w:rPr>
          <w:rFonts w:ascii="Garamond" w:hAnsi="Garamond"/>
        </w:rPr>
        <w:t>Supply diversion is the harm this Part owns, and it is the homeownership seam of the series. The debate is whether the built-for-rent product adds rental supply or diverts for-sale supply. This Part shows the mechanism that reproduces the loss the ban was meant to prevent: each home built for rent is a home not built for sale, and when the diversion happens at the permit rather than the closing, it happens inside the statute's exception rather than against its prohibition.</w:t>
      </w:r>
      <w:r>
        <w:rPr>
          <w:rStyle w:val="FootnoteReference"/>
        </w:rPr>
        <w:footnoteReference w:id="25"/>
      </w:r>
    </w:p>
    <w:p>
      <w:pPr>
        <w:pStyle w:val="Heading2"/>
      </w:pPr>
      <w:r>
        <w:t>D. Who Is Impacted, and Through What Outcomes?</w:t>
      </w:r>
    </w:p>
    <w:p>
      <w:pPr>
        <w:spacing w:line="480" w:lineRule="auto" w:before="0" w:after="0"/>
        <w:ind w:firstLine="720"/>
      </w:pPr>
      <w:r>
        <w:rPr>
          <w:rFonts w:ascii="Garamond" w:hAnsi="Garamond"/>
        </w:rPr>
        <w:t>The impacted party is the prospective homebuyer, and the outcome is tenure. The homeownership-effects literature is consistent that institutional conversion of owner-occupied stock lowered local homeownership rates and fell hardest on Black prospective buyers.</w:t>
      </w:r>
      <w:r>
        <w:rPr>
          <w:rStyle w:val="FootnoteReference"/>
        </w:rPr>
        <w:footnoteReference w:id="26"/>
      </w:r>
      <w:r>
        <w:rPr>
          <w:rFonts w:ascii="Garamond" w:hAnsi="Garamond"/>
        </w:rPr>
        <w:t xml:space="preserve"> The build-to-rent channel produces the same tenure outcome without any conversion event for a statute to police. The house never belonged to anyone. The other harms belong to other Parts. Part I reported homeownership loss as aggregate context. Part II showed the tenant-side harms Congress targeted. Part IV takes up the land held before building, and Part V the capital behind it.</w:t>
      </w:r>
    </w:p>
    <w:p>
      <w:pPr>
        <w:pStyle w:val="Heading1"/>
        <w:spacing w:before="360"/>
      </w:pPr>
      <w:r>
        <w:t>2. The 21st Century Housing Act Framework</w:t>
      </w:r>
    </w:p>
    <w:p>
      <w:pPr>
        <w:pStyle w:val="Heading2"/>
      </w:pPr>
      <w:r>
        <w:t>A. Provisions Applicable</w:t>
      </w:r>
    </w:p>
    <w:p>
      <w:pPr>
        <w:spacing w:line="480" w:lineRule="auto" w:before="0" w:after="0"/>
        <w:ind w:firstLine="720"/>
      </w:pPr>
      <w:r>
        <w:rPr>
          <w:rFonts w:ascii="Garamond" w:hAnsi="Garamond"/>
        </w:rPr>
        <w:t>Section 1001(b) prohibits a large institutional investor, defined at (a)(3) as a for-profit entity with investment control of 350 or more single-family homes, from purchasing another single-family home. Section 1001(a)(4) defines "purchase" broadly, reaching construction; without more, an investor that broke ground on a new rental home would violate the ban at completion.</w:t>
      </w:r>
      <w:r>
        <w:rPr>
          <w:rStyle w:val="FootnoteReference"/>
        </w:rPr>
        <w:footnoteReference w:id="27"/>
      </w:r>
      <w:r>
        <w:rPr>
          <w:rFonts w:ascii="Garamond" w:hAnsi="Garamond"/>
        </w:rPr>
        <w:t xml:space="preserve"> Subsection (a)(2) then enumerates the excepted purchases, and three of them govern the construction stage.</w:t>
      </w:r>
    </w:p>
    <w:p>
      <w:pPr>
        <w:spacing w:line="480" w:lineRule="auto" w:before="0" w:after="0"/>
        <w:ind w:firstLine="720"/>
      </w:pPr>
      <w:r>
        <w:rPr>
          <w:rFonts w:ascii="Garamond" w:hAnsi="Garamond"/>
        </w:rPr>
        <w:t>Section 1001(a)(2)(A) excepts the build-for-sale channel. An investor may construct, renovate, or convert a property provided the ultimate disposition is a for-sale transaction and the home is not rented as a residence while awaiting sale. This protects the traditional homebuilder pipeline: a large builder that qualifies as a large institutional investor may still build and sell to owner-occupants. The for-sale requirement is the limiting condition.</w:t>
      </w:r>
      <w:r>
        <w:rPr>
          <w:rStyle w:val="FootnoteReference"/>
        </w:rPr>
        <w:footnoteReference w:id="28"/>
      </w:r>
    </w:p>
    <w:p>
      <w:pPr>
        <w:spacing w:line="480" w:lineRule="auto" w:before="0" w:after="0"/>
        <w:ind w:firstLine="720"/>
      </w:pPr>
      <w:r>
        <w:rPr>
          <w:rFonts w:ascii="Garamond" w:hAnsi="Garamond"/>
        </w:rPr>
        <w:t>Section 1001(a)(2)(B) excepts build-to-rent. It permits a covered investor to purchase a home "pursuant to a build-to-rent program where the large institutional investor purchases, constructs, or constructs and retains a newly constructed single-family home[] to be managed as a rental property, whether as part of a community made up exclusively of renter-occupied single-family homes or as part of a community made up of single-family homes that are both owner- and renter-occupied."</w:t>
      </w:r>
      <w:r>
        <w:rPr>
          <w:rStyle w:val="FootnoteReference"/>
        </w:rPr>
        <w:footnoteReference w:id="29"/>
      </w:r>
      <w:r>
        <w:rPr>
          <w:rFonts w:ascii="Garamond" w:hAnsi="Garamond"/>
        </w:rPr>
        <w:t xml:space="preserve"> The exception carries no volume cap, no holding period, no community-composition limit, and no condition beyond the rental purpose.</w:t>
      </w:r>
    </w:p>
    <w:p>
      <w:pPr>
        <w:spacing w:line="480" w:lineRule="auto" w:before="0" w:after="0"/>
        <w:ind w:firstLine="720"/>
      </w:pPr>
      <w:r>
        <w:rPr>
          <w:rFonts w:ascii="Garamond" w:hAnsi="Garamond"/>
        </w:rPr>
        <w:t>Section 1001(a)(2)(C) excepts renovate-to-rent, and its structure is the contrast that exposes (B). The renovation exception is conjunctive. It requires both that the home suffer a structural or core code failure under (C)(i) and that the investor's improvements equal at least fifteen percent of the purchase price under (C)(ii).</w:t>
      </w:r>
      <w:r>
        <w:rPr>
          <w:rStyle w:val="FootnoteReference"/>
        </w:rPr>
        <w:footnoteReference w:id="30"/>
      </w:r>
      <w:r>
        <w:rPr>
          <w:rFonts w:ascii="Garamond" w:hAnsi="Garamond"/>
        </w:rPr>
        <w:t xml:space="preserve"> Congress knew how to discipline an exception with predicates: a condition of the housing, a spending floor, a ratio tied to price. It attached those predicates to the renovation channel and attached nothing to the construction channel beside it.</w:t>
      </w:r>
    </w:p>
    <w:p>
      <w:pPr>
        <w:pStyle w:val="Heading2"/>
      </w:pPr>
      <w:r>
        <w:t>B. How They Apply to These Players</w:t>
      </w:r>
    </w:p>
    <w:p>
      <w:pPr>
        <w:spacing w:line="480" w:lineRule="auto" w:before="0" w:after="0"/>
        <w:ind w:firstLine="720"/>
      </w:pPr>
      <w:r>
        <w:rPr>
          <w:rFonts w:ascii="Garamond" w:hAnsi="Garamond"/>
        </w:rPr>
        <w:t>The three exceptions sort the industry this Part describes. A production builder that crosses the 350-home control line keeps its core business through (a)(2)(A); build-for-sale is untouched. A rental operator that builds its own communities, the vertically integrated model, sits squarely inside (a)(2)(B): it "constructs and retains" newly constructed homes managed as rentals. A fund that contracts a builder and takes the finished community at completion also purchases "pursuant to a build-to-rent program," and the exception's disjunctive verbs, purchase or construct or construct and retain, cover the taker as fully as the maker. The forward-flow purchase, the pre-sale agreement, and the completed-community acquisition all involve newly constructed homes destined for rental management, and all fall inside the text.</w:t>
      </w:r>
    </w:p>
    <w:p>
      <w:pPr>
        <w:spacing w:line="480" w:lineRule="auto" w:before="0" w:after="0"/>
        <w:ind w:firstLine="720"/>
      </w:pPr>
      <w:r>
        <w:rPr>
          <w:rFonts w:ascii="Garamond" w:hAnsi="Garamond"/>
        </w:rPr>
        <w:t>The line the statute actually polices runs between new and existing. A home built for sale, sold to a family, and acquired by an operator years later is an existing home; that acquisition is the conduct § 1001(b) reaches. A home that moves from builder to operator new, whether by the operator's own construction or by a bulk deed at completion, never becomes an existing home in an owner-occupant's hands, and the exception blesses the transfer. The distinction is temporal, not functional. The tenant occupies the same detached house under the same operator either way. What differs is whether a family ever had the chance to buy it, which is to say the exception's coverage is defined by the absence of the opportunity the statute exists to protect.</w:t>
      </w:r>
    </w:p>
    <w:p>
      <w:pPr>
        <w:spacing w:line="480" w:lineRule="auto" w:before="0" w:after="0"/>
        <w:ind w:firstLine="720"/>
      </w:pPr>
      <w:r>
        <w:rPr>
          <w:rFonts w:ascii="Garamond" w:hAnsi="Garamond"/>
        </w:rPr>
        <w:t>The posture follows from the application. Each Part of this series reads one stage of the pipeline against the statute, and each stage returns a different posture. In Part I the definitions drew the map. In Part II the prohibition landed. In this Part the exception opens. The prohibition and the exemption are not in tension; they are a design. Congress judged that institutional purchase of existing homes removes owner-occupancy stock while institutional construction adds rental stock, and priced the two channels accordingly.</w:t>
      </w:r>
      <w:r>
        <w:rPr>
          <w:rStyle w:val="FootnoteReference"/>
        </w:rPr>
        <w:footnoteReference w:id="31"/>
      </w:r>
      <w:r>
        <w:rPr>
          <w:rFonts w:ascii="Garamond" w:hAnsi="Garamond"/>
        </w:rPr>
        <w:t xml:space="preserve"> Whether the judgment holds in practice, whether built-to-rent supply is net-new housing or a diversion of lots, crews, and subdivisions that would otherwise have produced owner-occupied homes, is the empirical question this Part frames and its Discussion takes up. The Davidson County record that follows shows the industry organized around the statute's line before Congress drew it.</w:t>
      </w:r>
    </w:p>
    <w:p>
      <w:pPr>
        <w:pStyle w:val="Heading2"/>
      </w:pPr>
      <w:r>
        <w:t>C. Other Initiatives, State and Local</w:t>
      </w:r>
    </w:p>
    <w:p>
      <w:pPr>
        <w:spacing w:line="480" w:lineRule="auto" w:before="0" w:after="0"/>
        <w:ind w:firstLine="720"/>
      </w:pPr>
      <w:r>
        <w:rPr>
          <w:rFonts w:ascii="Garamond" w:hAnsi="Garamond"/>
        </w:rPr>
        <w:t>Tennessee has enacted nothing that reaches the construction channel. The General Assembly took up institutional acquisition twice and stopped short both times: the 2024 End Hedge Fund Control of Tennessee Homes Act, a $20,000-per-home annual tax on investors holding more than 100 homes, died in committee, and the 2025 Homes Not Hedge Funds Act passed the Senate 31 to 1 and failed in a House subcommittee.</w:t>
      </w:r>
      <w:r>
        <w:rPr>
          <w:rStyle w:val="FootnoteReference"/>
        </w:rPr>
        <w:footnoteReference w:id="32"/>
      </w:r>
      <w:r>
        <w:rPr>
          <w:rFonts w:ascii="Garamond" w:hAnsi="Garamond"/>
        </w:rPr>
        <w:t xml:space="preserve"> Neither bill mentioned building, and no Tennessee statute or Metro Nashville ordinance defines build-to-rent as a land use, limits the share of a subdivision one owner may hold, or conditions a plat on tenure. Metro governs the product through the instruments it already has: zoning, which fixes density and form but not ownership, and the subdivision plat, which fixes lots but not who may hold them. The one state-law instrument that does see the product is the property tax, treated in Section 3.C, which classifies a unified rental community as a commercial enterprise after the fact. Elsewhere the local response has begun with definition. Harlem, Georgia, for example, defines a build-to-rent community in its code as single-family residences offered for rental only in a professionally managed community, the first step toward regulating it as a distinct use.</w:t>
      </w:r>
      <w:r>
        <w:rPr>
          <w:rStyle w:val="FootnoteReference"/>
        </w:rPr>
        <w:footnoteReference w:id="33"/>
      </w:r>
      <w:r>
        <w:rPr>
          <w:rFonts w:ascii="Garamond" w:hAnsi="Garamond"/>
        </w:rPr>
        <w:t xml:space="preserve"> Tennessee has not taken that step, so in Davidson County the exception Congress wrote operates against a blank local page.</w:t>
      </w:r>
    </w:p>
    <w:p>
      <w:pPr>
        <w:pStyle w:val="Heading1"/>
        <w:spacing w:before="360"/>
      </w:pPr>
      <w:r>
        <w:t>3. Nashville as a Case Study</w:t>
      </w:r>
    </w:p>
    <w:p>
      <w:pPr>
        <w:pStyle w:val="Heading2"/>
      </w:pPr>
      <w:r>
        <w:t>A. Background on Building in Nashville</w:t>
      </w:r>
    </w:p>
    <w:p>
      <w:pPr>
        <w:spacing w:line="480" w:lineRule="auto" w:before="0" w:after="0"/>
        <w:ind w:firstLine="720"/>
      </w:pPr>
      <w:r>
        <w:rPr>
          <w:rFonts w:ascii="Garamond" w:hAnsi="Garamond"/>
        </w:rPr>
        <w:t>Davidson County permitted single-family homes at a pace that peaked twice, in 2017 (3,971 units on the Census Building Permits Survey basis) and 2021 (4,105), collapsed in the 2010 to 2011 trough, and has fallen by a third from the 2021 peak to 2,739 units in 2025.</w:t>
      </w:r>
      <w:r>
        <w:rPr>
          <w:rStyle w:val="FootnoteReference"/>
        </w:rPr>
        <w:footnoteReference w:id="34"/>
      </w:r>
      <w:r>
        <w:rPr>
          <w:rFonts w:ascii="Garamond" w:hAnsi="Garamond"/>
        </w:rPr>
        <w:t xml:space="preserve"> The builders behind those permits consolidated nationally and locally at once. Nashville's ten leading builders control 62.6 percent of metro closings: NVR at 11.2 percent, Lennar 10.2, D.R. Horton 7.8, Meritage 7.7, PulteGroup 5.4, Ole South 5.4, Clayton 4.2, Beazer 4.2, Century Communities 3.7, and Dream Finders 2.9.</w:t>
      </w:r>
      <w:r>
        <w:rPr>
          <w:rStyle w:val="FootnoteReference"/>
        </w:rPr>
        <w:footnoteReference w:id="35"/>
      </w:r>
      <w:r>
        <w:rPr>
          <w:rFonts w:ascii="Garamond" w:hAnsi="Garamond"/>
        </w:rPr>
        <w:t xml:space="preserve"> Several of the national parents operate here under legacy regional names that obscure their parentage. Meritage entered Nashville in September 2013 by acquiring Phillips Builders and kept the name on its permits. Lennar's February 2018 merger with CalAtlantic, itself the product of Ryland and Standard Pacific, means permits listing any of those brands trace to Lennar. Pulte absorbed Centex in 2009 and Drees absorbed Zaring's Nashville division in 2001.</w:t>
      </w:r>
      <w:r>
        <w:rPr>
          <w:rStyle w:val="FootnoteReference"/>
        </w:rPr>
        <w:footnoteReference w:id="36"/>
      </w:r>
      <w:r>
        <w:rPr>
          <w:rFonts w:ascii="Garamond" w:hAnsi="Garamond"/>
        </w:rPr>
        <w:t xml:space="preserve"> Building-permit owner records must be resolved to parents before any market-share analysis, and Section 4 describes the consolidation table that does it.</w:t>
      </w:r>
    </w:p>
    <w:p>
      <w:pPr>
        <w:pStyle w:val="Heading2"/>
      </w:pPr>
      <w:r>
        <w:t>B. Identifying the Local Key Players</w:t>
      </w:r>
    </w:p>
    <w:p>
      <w:pPr>
        <w:spacing w:line="480" w:lineRule="auto" w:before="0" w:after="0"/>
        <w:ind w:firstLine="720"/>
      </w:pPr>
      <w:r>
        <w:rPr>
          <w:rFonts w:ascii="Garamond" w:hAnsi="Garamond"/>
          <w:b/>
        </w:rPr>
        <w:t>American Homes 4 Rent</w:t>
      </w:r>
      <w:r>
        <w:rPr>
          <w:rFonts w:ascii="Garamond" w:hAnsi="Garamond"/>
        </w:rPr>
        <w:t xml:space="preserve"> is the county's only national operator that both builds and holds at scale. It builds through its own general contractor, AMH Development Tennessee GC, LLC, and holds title through AMH TN Development, LLC; the contractor and the owner resolve to one parent.</w:t>
      </w:r>
      <w:r>
        <w:rPr>
          <w:rStyle w:val="FootnoteReference"/>
        </w:rPr>
        <w:footnoteReference w:id="37"/>
      </w:r>
      <w:r>
        <w:rPr>
          <w:rFonts w:ascii="Garamond" w:hAnsi="Garamond"/>
        </w:rPr>
        <w:t xml:space="preserve"> The July 2026 rollup credits AMH with 1,173 framework parcels in the county. Its two development entities have held 500 Davidson parcels over time, AMH TN Development 315 and AMH Mountain Springs Development 189, and AMH TN Development held 288 on October 19, 2026, 278 of them carrying a finished structure.</w:t>
      </w:r>
      <w:r>
        <w:rPr>
          <w:rStyle w:val="FootnoteReference"/>
        </w:rPr>
        <w:footnoteReference w:id="38"/>
      </w:r>
      <w:r>
        <w:rPr>
          <w:rFonts w:ascii="Garamond" w:hAnsi="Garamond"/>
        </w:rPr>
        <w:t xml:space="preserve"> Its completed Antioch communities, Davenport Downs (150 of 150 homes built) and Mountain Springs Townhouses (147 of 147), stand finished, and its development entities held 199 and 186 parcels before the houses on them existed.</w:t>
      </w:r>
      <w:r>
        <w:rPr>
          <w:rStyle w:val="FootnoteReference"/>
        </w:rPr>
        <w:footnoteReference w:id="39"/>
      </w:r>
    </w:p>
    <w:p>
      <w:pPr>
        <w:spacing w:line="480" w:lineRule="auto" w:before="0" w:after="0"/>
        <w:ind w:firstLine="720"/>
      </w:pPr>
      <w:r>
        <w:rPr>
          <w:rFonts w:ascii="Garamond" w:hAnsi="Garamond"/>
          <w:b/>
        </w:rPr>
        <w:t>Ole South and Normandy</w:t>
      </w:r>
      <w:r>
        <w:rPr>
          <w:rFonts w:ascii="Garamond" w:hAnsi="Garamond"/>
        </w:rPr>
        <w:t xml:space="preserve"> form the county's clearest local pipeline. Ole South Properties, a local builder with 5.4 percent of metro closings, built every Normandy home; all 348 Normandy II parcels name Ole South as the permit contractor.</w:t>
      </w:r>
      <w:r>
        <w:rPr>
          <w:rStyle w:val="FootnoteReference"/>
        </w:rPr>
        <w:footnoteReference w:id="40"/>
      </w:r>
      <w:r>
        <w:rPr>
          <w:rFonts w:ascii="Garamond" w:hAnsi="Garamond"/>
        </w:rPr>
        <w:t xml:space="preserve"> Normandy II General Partnership platted the Fawn Crossing sections, kept the lots, and the Normandy Group holds 302 framework parcels on the July 2026 operator rollup, which makes a local Nashville partnership, not a national REIT, the county's largest completed build-to-rent owner.</w:t>
      </w:r>
      <w:r>
        <w:rPr>
          <w:rStyle w:val="FootnoteReference"/>
        </w:rPr>
        <w:footnoteReference w:id="41"/>
      </w:r>
      <w:r>
        <w:rPr>
          <w:rFonts w:ascii="Garamond" w:hAnsi="Garamond"/>
        </w:rPr>
        <w:t xml:space="preserve"> Fawn Crossing stands 254 of 262 built.</w:t>
      </w:r>
      <w:r>
        <w:rPr>
          <w:rStyle w:val="FootnoteReference"/>
        </w:rPr>
        <w:footnoteReference w:id="42"/>
      </w:r>
    </w:p>
    <w:p>
      <w:pPr>
        <w:spacing w:line="480" w:lineRule="auto" w:before="0" w:after="0"/>
        <w:ind w:firstLine="720"/>
      </w:pPr>
      <w:r>
        <w:rPr>
          <w:rFonts w:ascii="Garamond" w:hAnsi="Garamond"/>
          <w:b/>
        </w:rPr>
        <w:t>Crescent Communities</w:t>
      </w:r>
      <w:r>
        <w:rPr>
          <w:rFonts w:ascii="Garamond" w:hAnsi="Garamond"/>
        </w:rPr>
        <w:t xml:space="preserve"> hired David Weekley Homes to build Harmon West Meade, a 174-lot community that records zero built homes against its plat.</w:t>
      </w:r>
      <w:r>
        <w:rPr>
          <w:rStyle w:val="FootnoteReference"/>
        </w:rPr>
        <w:footnoteReference w:id="43"/>
      </w:r>
      <w:r>
        <w:rPr>
          <w:rFonts w:ascii="Garamond" w:hAnsi="Garamond"/>
        </w:rPr>
        <w:t xml:space="preserve"> </w:t>
      </w:r>
      <w:r>
        <w:rPr>
          <w:rFonts w:ascii="Garamond" w:hAnsi="Garamond"/>
          <w:b/>
        </w:rPr>
        <w:t>AHV Communities</w:t>
      </w:r>
      <w:r>
        <w:rPr>
          <w:rFonts w:ascii="Garamond" w:hAnsi="Garamond"/>
        </w:rPr>
        <w:t xml:space="preserve"> builds its Bellevue community, Westbrook Pointe, and its Crestbrook community through AHVTN, LLC; Westbrook Pointe records zero built homes against a plat recorded October 30, 2025.</w:t>
      </w:r>
      <w:r>
        <w:rPr>
          <w:rStyle w:val="FootnoteReference"/>
        </w:rPr>
        <w:footnoteReference w:id="44"/>
      </w:r>
      <w:r>
        <w:rPr>
          <w:rFonts w:ascii="Garamond" w:hAnsi="Garamond"/>
        </w:rPr>
        <w:t xml:space="preserve"> </w:t>
      </w:r>
      <w:r>
        <w:rPr>
          <w:rFonts w:ascii="Garamond" w:hAnsi="Garamond"/>
          <w:b/>
        </w:rPr>
        <w:t>Elmington</w:t>
      </w:r>
      <w:r>
        <w:rPr>
          <w:rFonts w:ascii="Garamond" w:hAnsi="Garamond"/>
        </w:rPr>
        <w:t xml:space="preserve"> builds across four separate owners: it is the contractor at the Carlyle-Elmington partnership's Hobson Pike, Hillside, and Hays Hill communities, at ACPF's Old Franklin, and at communities Starwood and Invitation Homes now hold, because the Carlyle-Elmington partnership develops communities and then sells them, Charlotte Park through the SFR XII vehicle and Old Franklin to ACPF.</w:t>
      </w:r>
      <w:r>
        <w:rPr>
          <w:rStyle w:val="FootnoteReference"/>
        </w:rPr>
        <w:footnoteReference w:id="45"/>
      </w:r>
      <w:r>
        <w:rPr>
          <w:rFonts w:ascii="Garamond" w:hAnsi="Garamond"/>
        </w:rPr>
        <w:t xml:space="preserve"> </w:t>
      </w:r>
      <w:r>
        <w:rPr>
          <w:rFonts w:ascii="Garamond" w:hAnsi="Garamond"/>
          <w:b/>
        </w:rPr>
        <w:t>TPG Angelo Gordon</w:t>
      </w:r>
      <w:r>
        <w:rPr>
          <w:rFonts w:ascii="Garamond" w:hAnsi="Garamond"/>
        </w:rPr>
        <w:t xml:space="preserve"> commissioned Meritage and Lennar at Steffisburg and Pemberton; Zermatt records two of 169 homes built.</w:t>
      </w:r>
      <w:r>
        <w:rPr>
          <w:rStyle w:val="FootnoteReference"/>
        </w:rPr>
        <w:footnoteReference w:id="46"/>
      </w:r>
      <w:r>
        <w:rPr>
          <w:rFonts w:ascii="Garamond" w:hAnsi="Garamond"/>
        </w:rPr>
        <w:t xml:space="preserve"> </w:t>
      </w:r>
      <w:r>
        <w:rPr>
          <w:rFonts w:ascii="Garamond" w:hAnsi="Garamond"/>
          <w:b/>
        </w:rPr>
        <w:t>Kennedy Lewis</w:t>
      </w:r>
      <w:r>
        <w:rPr>
          <w:rFonts w:ascii="Garamond" w:hAnsi="Garamond"/>
        </w:rPr>
        <w:t xml:space="preserve"> funded Lennar's City Vista townhomes, which record zero of 181 built.</w:t>
      </w:r>
      <w:r>
        <w:rPr>
          <w:rStyle w:val="FootnoteReference"/>
        </w:rPr>
        <w:footnoteReference w:id="47"/>
      </w:r>
      <w:r>
        <w:rPr>
          <w:rFonts w:ascii="Garamond" w:hAnsi="Garamond"/>
        </w:rPr>
        <w:t xml:space="preserve"> </w:t>
      </w:r>
      <w:r>
        <w:rPr>
          <w:rFonts w:ascii="Garamond" w:hAnsi="Garamond"/>
          <w:b/>
        </w:rPr>
        <w:t>Tricon</w:t>
      </w:r>
      <w:r>
        <w:rPr>
          <w:rFonts w:ascii="Garamond" w:hAnsi="Garamond"/>
        </w:rPr>
        <w:t>, acquired by Blackstone in 2024, developed Hickory Station and Hillwood Court in the Nashville MSA, 110 homes excluded from its rental count until stabilization.</w:t>
      </w:r>
      <w:r>
        <w:rPr>
          <w:rStyle w:val="FootnoteReference"/>
        </w:rPr>
        <w:footnoteReference w:id="48"/>
      </w:r>
      <w:r>
        <w:rPr>
          <w:rFonts w:ascii="Garamond" w:hAnsi="Garamond"/>
        </w:rPr>
        <w:t xml:space="preserve"> </w:t>
      </w:r>
      <w:r>
        <w:rPr>
          <w:rFonts w:ascii="Garamond" w:hAnsi="Garamond"/>
          <w:b/>
        </w:rPr>
        <w:t>Invitation Homes</w:t>
      </w:r>
      <w:r>
        <w:rPr>
          <w:rFonts w:ascii="Garamond" w:hAnsi="Garamond"/>
        </w:rPr>
        <w:t xml:space="preserve"> exited Nashville in December 2019, selling 708 homes to a Tricon joint venture for approximately $210 million, and re-entered through homebuilder partnerships; it hired Paran Homes at the Orchards and Larkin Springs, and its own entities held ten built homes in the county in October 2026 beside the communities it finances.</w:t>
      </w:r>
      <w:r>
        <w:rPr>
          <w:rStyle w:val="FootnoteReference"/>
        </w:rPr>
        <w:footnoteReference w:id="49"/>
      </w:r>
      <w:r>
        <w:rPr>
          <w:rFonts w:ascii="Garamond" w:hAnsi="Garamond"/>
        </w:rPr>
        <w:t xml:space="preserve"> </w:t>
      </w:r>
      <w:r>
        <w:rPr>
          <w:rFonts w:ascii="Garamond" w:hAnsi="Garamond"/>
          <w:b/>
        </w:rPr>
        <w:t>VineBrook</w:t>
      </w:r>
      <w:r>
        <w:rPr>
          <w:rFonts w:ascii="Garamond" w:hAnsi="Garamond"/>
        </w:rPr>
        <w:t xml:space="preserve"> took Hamilton Crossing from Century Communities in the December 2025 bulk deed that opens this Part.</w:t>
      </w:r>
      <w:r>
        <w:rPr>
          <w:rStyle w:val="FootnoteReference"/>
        </w:rPr>
        <w:footnoteReference w:id="50"/>
      </w:r>
      <w:r>
        <w:rPr>
          <w:rFonts w:ascii="Garamond" w:hAnsi="Garamond"/>
        </w:rPr>
        <w:t xml:space="preserve"> </w:t>
      </w:r>
      <w:r>
        <w:rPr>
          <w:rFonts w:ascii="Garamond" w:hAnsi="Garamond"/>
          <w:b/>
        </w:rPr>
        <w:t>Tessa Communities</w:t>
      </w:r>
      <w:r>
        <w:rPr>
          <w:rFonts w:ascii="Garamond" w:hAnsi="Garamond"/>
        </w:rPr>
        <w:t xml:space="preserve"> builds Tessa Madison through TWO Resi Build, a subsidiary of TWO Capital Partners.</w:t>
      </w:r>
      <w:r>
        <w:rPr>
          <w:rStyle w:val="FootnoteReference"/>
        </w:rPr>
        <w:footnoteReference w:id="51"/>
      </w:r>
    </w:p>
    <w:p>
      <w:pPr>
        <w:spacing w:line="480" w:lineRule="auto" w:before="0" w:after="0"/>
        <w:ind w:firstLine="720"/>
      </w:pPr>
      <w:r>
        <w:rPr>
          <w:rFonts w:ascii="Garamond" w:hAnsi="Garamond"/>
        </w:rPr>
        <w:t>Identifying the players takes more than the deed record, because the capital hides in the loan file. The grantee on a deed is not always the party that controls the deal. Tessa Madison shows why. The deed names Ava Madison, LLC, a project entity of TWO Capital Partners. The loan file names a second national player: Invitation Homes financed the construction through IH Construction Lender, LLC, whose $60,717,222 deed of trust recorded April 10, 2026.</w:t>
      </w:r>
      <w:r>
        <w:rPr>
          <w:rStyle w:val="FootnoteReference"/>
        </w:rPr>
        <w:footnoteReference w:id="52"/>
      </w:r>
      <w:r>
        <w:rPr>
          <w:rFonts w:ascii="Garamond" w:hAnsi="Garamond"/>
        </w:rPr>
        <w:t xml:space="preserve"> A reader who tracks ownership alone sees one Texas developer. A reader who opens the loan file sees Invitation Homes underwriting a 200-home rental community it does not own.</w:t>
      </w:r>
    </w:p>
    <w:p>
      <w:pPr>
        <w:spacing w:line="480" w:lineRule="auto" w:before="0" w:after="0"/>
        <w:ind w:firstLine="720"/>
      </w:pPr>
      <w:r>
        <w:rPr>
          <w:rFonts w:ascii="Garamond" w:hAnsi="Garamond"/>
        </w:rPr>
        <w:t>Land banking runs the same play, and it previews Part IV. NVR controls 193 lots at the Curtis Street community without owning them, holding them under a lot purchase agreement while ICM Lot Lender A, LLC finances the developer's horizontal work with an $18,965,000 senior loan and NVR posts a $3,343,725 deposit.</w:t>
      </w:r>
      <w:r>
        <w:rPr>
          <w:rStyle w:val="FootnoteReference"/>
        </w:rPr>
        <w:footnoteReference w:id="53"/>
      </w:r>
      <w:r>
        <w:rPr>
          <w:rFonts w:ascii="Garamond" w:hAnsi="Garamond"/>
        </w:rPr>
        <w:t xml:space="preserve"> Lennar runs one Antioch site through three separate land-bank counterparties: KLLB AIV holds City Vista I, Millrose Properties Tennessee holds City Vista II, and BD Capital lends against the bridge.</w:t>
      </w:r>
      <w:r>
        <w:rPr>
          <w:rStyle w:val="FootnoteReference"/>
        </w:rPr>
        <w:footnoteReference w:id="54"/>
      </w:r>
      <w:r>
        <w:rPr>
          <w:rFonts w:ascii="Garamond" w:hAnsi="Garamond"/>
        </w:rPr>
        <w:t xml:space="preserve"> This is the land-light strategy at the parcel level, the national 64-to-26-percent shift in lot ownership executed one recorded option at a time.</w:t>
      </w:r>
    </w:p>
    <w:p>
      <w:pPr>
        <w:spacing w:line="480" w:lineRule="auto" w:before="0" w:after="0"/>
        <w:ind w:firstLine="720"/>
      </w:pPr>
      <w:r>
        <w:rPr>
          <w:rFonts w:ascii="Garamond" w:hAnsi="Garamond"/>
        </w:rPr>
        <w:t>The one-off dispositions supply the sharpest local controversy, because they convert for-sale product directly. Elmington built the 49-unit Tennessee Townhomes community and sold it whole to a single-family rental fund for $34.1 million. Century built Hamilton Crossing and sold all 106 townhomes to a VineBrook entity for $24.5 million.</w:t>
      </w:r>
      <w:r>
        <w:rPr>
          <w:rStyle w:val="FootnoteReference"/>
        </w:rPr>
        <w:footnoteReference w:id="55"/>
      </w:r>
      <w:r>
        <w:rPr>
          <w:rFonts w:ascii="Garamond" w:hAnsi="Garamond"/>
        </w:rPr>
        <w:t xml:space="preserve"> Both read as scattered rental on a national operator's balance sheet. Both are discrete new communities, disposed of in one deed, that a for-sale builder chose to route to a landlord instead of to buyers.</w:t>
      </w:r>
    </w:p>
    <w:p>
      <w:pPr>
        <w:pStyle w:val="Heading2"/>
      </w:pPr>
      <w:r>
        <w:t>C. Local Frameworks and Laws Applicable</w:t>
      </w:r>
    </w:p>
    <w:p>
      <w:pPr>
        <w:spacing w:line="480" w:lineRule="auto" w:before="0" w:after="0"/>
        <w:ind w:firstLine="720"/>
      </w:pPr>
      <w:r>
        <w:rPr>
          <w:rFonts w:ascii="Garamond" w:hAnsi="Garamond"/>
        </w:rPr>
        <w:t>Tennessee assessment law sorts the same house into two tax classes depending on how its owner holds it. Article II, Section 28 of the Tennessee Constitution assesses residential property at 25 percent of value and defines residential property containing two or more rental units as industrial and commercial property, assessed at 40 percent.</w:t>
      </w:r>
      <w:r>
        <w:rPr>
          <w:rStyle w:val="FootnoteReference"/>
        </w:rPr>
        <w:footnoteReference w:id="56"/>
      </w:r>
      <w:r>
        <w:rPr>
          <w:rFonts w:ascii="Garamond" w:hAnsi="Garamond"/>
        </w:rPr>
        <w:t xml:space="preserve"> The General Assembly codified the line at Tennessee Code Annotated § 67-5-501(11).</w:t>
      </w:r>
      <w:r>
        <w:rPr>
          <w:rStyle w:val="FootnoteReference"/>
        </w:rPr>
        <w:footnoteReference w:id="57"/>
      </w:r>
      <w:r>
        <w:rPr>
          <w:rFonts w:ascii="Garamond" w:hAnsi="Garamond"/>
        </w:rPr>
        <w:t xml:space="preserve"> A parcel that moves from residential to commercial carries a 60 percent increase in assessed value on the same appraised worth.</w:t>
      </w:r>
    </w:p>
    <w:p>
      <w:pPr>
        <w:spacing w:line="480" w:lineRule="auto" w:before="0" w:after="0"/>
        <w:ind w:firstLine="720"/>
      </w:pPr>
      <w:r>
        <w:rPr>
          <w:rFonts w:ascii="Garamond" w:hAnsi="Garamond"/>
        </w:rPr>
        <w:t xml:space="preserve">The controlling authority for build-to-rent is </w:t>
      </w:r>
      <w:r>
        <w:rPr>
          <w:rFonts w:ascii="Garamond" w:hAnsi="Garamond"/>
          <w:i/>
        </w:rPr>
        <w:t>Spring Hill, L.P. v. State Board of Equalization</w:t>
      </w:r>
      <w:r>
        <w:rPr>
          <w:rFonts w:ascii="Garamond" w:hAnsi="Garamond"/>
        </w:rPr>
        <w:t>. The Tennessee Court of Appeals held that 44 single-family homes on separately parceled lots were industrial and commercial property rather than residential, because the homes were part of the same development and were owned and managed by the same entity. The court rejected physical conjoinment as the determinative factor; the enterprise controlled the classification, not the structure.</w:t>
      </w:r>
      <w:r>
        <w:rPr>
          <w:rStyle w:val="FootnoteReference"/>
        </w:rPr>
        <w:footnoteReference w:id="58"/>
      </w:r>
      <w:r>
        <w:rPr>
          <w:rFonts w:ascii="Garamond" w:hAnsi="Garamond"/>
        </w:rPr>
        <w:t xml:space="preserve"> A build-to-rent community matches that fact pattern in every element: one development, one project, one owner, one rental operation, spread across separately platted single-family parcels. In Opinion 25-016, the Tennessee Attorney General preserved the other side of the line: a stand-alone single-family home rented for more than thirty days generally remains residential, because the parcel contains one rental unit, and no bright-line rule governs; the assessor weighs all facts and circumstances.</w:t>
      </w:r>
      <w:r>
        <w:rPr>
          <w:rStyle w:val="FootnoteReference"/>
        </w:rPr>
        <w:footnoteReference w:id="59"/>
      </w:r>
      <w:r>
        <w:rPr>
          <w:rFonts w:ascii="Garamond" w:hAnsi="Garamond"/>
        </w:rPr>
        <w:t xml:space="preserve"> The scattered-site portfolio therefore reads as residential parcels while the unified community reads as a commercial enterprise, and Section 5 shows the Davidson assessor drawing exactly that line. A separate opinion of the Attorney General bears on the plat record: establishing a horizontal property regime is not a subdivision of land and needs no planning-commission approval under the subdivision statutes, so communities structured as HPRs can escape the subdivision-plat trail this Part's spatial methods rely on.</w:t>
      </w:r>
      <w:r>
        <w:rPr>
          <w:rStyle w:val="FootnoteReference"/>
        </w:rPr>
        <w:footnoteReference w:id="60"/>
      </w:r>
    </w:p>
    <w:p>
      <w:pPr>
        <w:pStyle w:val="Heading1"/>
        <w:spacing w:before="360"/>
      </w:pPr>
      <w:r>
        <w:t>4. Methods, Data, and Literature</w:t>
      </w:r>
    </w:p>
    <w:p>
      <w:pPr>
        <w:pStyle w:val="Heading2"/>
      </w:pPr>
      <w:r>
        <w:t>A. Research Questions</w:t>
      </w:r>
    </w:p>
    <w:p>
      <w:pPr>
        <w:spacing w:line="480" w:lineRule="auto" w:before="0" w:after="0"/>
        <w:ind w:firstLine="720"/>
      </w:pPr>
      <w:r>
        <w:rPr>
          <w:rFonts w:ascii="Garamond" w:hAnsi="Garamond"/>
        </w:rPr>
        <w:t>Three questions organize the empirical work, and the findings in Section 5 answer them in order. Each folds the study's operational sub-questions beneath it.</w:t>
      </w:r>
    </w:p>
    <w:p>
      <w:pPr>
        <w:spacing w:line="480" w:lineRule="auto" w:before="0" w:after="0"/>
        <w:ind w:firstLine="720"/>
      </w:pPr>
      <w:r>
        <w:rPr>
          <w:rFonts w:ascii="Garamond" w:hAnsi="Garamond"/>
        </w:rPr>
        <w:t xml:space="preserve">1. </w:t>
      </w:r>
      <w:r>
        <w:rPr>
          <w:rFonts w:ascii="Garamond" w:hAnsi="Garamond"/>
          <w:b/>
        </w:rPr>
        <w:t>RQ1.</w:t>
      </w:r>
      <w:r>
        <w:rPr>
          <w:rFonts w:ascii="Garamond" w:hAnsi="Garamond"/>
        </w:rPr>
        <w:t xml:space="preserve"> How much new single-family stock is built to rent rather than for sale? The question has a stock face and a flow face: how much of the county's standing rental stock arrived through the build-to-rent channel rather than by conversion of existing homes, and what share of new single-family construction is build-to-rent, and how has that share moved since the channel appeared?</w:t>
      </w:r>
    </w:p>
    <w:p>
      <w:pPr>
        <w:spacing w:line="480" w:lineRule="auto" w:before="0" w:after="0"/>
        <w:ind w:firstLine="720"/>
      </w:pPr>
      <w:r>
        <w:rPr>
          <w:rFonts w:ascii="Garamond" w:hAnsi="Garamond"/>
        </w:rPr>
        <w:t xml:space="preserve">2. </w:t>
      </w:r>
      <w:r>
        <w:rPr>
          <w:rFonts w:ascii="Garamond" w:hAnsi="Garamond"/>
          <w:b/>
        </w:rPr>
        <w:t>RQ2.</w:t>
      </w:r>
      <w:r>
        <w:rPr>
          <w:rFonts w:ascii="Garamond" w:hAnsi="Garamond"/>
        </w:rPr>
        <w:t xml:space="preserve"> How does the builder-to-owner pipeline operationalize the carve-out? Three sub-questions sort the record: do institutional operators build their own communities, or do they capture subdivisions that builders platted for owner-occupants; who built the stock the operators hold, and how has the building industry itself consolidated; and through what delivery models does the current pipeline arrive, and does the statute's single-family definition see it?</w:t>
      </w:r>
    </w:p>
    <w:p>
      <w:pPr>
        <w:spacing w:line="480" w:lineRule="auto" w:before="0" w:after="0"/>
        <w:ind w:firstLine="720"/>
      </w:pPr>
      <w:r>
        <w:rPr>
          <w:rFonts w:ascii="Garamond" w:hAnsi="Garamond"/>
        </w:rPr>
        <w:t xml:space="preserve">3. </w:t>
      </w:r>
      <w:r>
        <w:rPr>
          <w:rFonts w:ascii="Garamond" w:hAnsi="Garamond"/>
          <w:b/>
        </w:rPr>
        <w:t>RQ3.</w:t>
      </w:r>
      <w:r>
        <w:rPr>
          <w:rFonts w:ascii="Garamond" w:hAnsi="Garamond"/>
        </w:rPr>
        <w:t xml:space="preserve"> Does the exception let capital reproduce the homeownership loss the ban was meant to prevent? The record's test is independent: do county records corroborate the identification and mark the exempted product as a rental enterprise?</w:t>
      </w:r>
    </w:p>
    <w:p>
      <w:pPr>
        <w:pStyle w:val="Heading2"/>
      </w:pPr>
      <w:r>
        <w:t>B. Literature Review</w:t>
      </w:r>
    </w:p>
    <w:p>
      <w:pPr>
        <w:spacing w:line="480" w:lineRule="auto" w:before="0" w:after="0"/>
        <w:ind w:firstLine="720"/>
      </w:pPr>
      <w:r>
        <w:rPr>
          <w:rFonts w:ascii="Garamond" w:hAnsi="Garamond"/>
        </w:rPr>
        <w:t>The scholarship on institutional single-family rental clusters around ownership counts, geography, price and rent effects, homeownership effects, and tenant outcomes, and this series engages each group in the Part that owns it.</w:t>
      </w:r>
      <w:r>
        <w:rPr>
          <w:rStyle w:val="FootnoteReference"/>
        </w:rPr>
        <w:footnoteReference w:id="61"/>
      </w:r>
      <w:r>
        <w:rPr>
          <w:rFonts w:ascii="Garamond" w:hAnsi="Garamond"/>
        </w:rPr>
        <w:t xml:space="preserve"> The construction stage is one of the literature's empty rooms. The existing work estimates build-to-rent's national share from starts surveys and industry tapes. The Urban Institute's taxonomy paper, the field's foundational description, states plainly that the sector's central welfare question has not been measured: "how much of the BTR supply would have been built in any case, and how much simply reflects a reallocation from homes that would have otherwise been owner-occupied?"</w:t>
      </w:r>
      <w:r>
        <w:rPr>
          <w:rStyle w:val="FootnoteReference"/>
        </w:rPr>
        <w:footnoteReference w:id="62"/>
      </w:r>
      <w:r>
        <w:rPr>
          <w:rFonts w:ascii="Garamond" w:hAnsi="Garamond"/>
        </w:rPr>
        <w:t xml:space="preserve"> No published study identifies build-to-rent at the permit and parcel level from primary county records. That identification is this Part's contribution: every new-construction permit from 2006 forward, joined across four owner identifiers to the deed record and the current cadastre, with each flagged operator classified to its business model, replayable against public endpoints.</w:t>
      </w:r>
      <w:r>
        <w:rPr>
          <w:rStyle w:val="FootnoteReference"/>
        </w:rPr>
        <w:footnoteReference w:id="63"/>
      </w:r>
    </w:p>
    <w:p>
      <w:pPr>
        <w:spacing w:line="480" w:lineRule="auto" w:before="0" w:after="0"/>
        <w:ind w:firstLine="720"/>
      </w:pPr>
      <w:r>
        <w:rPr>
          <w:rFonts w:ascii="Garamond" w:hAnsi="Garamond"/>
        </w:rPr>
        <w:t>Read in the order the Government Accountability Office used to organize the national evidence, the literature answers four questions and leaves the fifth to this Part. On emergence, the Federal Reserve's 2015 count of roughly 28,000 institutional purchases across eighteen cities named the buy-to-rent asset class, and the Congressional Research Service and the GAO trace its origin to the foreclosure crisis and the federal REO-to-rental pilot.</w:t>
      </w:r>
      <w:r>
        <w:rPr>
          <w:rStyle w:val="FootnoteReference"/>
        </w:rPr>
        <w:footnoteReference w:id="64"/>
      </w:r>
      <w:r>
        <w:rPr>
          <w:rFonts w:ascii="Garamond" w:hAnsi="Garamond"/>
        </w:rPr>
        <w:t xml:space="preserve"> On change since the crisis, the GAO's 2024 report documents the shift from bulk foreclosure purchases to open-market acquisition and, after 2017, to construction, and the Urban Institute's taxonomy describes the four build-to-rent delivery models that this Part applies to Davidson County.</w:t>
      </w:r>
      <w:r>
        <w:rPr>
          <w:rStyle w:val="FootnoteReference"/>
        </w:rPr>
        <w:footnoteReference w:id="65"/>
      </w:r>
      <w:r>
        <w:rPr>
          <w:rFonts w:ascii="Garamond" w:hAnsi="Garamond"/>
        </w:rPr>
        <w:t xml:space="preserve"> On count and location, the national estimates run from starts surveys (the National Association of Home Builders' built-for-rent series) and industry pipelines (RentCafe's completions by metro), and none counts at the parcel.</w:t>
      </w:r>
      <w:r>
        <w:rPr>
          <w:rStyle w:val="FootnoteReference"/>
        </w:rPr>
        <w:footnoteReference w:id="66"/>
      </w:r>
      <w:r>
        <w:rPr>
          <w:rFonts w:ascii="Garamond" w:hAnsi="Garamond"/>
        </w:rPr>
        <w:t xml:space="preserve"> On effects, the homeownership literature finds that institutional conversion of owner-occupied stock lowered local homeownership rates and fell hardest on Black would-be buyers, the price-and-rent literature is mixed, and the GAO reports tenant outcomes as unclear for want of data.</w:t>
      </w:r>
      <w:r>
        <w:rPr>
          <w:rStyle w:val="FootnoteReference"/>
        </w:rPr>
        <w:footnoteReference w:id="67"/>
      </w:r>
      <w:r>
        <w:rPr>
          <w:rFonts w:ascii="Garamond" w:hAnsi="Garamond"/>
        </w:rPr>
        <w:t xml:space="preserve"> The question the construction channel adds, whether a home built to rent is a home that would otherwise have been built for sale, is the one the Urban Institute flags as unmeasured, and the one no national survey can reach because the counterfactual lives at the plat. This Part does not resolve the counterfactual either. It establishes, from county records, the scale, the delivery models, and the addresses at which the question arises.</w:t>
      </w:r>
    </w:p>
    <w:p>
      <w:pPr>
        <w:pStyle w:val="Heading2"/>
      </w:pPr>
      <w:r>
        <w:t>C. Datasets and Methods</w:t>
      </w:r>
    </w:p>
    <w:p>
      <w:pPr>
        <w:spacing w:line="480" w:lineRule="auto" w:before="0" w:after="0"/>
        <w:ind w:firstLine="720"/>
      </w:pPr>
      <w:r>
        <w:rPr>
          <w:rFonts w:ascii="Garamond" w:hAnsi="Garamond"/>
        </w:rPr>
        <w:t>The spine is the county's new-construction permit record: every residential new-construction case from Metro's ePermits system, 2006 through the present, with the permit's parcel, owner, applicant, declared construction value, sub-type, and status dates, supplemented by the GIS permit-history layer for bulk parcel joins.</w:t>
      </w:r>
      <w:r>
        <w:rPr>
          <w:rStyle w:val="FootnoteReference"/>
        </w:rPr>
        <w:footnoteReference w:id="68"/>
      </w:r>
      <w:r>
        <w:rPr>
          <w:rFonts w:ascii="Garamond" w:hAnsi="Garamond"/>
        </w:rPr>
        <w:t xml:space="preserve"> The canonical permit denominator is the Census Building Permits Survey single-family (1-unit) series for Davidson County; the in-house ePermits count is retained as a validation series, and the two track closely.</w:t>
      </w:r>
      <w:r>
        <w:rPr>
          <w:rStyle w:val="FootnoteReference"/>
        </w:rPr>
        <w:footnoteReference w:id="69"/>
      </w:r>
      <w:r>
        <w:rPr>
          <w:rFonts w:ascii="Garamond" w:hAnsi="Garamond"/>
        </w:rPr>
        <w:t xml:space="preserve"> The deed history supplies owner-of-record at any date and the conveyances that move finished homes.</w:t>
      </w:r>
      <w:r>
        <w:rPr>
          <w:rStyle w:val="FootnoteReference"/>
        </w:rPr>
        <w:footnoteReference w:id="70"/>
      </w:r>
      <w:r>
        <w:rPr>
          <w:rFonts w:ascii="Garamond" w:hAnsi="Garamond"/>
        </w:rPr>
        <w:t xml:space="preserve"> The cadastre supplies current ownership and structure characteristics, the assessment history supplies tax classification year by year from 1971 through 2026, and SEC filings supply the public builders' and operators' own disclosures.</w:t>
      </w:r>
      <w:r>
        <w:rPr>
          <w:rStyle w:val="FootnoteReference"/>
        </w:rPr>
        <w:footnoteReference w:id="71"/>
      </w:r>
      <w:r>
        <w:rPr>
          <w:rFonts w:ascii="Garamond" w:hAnsi="Garamond"/>
        </w:rPr>
        <w:t xml:space="preserve"> Every query is replayable against a public endpoint.</w:t>
      </w:r>
    </w:p>
    <w:p>
      <w:pPr>
        <w:spacing w:line="480" w:lineRule="auto" w:before="0" w:after="0"/>
        <w:ind w:firstLine="720"/>
      </w:pPr>
      <w:r>
        <w:rPr>
          <w:rFonts w:ascii="Garamond" w:hAnsi="Garamond"/>
          <w:b/>
        </w:rPr>
        <w:t>The build-to-rent permit flag.</w:t>
      </w:r>
      <w:r>
        <w:rPr>
          <w:rFonts w:ascii="Garamond" w:hAnsi="Garamond"/>
        </w:rPr>
        <w:t xml:space="preserve"> Intent is unobservable, so the design infers it from ownership around construction, evaluated across four identifiers because no single field suffices: the permit owner, the permit applicant, the current cadastral owner, and the deed owner at the permit date. A permit is </w:t>
      </w:r>
      <w:r>
        <w:rPr>
          <w:rFonts w:ascii="Garamond" w:hAnsi="Garamond"/>
          <w:b/>
        </w:rPr>
        <w:t>strict</w:t>
      </w:r>
      <w:r>
        <w:rPr>
          <w:rFonts w:ascii="Garamond" w:hAnsi="Garamond"/>
        </w:rPr>
        <w:t xml:space="preserve"> build-to-rent when a rental operator in the curated operator master owned the parcel on the permit-issue date. A permit is </w:t>
      </w:r>
      <w:r>
        <w:rPr>
          <w:rFonts w:ascii="Garamond" w:hAnsi="Garamond"/>
          <w:b/>
        </w:rPr>
        <w:t>forward-flow</w:t>
      </w:r>
      <w:r>
        <w:rPr>
          <w:rFonts w:ascii="Garamond" w:hAnsi="Garamond"/>
        </w:rPr>
        <w:t>, reported separately and additively, when an operator acquired the parcel after issue and within 24 months of completion, which captures funds taking builder product at delivery.</w:t>
      </w:r>
      <w:r>
        <w:rPr>
          <w:rStyle w:val="FootnoteReference"/>
        </w:rPr>
        <w:footnoteReference w:id="72"/>
      </w:r>
      <w:r>
        <w:rPr>
          <w:rFonts w:ascii="Garamond" w:hAnsi="Garamond"/>
        </w:rPr>
        <w:t xml:space="preserve"> Production builders that appear in the operator master only as construction counterparties are excluded from the operator set, because a builder owning at permit date proves nothing about rental intent, and scattered-site acquirers are excluded because their purchases of new homes are buy-to-rent under the project's taxonomy. Each flagged permit classifies to one of the four delivery models by the operator-builder relationship. Earlier passes produced permit shares that this design supersedes; the reconciliation note documents why each superseded figure fails to reproduce and is retained in the replication file.</w:t>
      </w:r>
      <w:r>
        <w:rPr>
          <w:rStyle w:val="FootnoteReference"/>
        </w:rPr>
        <w:footnoteReference w:id="73"/>
      </w:r>
    </w:p>
    <w:p>
      <w:pPr>
        <w:spacing w:line="480" w:lineRule="auto" w:before="0" w:after="0"/>
        <w:ind w:firstLine="720"/>
      </w:pPr>
      <w:r>
        <w:rPr>
          <w:rFonts w:ascii="Garamond" w:hAnsi="Garamond"/>
          <w:b/>
        </w:rPr>
        <w:t>The build-to-acquisition gap.</w:t>
      </w:r>
      <w:r>
        <w:rPr>
          <w:rFonts w:ascii="Garamond" w:hAnsi="Garamond"/>
        </w:rPr>
        <w:t xml:space="preserve"> For each non-owner-occupied one- or two-unit parcel, the study computes the years between the current owner's acquisition and the home's construction. An owner that held the land at or before construction, or took title within two years of it, obtained the home new; the study classes the parcel as essentially build-to-rent. This is a stock measure of today's standing inventory, not a permit-flow share, and the two are never blended.</w:t>
      </w:r>
      <w:r>
        <w:rPr>
          <w:rStyle w:val="FootnoteReference"/>
        </w:rPr>
        <w:footnoteReference w:id="74"/>
      </w:r>
      <w:r>
        <w:rPr>
          <w:rFonts w:ascii="Garamond" w:hAnsi="Garamond"/>
        </w:rPr>
        <w:t xml:space="preserve"> A complementary bulk-instrument rule flags any single deed conveying ten or more new residential units to one institutional grantee, which recovers forward-flow community purchases and their prices even where the year built is not yet populated.</w:t>
      </w:r>
    </w:p>
    <w:p>
      <w:pPr>
        <w:spacing w:line="480" w:lineRule="auto" w:before="0" w:after="0"/>
        <w:ind w:firstLine="720"/>
      </w:pPr>
      <w:r>
        <w:rPr>
          <w:rFonts w:ascii="Garamond" w:hAnsi="Garamond"/>
          <w:b/>
        </w:rPr>
        <w:t>Plats and subdivisions.</w:t>
      </w:r>
      <w:r>
        <w:rPr>
          <w:rFonts w:ascii="Garamond" w:hAnsi="Garamond"/>
        </w:rPr>
        <w:t xml:space="preserve"> A spatial join of 15,556 subdivision polygons, the currently institutionally owned parcels, and 64,075 plat-to-developer records identifies who platted each subdivision and who owns its lots today. The join distinguishes the operator that develops its own community from the operator that captures a builder's subdivision decades later. It attributes a developer to 52.8 percent of subdivisions; the unmatched remainder consists mostly of pre-1970s plats and parent-to-child transitions, and the study reports it as a limit.</w:t>
      </w:r>
      <w:r>
        <w:rPr>
          <w:rStyle w:val="FootnoteReference"/>
        </w:rPr>
        <w:footnoteReference w:id="75"/>
      </w:r>
    </w:p>
    <w:p>
      <w:pPr>
        <w:spacing w:line="480" w:lineRule="auto" w:before="0" w:after="0"/>
        <w:ind w:firstLine="720"/>
      </w:pPr>
      <w:r>
        <w:rPr>
          <w:rFonts w:ascii="Garamond" w:hAnsi="Garamond"/>
          <w:b/>
        </w:rPr>
        <w:t>Builder consolidation.</w:t>
      </w:r>
      <w:r>
        <w:rPr>
          <w:rFonts w:ascii="Garamond" w:hAnsi="Garamond"/>
        </w:rPr>
        <w:t xml:space="preserve"> Roughly seven thousand distinct builder names appear on the permits. Each maps to an operating parent through a consolidation table carrying the industry's merger history, so permits filed under an acquired brand count to the acquirer from the acquisition date. On the consolidated table, the five largest national public parents (NVR 6,211 permits, Beazer 4,911, Pulte 2,680, D.R. Horton 2,018, Meritage 1,227) account for 24.7 percent of the 69,033 single-family permits the builder dictionary resolves, and all national public builders for 25.3 percent.</w:t>
      </w:r>
      <w:r>
        <w:rPr>
          <w:rStyle w:val="FootnoteReference"/>
        </w:rPr>
        <w:footnoteReference w:id="76"/>
      </w:r>
    </w:p>
    <w:p>
      <w:pPr>
        <w:spacing w:line="480" w:lineRule="auto" w:before="0" w:after="0"/>
        <w:ind w:firstLine="720"/>
      </w:pPr>
      <w:r>
        <w:rPr>
          <w:rFonts w:ascii="Garamond" w:hAnsi="Garamond"/>
          <w:b/>
        </w:rPr>
        <w:t>Assessment-class validation.</w:t>
      </w:r>
      <w:r>
        <w:rPr>
          <w:rFonts w:ascii="Garamond" w:hAnsi="Garamond"/>
        </w:rPr>
        <w:t xml:space="preserve"> The year-by-year assessment series marks every parcel's movement between the residential class (25 percent) and the commercial class (40 percent). Because Tennessee law classifies a unified single-family rental development as commercial under the </w:t>
      </w:r>
      <w:r>
        <w:rPr>
          <w:rFonts w:ascii="Garamond" w:hAnsi="Garamond"/>
          <w:i/>
        </w:rPr>
        <w:t>Spring Hill</w:t>
      </w:r>
      <w:r>
        <w:rPr>
          <w:rFonts w:ascii="Garamond" w:hAnsi="Garamond"/>
        </w:rPr>
        <w:t xml:space="preserve"> enterprise test, residential-to-commercial transitions supply the county's own independent judgment of which portfolios operate as unified rental enterprises, and disagreement with the permit flag marks cases for review.</w:t>
      </w:r>
      <w:r>
        <w:rPr>
          <w:rStyle w:val="FootnoteReference"/>
        </w:rPr>
        <w:footnoteReference w:id="77"/>
      </w:r>
    </w:p>
    <w:p>
      <w:pPr>
        <w:spacing w:line="480" w:lineRule="auto" w:before="0" w:after="0"/>
        <w:ind w:firstLine="720"/>
      </w:pPr>
      <w:r>
        <w:rPr>
          <w:rFonts w:ascii="Garamond" w:hAnsi="Garamond"/>
          <w:b/>
        </w:rPr>
        <w:t>Limitations.</w:t>
      </w:r>
      <w:r>
        <w:rPr>
          <w:rFonts w:ascii="Garamond" w:hAnsi="Garamond"/>
        </w:rPr>
        <w:t xml:space="preserve"> Four disclosures govern the results. First, the strict permit series is a floor: a permit enters the numerator only when an operator's control is already recorded, so merchant-built communities under contract to funds whose deeds have not yet recorded are excluded by construction, and recent years will rise as closings post.</w:t>
      </w:r>
      <w:r>
        <w:rPr>
          <w:rStyle w:val="FootnoteReference"/>
        </w:rPr>
        <w:footnoteReference w:id="78"/>
      </w:r>
      <w:r>
        <w:rPr>
          <w:rFonts w:ascii="Garamond" w:hAnsi="Garamond"/>
        </w:rPr>
        <w:t xml:space="preserve"> Second, 4.0 percent of 2006 to 2025 permits never matched a parcel key and count only in the denominator, so the strict shares are conservative by up to that margin.</w:t>
      </w:r>
      <w:r>
        <w:rPr>
          <w:rStyle w:val="FootnoteReference"/>
        </w:rPr>
        <w:footnoteReference w:id="79"/>
      </w:r>
      <w:r>
        <w:rPr>
          <w:rFonts w:ascii="Garamond" w:hAnsi="Garamond"/>
        </w:rPr>
        <w:t xml:space="preserve"> Third, the gap rule measures whether the current owner obtained the home new, so a home built in 2021, bought by an individual, and resold to a REIT in 2023 reads as build-to-rent under the REIT; the rule is a channel measure, not an intent measure. Fourth, brand-new homes often carry no populated year built in the cadastral snapshot, so the newest deliveries drop out of the gap count, and ownership-based intent misses pre-completion assignments that never record. The design trades precision for recall in a known direction: it flags conservatively.</w:t>
      </w:r>
    </w:p>
    <w:p>
      <w:pPr>
        <w:pStyle w:val="Heading1"/>
        <w:spacing w:before="360"/>
      </w:pPr>
      <w:r>
        <w:t>5. Findings and Discussion</w:t>
      </w:r>
    </w:p>
    <w:p>
      <w:pPr>
        <w:pStyle w:val="Heading2"/>
      </w:pPr>
      <w:r>
        <w:t>A. Quantitative Findings</w:t>
      </w:r>
    </w:p>
    <w:p>
      <w:pPr>
        <w:spacing w:line="480" w:lineRule="auto" w:before="0" w:after="0"/>
        <w:ind w:firstLine="720"/>
      </w:pPr>
      <w:r>
        <w:rPr>
          <w:rFonts w:ascii="Garamond" w:hAnsi="Garamond"/>
          <w:b/>
        </w:rPr>
        <w:t>Finding 1 (RQ1). Sixteen percent of the standing rental stock was built to rent, and build-to-rent rose from zero to 7.27 percent of the county's single-family permits.</w:t>
      </w:r>
      <w:r>
        <w:rPr>
          <w:rFonts w:ascii="Garamond" w:hAnsi="Garamond"/>
        </w:rPr>
        <w:t xml:space="preserve"> The stock measure comes first. Applied to Davidson's 50,663 measurable non-owner-occupied one- and two-unit homes, the build-to-acquisition gap classifies 8,095 homes, 16.0 percent, as essentially build-to-rent: 5,458 where the owner held the land before construction, 1,717 acquired in the first year, and 920 in the second.</w:t>
      </w:r>
      <w:r>
        <w:rPr>
          <w:rStyle w:val="FootnoteReference"/>
        </w:rPr>
        <w:footnoteReference w:id="80"/>
      </w:r>
      <w:r>
        <w:rPr>
          <w:rFonts w:ascii="Garamond" w:hAnsi="Garamond"/>
        </w:rPr>
        <w:t xml:space="preserve"> This is the stock measure, the composition of today's standing inventory, and it is never a permit share. The other 84 percent is buy-to-rent of existing stock, and 68.3 percent of the universe sits at a gap of sixteen years or more. The channel that built one in six of the county's rental houses barely existed in the permit record fifteen years ago.</w:t>
      </w:r>
    </w:p>
    <w:p>
      <w:pPr>
        <w:spacing w:line="480" w:lineRule="auto" w:before="0" w:after="0"/>
        <w:ind w:firstLine="720"/>
      </w:pPr>
      <w:r>
        <w:rPr>
          <w:rFonts w:ascii="Garamond" w:hAnsi="Garamond"/>
        </w:rPr>
        <w:t>The permit flow is the second face of the same question. On the strict owner-at-permit definition, the build-to-rent share of new single-family permits was zero before 2013, entered the record with Normandy's 2013 filings, ran one to three percent through the mid-2010s, jumped with AMH's development arm in 2019 (220 permits, 5.5 percent), peaked in 2022 at 8.3 percent (11.0 percent counting forward-flow deals), and stood at 7.27 percent in 2025: 199 permits of 2,739 single-family units on the Census Building Permits Survey count (7.19 percent, 199 of 2,768, on the county's own ePermits count).</w:t>
      </w:r>
      <w:r>
        <w:rPr>
          <w:rStyle w:val="FootnoteReference"/>
        </w:rPr>
        <w:footnoteReference w:id="81"/>
      </w:r>
      <w:r>
        <w:rPr>
          <w:rFonts w:ascii="Garamond" w:hAnsi="Garamond"/>
        </w:rPr>
        <w:t xml:space="preserve"> Pooled over 2013 to 2025 the strict share is 3.63 percent on the BPS denominator (3.68 percent on ePermits; 4.45 percent counting forward-flow), in line with the national built-for-rent range once the floor property is considered.</w:t>
      </w:r>
      <w:r>
        <w:rPr>
          <w:rStyle w:val="FootnoteReference"/>
        </w:rPr>
        <w:footnoteReference w:id="82"/>
      </w:r>
      <w:r>
        <w:rPr>
          <w:rFonts w:ascii="Garamond" w:hAnsi="Garamond"/>
        </w:rPr>
        <w:t xml:space="preserve"> Every figure is a floor. A permit enters the numerator only when an operator's recorded control already exists, communities under contract to funds are excluded until their deeds record, and 4.0 percent of permits carry no parcel key at all. The full annual series is Appendix Table III.1. The shares also understate the tenant's experience, because the product arrives as a subdivision rather than a unit. A renter household does not occupy 7.27 percent of a county. It occupies a street where every house has one landlord.</w:t>
      </w:r>
    </w:p>
    <w:p>
      <w:pPr>
        <w:spacing w:line="480" w:lineRule="auto" w:before="0" w:after="0"/>
        <w:ind w:firstLine="720"/>
      </w:pPr>
      <w:r>
        <w:rPr>
          <w:rFonts w:ascii="Garamond" w:hAnsi="Garamond"/>
          <w:b/>
        </w:rPr>
        <w:t>Finding 2 (RQ2). The builder-to-owner pipeline runs through two patterns, a temporal arbitrage, a consolidated builder base, and four delivery models the statute's definitions cannot see.</w:t>
      </w:r>
      <w:r>
        <w:rPr>
          <w:rFonts w:ascii="Garamond" w:hAnsi="Garamond"/>
        </w:rPr>
        <w:t xml:space="preserve"> The subdivision record splits institutional development into two patterns. Pattern A, pure build-to-rent, has one operator at scale. American Homes 4 Rent is the subdivision developer of its own rental inventory. Its development arms platted Davenport Downs Phases 1 and 2 (58 and 38 lots), Bluewater Point (53), and Mountain Springs Phase 1 (39), and AMH still owns nearly every lot inside, at 100, 92, 100, and 100 percent respectively.</w:t>
      </w:r>
      <w:r>
        <w:rPr>
          <w:rStyle w:val="FootnoteReference"/>
        </w:rPr>
        <w:footnoteReference w:id="83"/>
      </w:r>
      <w:r>
        <w:rPr>
          <w:rFonts w:ascii="Garamond" w:hAnsi="Garamond"/>
        </w:rPr>
        <w:t xml:space="preserve"> The deed record confirms the model from the other side: AMH TN Development and AMH Mountain Springs Development held 199 and 186 parcels before the houses on them existed.</w:t>
      </w:r>
      <w:r>
        <w:rPr>
          <w:rStyle w:val="FootnoteReference"/>
        </w:rPr>
        <w:footnoteReference w:id="84"/>
      </w:r>
      <w:r>
        <w:rPr>
          <w:rFonts w:ascii="Garamond" w:hAnsi="Garamond"/>
        </w:rPr>
        <w:t xml:space="preserve"> Pattern B, secondary capture, is the dominant case. Public homebuilders platted the subdivisions and sold the homes to individual buyers, and the institutional operators arrived years or decades later, buying one lot at a time on the resale market. That is how 2,307 Davidson subdivisions came to contain at least one institutional parcel. Progress Residential, the county's largest operator at 1,222 framework parcels, is the top institutional brand in 257 subdivisions, American Homes 4 Rent's scattered portfolio in 163, Amherst (657 parcels countywide) in 122, and Invitation Homes in 96, and none of those brands appears as the platter of record anywhere in the plat-to-developer joins.</w:t>
      </w:r>
      <w:r>
        <w:rPr>
          <w:rStyle w:val="FootnoteReference"/>
        </w:rPr>
        <w:footnoteReference w:id="85"/>
      </w:r>
      <w:r>
        <w:rPr>
          <w:rFonts w:ascii="Garamond" w:hAnsi="Garamond"/>
        </w:rPr>
        <w:t xml:space="preserve"> The hybrid case is local: Normandy II General Partnership platted the Fawn Crossing sections and kept the lots, 302 framework parcels on the operator rollup, which makes a local Nashville partnership, not a national REIT, the county's largest completed build-to-rent owner.</w:t>
      </w:r>
      <w:r>
        <w:rPr>
          <w:rStyle w:val="FootnoteReference"/>
        </w:rPr>
        <w:footnoteReference w:id="86"/>
      </w:r>
    </w:p>
    <w:p>
      <w:pPr>
        <w:spacing w:line="480" w:lineRule="auto" w:before="0" w:after="0"/>
        <w:ind w:firstLine="720"/>
      </w:pPr>
      <w:r>
        <w:rPr>
          <w:rFonts w:ascii="Garamond" w:hAnsi="Garamond"/>
        </w:rPr>
        <w:t>The temporal arbitrage runs beneath both patterns. Subdivisions platted by the public builders of the 2001 to 2008 peak, Phillips Builders and Meritage, Beazer, Regent, NVR and Ryan, and Ole South, are the prime acquisition targets for Progress and Amherst today. The REITs wait ten to twenty years for a subdivision to mature into a stable rental neighborhood and then buy in.</w:t>
      </w:r>
      <w:r>
        <w:rPr>
          <w:rStyle w:val="FootnoteReference"/>
        </w:rPr>
        <w:footnoteReference w:id="87"/>
      </w:r>
      <w:r>
        <w:rPr>
          <w:rFonts w:ascii="Garamond" w:hAnsi="Garamond"/>
        </w:rPr>
        <w:t xml:space="preserve"> With one exception, the REITs do not finance new construction; they finance the secondary acquisition of mature suburban stock, and the single-family rental bonds Part V opens are secured, in the overwhelming majority, against homes public builders constructed for individual owners decades earlier. The consolidation of the builders sharpens the point. Local Nashville builders briefly captured 48.9 percent of the county's institutional construction market in 2015; a decade later their share had collapsed to 12.3 percent while six national public builders rebounded to 87.7 percent.</w:t>
      </w:r>
      <w:r>
        <w:rPr>
          <w:rStyle w:val="FootnoteReference"/>
        </w:rPr>
        <w:footnoteReference w:id="88"/>
      </w:r>
      <w:r>
        <w:rPr>
          <w:rFonts w:ascii="Garamond" w:hAnsi="Garamond"/>
        </w:rPr>
        <w:t xml:space="preserve"> The subdivisions the REITs capture were built by an industry that itself consolidated away from local hands, and the national public builders account for 25.3 percent of the county's single-family construction on the consolidated permit record.</w:t>
      </w:r>
      <w:r>
        <w:rPr>
          <w:rStyle w:val="FootnoteReference"/>
        </w:rPr>
        <w:footnoteReference w:id="89"/>
      </w:r>
    </w:p>
    <w:p>
      <w:pPr>
        <w:spacing w:line="480" w:lineRule="auto" w:before="0" w:after="0"/>
        <w:ind w:firstLine="720"/>
      </w:pPr>
      <w:r>
        <w:rPr>
          <w:rFonts w:ascii="Garamond" w:hAnsi="Garamond"/>
        </w:rPr>
        <w:t>The current pipeline shows the carve-out in operation. The county's 73 flagged build-to-rent subdivisions hold 1,537 individually platted lots under fourteen operators (Appendix Table III.2).</w:t>
      </w:r>
      <w:r>
        <w:rPr>
          <w:rStyle w:val="FootnoteReference"/>
        </w:rPr>
        <w:footnoteReference w:id="90"/>
      </w:r>
      <w:r>
        <w:rPr>
          <w:rFonts w:ascii="Garamond" w:hAnsi="Garamond"/>
        </w:rPr>
        <w:t xml:space="preserve"> The lots arrive through the four delivery structures. Vertical integration: AMH and AHV Communities build through in-house contractors. Fund plus production builder: Crescent hired David Weekley at Harmon West Meade, Brookfield hired Ashton Woods at Cane Ridge, TPG Angelo Gordon hired Meritage and Lennar at Steffisburg and Pemberton, Kennedy Lewis funded Lennar's City Vista, and Invitation Homes hired Paran Homes at the Orchards and Larkin Springs. The bulk-deed record prices the forward-flow version: Porchlight East Hill took 42 homes on one 2024 deed for $25,016,333, and ACPF Spring Path Antioch took ten homes the same year for $23,088,000.</w:t>
      </w:r>
      <w:r>
        <w:rPr>
          <w:rStyle w:val="FootnoteReference"/>
        </w:rPr>
        <w:footnoteReference w:id="91"/>
      </w:r>
      <w:r>
        <w:rPr>
          <w:rFonts w:ascii="Garamond" w:hAnsi="Garamond"/>
        </w:rPr>
        <w:t xml:space="preserve"> Pre-development land banking: Ava Madison assembled its tracts in June 2022 for $1,850,000, replatted them into 203 parcels by quit-claim in April 2023, and holds 199 lots today with a $13,930,000 land appraisal and no houses.</w:t>
      </w:r>
      <w:r>
        <w:rPr>
          <w:rStyle w:val="FootnoteReference"/>
        </w:rPr>
        <w:footnoteReference w:id="92"/>
      </w:r>
    </w:p>
    <w:p>
      <w:pPr>
        <w:spacing w:line="480" w:lineRule="auto" w:before="0" w:after="0"/>
        <w:ind w:firstLine="720"/>
      </w:pPr>
      <w:r>
        <w:rPr>
          <w:rFonts w:ascii="Garamond" w:hAnsi="Garamond"/>
        </w:rPr>
        <w:t>The pipeline is mostly unbuilt. Roughly 960 of the mapped parcels carry a finished structure, about 30 percent; more than 2,200 are vacant lots with a recorded plat and no assessed improvement.</w:t>
      </w:r>
      <w:r>
        <w:rPr>
          <w:rStyle w:val="FootnoteReference"/>
        </w:rPr>
        <w:footnoteReference w:id="93"/>
      </w:r>
      <w:r>
        <w:rPr>
          <w:rFonts w:ascii="Garamond" w:hAnsi="Garamond"/>
        </w:rPr>
        <w:t xml:space="preserve"> Two operators hold nearly every completed community: AMH's roughly 420 homes across its Antioch communities and Normandy's roughly 290 across Fawn Crossing and Timber Trails. Everything else is a 2025 and 2026 pipeline that has not delivered.</w:t>
      </w:r>
      <w:r>
        <w:rPr>
          <w:rStyle w:val="FootnoteReference"/>
        </w:rPr>
        <w:footnoteReference w:id="94"/>
      </w:r>
      <w:r>
        <w:rPr>
          <w:rFonts w:ascii="Garamond" w:hAnsi="Garamond"/>
        </w:rPr>
        <w:t xml:space="preserve"> The channel also has an address. The 726 parcels the operator-level classification marks as built under a national operator or still in the pipeline sit in 37 of the county's 174 tracts, and ten tracts hold 91 percent of them; the two largest, tracts 156.34 and 156.30 in Antioch, hold 401 between them, nearly all American Homes 4 Rent's, in neighborhoods about a third renter-occupied and 36 to 56 percent Black (Appendix Table III.6).</w:t>
      </w:r>
      <w:r>
        <w:rPr>
          <w:rStyle w:val="FootnoteReference"/>
        </w:rPr>
        <w:footnoteReference w:id="95"/>
      </w:r>
      <w:r>
        <w:rPr>
          <w:rFonts w:ascii="Garamond" w:hAnsi="Garamond"/>
        </w:rPr>
        <w:t xml:space="preserve"> And the statute's own single-family definition cannot see it. In the July 2026 parcel attribution, ECG shows 301 curated parcels and 53 inside the framework universe, Thornton Grove 584 and 29, Ava Madison 200 and none, and Invitation's ResiBuilt communities 59 and none, because lots under development carry no dwelling-unit count and fall outside the single-family filter (Appendix Table III.3).</w:t>
      </w:r>
      <w:r>
        <w:rPr>
          <w:rStyle w:val="FootnoteReference"/>
        </w:rPr>
        <w:footnoteReference w:id="96"/>
      </w:r>
      <w:r>
        <w:rPr>
          <w:rFonts w:ascii="Garamond" w:hAnsi="Garamond"/>
        </w:rPr>
        <w:t xml:space="preserve"> A build-to-rent community spends its entire development life invisible to the definition the Act polices and enters the covered universe only as finished housing the exemption already blesses.</w:t>
      </w:r>
    </w:p>
    <w:p>
      <w:pPr>
        <w:spacing w:line="480" w:lineRule="auto" w:before="0" w:after="0"/>
        <w:ind w:firstLine="720"/>
      </w:pPr>
      <w:r>
        <w:rPr>
          <w:rFonts w:ascii="Garamond" w:hAnsi="Garamond"/>
          <w:b/>
        </w:rPr>
        <w:t>Finding 3 (RQ3). The county's own records corroborate the identification and mark the exempted product as a commercial rental enterprise.</w:t>
      </w:r>
      <w:r>
        <w:rPr>
          <w:rFonts w:ascii="Garamond" w:hAnsi="Garamond"/>
        </w:rPr>
        <w:t xml:space="preserve"> The 2025 reappraisal moved unified rental communities from residential to commercial classification at rates the scattered-site operators never approach: ACPF at 97.2 percent of holdings, VineBrook at 93.7 percent, Porchlight at 66.7 percent, Normandy at 46.9 percent, and American Homes 4 Rent at 17.6 percent of its mixed portfolio, against zero 2025 reclassifications for Progress Residential and 0.3 percent for Amherst (Appendix Table III.5).</w:t>
      </w:r>
      <w:r>
        <w:rPr>
          <w:rStyle w:val="FootnoteReference"/>
        </w:rPr>
        <w:footnoteReference w:id="97"/>
      </w:r>
      <w:r>
        <w:rPr>
          <w:rFonts w:ascii="Garamond" w:hAnsi="Garamond"/>
        </w:rPr>
        <w:t xml:space="preserve"> The assessor is applying the </w:t>
      </w:r>
      <w:r>
        <w:rPr>
          <w:rFonts w:ascii="Garamond" w:hAnsi="Garamond"/>
          <w:i/>
        </w:rPr>
        <w:t>Spring Hill</w:t>
      </w:r>
      <w:r>
        <w:rPr>
          <w:rFonts w:ascii="Garamond" w:hAnsi="Garamond"/>
        </w:rPr>
        <w:t xml:space="preserve"> enterprise test, and it lands exactly on the build-to-rent cohort this Part identifies. The reclassification does double work. It measures a tax consequence: each reclassified parcel carries the 60 percent assessment increase, and VineBrook's 104 reclassified Hamilton Crossing parcels alone carry $4.79 million of added assessed value on the same appraised worth, about $135,000 a year at the adopted 2025 Urban Services District rate of $2.814 per $100 of assessed value.</w:t>
      </w:r>
      <w:r>
        <w:rPr>
          <w:rStyle w:val="FootnoteReference"/>
        </w:rPr>
        <w:footnoteReference w:id="98"/>
      </w:r>
      <w:r>
        <w:rPr>
          <w:rFonts w:ascii="Garamond" w:hAnsi="Garamond"/>
        </w:rPr>
        <w:t xml:space="preserve"> It also supplies government-generated corroboration of institutional rental use, a determination the county reached for tax purposes and entirely apart from this study's ownership analysis. One limit governs the signal: the classification is fact-specific, so the commercial class is a reliable positive indicator but an unreliable negative. A parcel that remains residential is not thereby cleared; the assessor may simply not have reached it.</w:t>
      </w:r>
    </w:p>
    <w:p>
      <w:pPr>
        <w:pStyle w:val="Heading2"/>
      </w:pPr>
      <w:r>
        <w:t>B. Discussion</w:t>
      </w:r>
    </w:p>
    <w:p>
      <w:pPr>
        <w:spacing w:line="480" w:lineRule="auto" w:before="0" w:after="0"/>
        <w:ind w:firstLine="720"/>
      </w:pPr>
      <w:r>
        <w:rPr>
          <w:rFonts w:ascii="Garamond" w:hAnsi="Garamond"/>
        </w:rPr>
        <w:t>Section 1001 bans acquiring existing single-family homes and, in subsection (a)(2)(B), blesses building new ones to rent. The Davidson record shows the industry organized around that line before Congress drew it. Sixteen percent of the standing non-owner-occupied stock already arrived through the build-to-rent channel. The permit share ran from zero in 2012 to 7.27 percent in 2025, and every measurement choice in that series errs downward. The current pipeline holds 1,537 platted lots across 73 communities under fourteen operators spanning a public REIT, private-equity funds, production builders, and local developers. The largest completed build-to-rent owner in the county is a local partnership on the receiving end of a production-builder pipeline, and the largest REITs, with one exception, do not build at all; they wait for subdivisions to age and capture them lot by lot.</w:t>
      </w:r>
    </w:p>
    <w:p>
      <w:pPr>
        <w:spacing w:line="480" w:lineRule="auto" w:before="0" w:after="0"/>
        <w:ind w:firstLine="720"/>
      </w:pPr>
      <w:r>
        <w:rPr>
          <w:rFonts w:ascii="Garamond" w:hAnsi="Garamond"/>
        </w:rPr>
        <w:t>The ban therefore polices the pattern the data shows slowing and blesses the one the data shows growing. It reaches the secondary capture of existing homes, the first-wave strategy, whose net acquisition peaked years ago. It exempts the construction channel entirely, without the holding periods, spending floors, or code-deficiency predicates that discipline the renovate-to-rent exception next to it. The asymmetry is not an oversight a court could construe away; the verbs of (a)(2)(B) cover the builder, the contracting fund, and the completion-date purchaser alike. On supply diversion, the harm this Part owns, the record supports a precise statement rather than an estimate. The one-off dispositions are diversion on their face: Tennessee Townhomes and Hamilton Crossing were for-sale product, built by for-sale builders, that reached a landlord in one deed and reached no family at any price. For the ground-up communities, the counterfactual is not identified by any measurement in this Part, and the Urban Institute's unanswered reallocation question remains unanswered here. What the parcel record adds is the mechanism's scale and its address: the lots, crews, and subdivisions of a supply-constrained county, whose single-family permits fell by a third from 2021 to 2025, are being committed to rental tenure at the permit stage, inside the exception, before the for-sale market ever sees them.</w:t>
      </w:r>
    </w:p>
    <w:p>
      <w:pPr>
        <w:spacing w:line="480" w:lineRule="auto" w:before="0" w:after="0"/>
        <w:ind w:firstLine="720"/>
      </w:pPr>
      <w:r>
        <w:rPr>
          <w:rFonts w:ascii="Garamond" w:hAnsi="Garamond"/>
        </w:rPr>
        <w:t>The county's assessors already treat the exempted product as a commercial enterprise; the federal statute treats it as the protected supply response. That is the posture of this Part, stated by its own record. Institutional growth in Davidson County does not need to buy another existing home. It plats.</w:t>
      </w:r>
    </w:p>
    <w:p>
      <w:pPr>
        <w:pStyle w:val="Heading1"/>
        <w:spacing w:before="360"/>
      </w:pPr>
      <w:r>
        <w:t>Recommendations</w:t>
      </w:r>
    </w:p>
    <w:p>
      <w:pPr>
        <w:spacing w:line="480" w:lineRule="auto" w:before="0" w:after="0"/>
        <w:ind w:firstLine="720"/>
      </w:pPr>
      <w:r>
        <w:rPr>
          <w:rFonts w:ascii="Garamond" w:hAnsi="Garamond"/>
        </w:rPr>
        <w:t>Three recommendations follow from the record, and each is a condition rather than a prohibition, because the exception is the statute's design and the county's supply need is real.</w:t>
      </w:r>
    </w:p>
    <w:p>
      <w:pPr>
        <w:spacing w:line="480" w:lineRule="auto" w:before="0" w:after="0"/>
        <w:ind w:firstLine="720"/>
      </w:pPr>
      <w:r>
        <w:rPr>
          <w:rFonts w:ascii="Garamond" w:hAnsi="Garamond"/>
        </w:rPr>
        <w:t>First, condition the exception the way Congress conditioned its neighbor. Section 1001(a)(2)(C) admits a renovation only on two predicates, a code failure and a spending floor. Section 1001(a)(2)(B) admits a construction on none. A holding period, a community-composition limit, or a disclosure of forward-flow contracts at the permit stage would give the construction exception the discipline the renovation exception already carries, without touching the vertically integrated operator that builds and holds its own community.</w:t>
      </w:r>
    </w:p>
    <w:p>
      <w:pPr>
        <w:spacing w:line="480" w:lineRule="auto" w:before="0" w:after="0"/>
        <w:ind w:firstLine="720"/>
      </w:pPr>
      <w:r>
        <w:rPr>
          <w:rFonts w:ascii="Garamond" w:hAnsi="Garamond"/>
        </w:rPr>
        <w:t>Second, see the product where it is. The statute's definitions begin at the finished home, and Finding 2 shows a build-to-rent community spending its development life outside them. Treasury's implementing regulations under section 1001(b)(4) can count a platted lot under a recorded option or forward-purchase agreement toward the controlling investor's total from the date the agreement records, which is what the county deed record already shows and what the 350-home test needs in order to be administrable at the stage where control is actually taken.</w:t>
      </w:r>
    </w:p>
    <w:p>
      <w:pPr>
        <w:spacing w:line="480" w:lineRule="auto" w:before="0" w:after="0"/>
        <w:ind w:firstLine="720"/>
      </w:pPr>
      <w:r>
        <w:rPr>
          <w:rFonts w:ascii="Garamond" w:hAnsi="Garamond"/>
        </w:rPr>
        <w:t xml:space="preserve">Third, use the signal the county already generates. The Davidson assessor's residential-to-commercial reclassification under the </w:t>
      </w:r>
      <w:r>
        <w:rPr>
          <w:rFonts w:ascii="Garamond" w:hAnsi="Garamond"/>
          <w:i/>
        </w:rPr>
        <w:t>Spring Hill</w:t>
      </w:r>
      <w:r>
        <w:rPr>
          <w:rFonts w:ascii="Garamond" w:hAnsi="Garamond"/>
        </w:rPr>
        <w:t xml:space="preserve"> enterprise test marks unified rental communities with a precision no federal survey matches (Finding 3). A state that wanted to know how much of its new single-family stock is rental at origin could read its own tax rolls, and a federal regulator that wanted a count could ask the states for theirs. Metro Nashville, for its part, could require the tenure intent a subdivision plat already implies to be stated on the plat, so that the public record names a build-to-rent community before the first house rises rather than after the first reappraisal.</w:t>
      </w:r>
    </w:p>
    <w:p>
      <w:pPr>
        <w:pStyle w:val="Heading1"/>
        <w:spacing w:before="360"/>
      </w:pPr>
      <w:r>
        <w:t>Conclusion</w:t>
      </w:r>
    </w:p>
    <w:p>
      <w:pPr>
        <w:spacing w:line="480" w:lineRule="auto" w:before="0" w:after="0"/>
        <w:ind w:firstLine="720"/>
      </w:pPr>
      <w:r>
        <w:rPr>
          <w:rFonts w:ascii="Garamond" w:hAnsi="Garamond"/>
        </w:rPr>
        <w:t>This Part measured the construction stage of Nashville's institutional pipeline and found the statute's seam running through the building permit. The prohibition closes the door on the finished house. The exception opens it at the foundation, and the capital walked through years before the law passed: one operator platting its own subdivisions, funds commissioning national builders, local builders feeding local partnerships, and finished communities moving whole in single deeds that no family could answer. The permit series will rise as the recorded floor catches up with the contracted pipeline, and the tax roll will register each delivery before any disclosure does.</w:t>
      </w:r>
    </w:p>
    <w:p>
      <w:pPr>
        <w:spacing w:line="480" w:lineRule="auto" w:before="0" w:after="0"/>
        <w:ind w:firstLine="720"/>
      </w:pPr>
      <w:r>
        <w:rPr>
          <w:rFonts w:ascii="Garamond" w:hAnsi="Garamond"/>
        </w:rPr>
        <w:t>Every community in that pipeline stood on land first. Ava Madison's 199 lots carried a $13.9 million appraisal and a $60.7 million construction loan before one house existed. NVR controls 193 lots it does not own; Lennar reaches one site through three land-bank counterparties. The statute's definitions begin at the "single-family home," so the stage where these positions are assembled sits outside them entirely. Who controls Nashville's residential land before it becomes housing, through what instruments, and at what capacity, is the next Part's question. The walk continues backward, from the permit to the plat to the ground.</w:t>
      </w:r>
    </w:p>
    <w:p>
      <w:pPr>
        <w:pStyle w:val="Heading1"/>
        <w:spacing w:before="360"/>
      </w:pPr>
      <w:r>
        <w:t>APPENDIX</w:t>
      </w:r>
    </w:p>
    <w:p>
      <w:pPr>
        <w:pStyle w:val="Heading2"/>
      </w:pPr>
      <w:r>
        <w:t>Table III.1. Build-to-Rent Share of New Single-Family Permits, Davidson County, 2006–2025</w:t>
      </w:r>
    </w:p>
    <w:p>
      <w:pPr>
        <w:spacing w:line="480" w:lineRule="auto" w:before="0" w:after="0"/>
        <w:ind w:firstLine="720"/>
      </w:pPr>
      <w:r>
        <w:rPr>
          <w:rFonts w:ascii="Garamond" w:hAnsi="Garamond"/>
        </w:rPr>
        <w:t>Strict = a curated rental operator owned the parcel on the permit-issue date. Forward-flow = operator deed within 24 months of completion, attributed to the permit year, reported additively. Shares shown on the ePermits CARN denominator; the canonical 2025 headline on the Census BPS denominator is 199 of 2,739, 7.27 percent, and the pooled 2013–2025 strict share is 3.63 percent. 2026 is a partial year and is not cited.</w:t>
      </w:r>
    </w:p>
    <w:tbl>
      <w:tblPr>
        <w:tblW w:type="auto" w:w="0"/>
        <w:tblLayout w:type="autofit"/>
        <w:tblLook w:firstColumn="1" w:firstRow="1" w:lastColumn="0" w:lastRow="0" w:noHBand="0" w:noVBand="1" w:val="04A0"/>
        <w:tblBorders>
          <w:top w:val="single" w:sz="12" w:space="0" w:color="000000"/>
          <w:bottom w:val="single" w:sz="12" w:space="0" w:color="000000"/>
          <w:left w:val="nil" w:sz="0" w:space="0" w:color="000000"/>
          <w:right w:val="nil" w:sz="0" w:space="0" w:color="000000"/>
          <w:insideH w:val="nil" w:sz="0" w:space="0" w:color="000000"/>
          <w:insideV w:val="nil" w:sz="0" w:space="0" w:color="000000"/>
        </w:tblBorders>
      </w:tblPr>
      <w:tblGrid>
        <w:gridCol w:w="1560"/>
        <w:gridCol w:w="1560"/>
        <w:gridCol w:w="1560"/>
        <w:gridCol w:w="1560"/>
        <w:gridCol w:w="1560"/>
        <w:gridCol w:w="1560"/>
      </w:tblGrid>
      <w:tr>
        <w:tc>
          <w:tcPr>
            <w:tcW w:type="dxa" w:w="1560"/>
            <w:tcBorders>
              <w:bottom w:val="single" w:sz="4" w:color="000000"/>
            </w:tcBorders>
          </w:tcPr>
          <w:p>
            <w:pPr>
              <w:spacing w:line="240" w:lineRule="auto"/>
            </w:pPr>
            <w:r>
              <w:rPr>
                <w:b/>
              </w:rPr>
            </w:r>
            <w:r>
              <w:rPr>
                <w:rFonts w:ascii="Garamond" w:hAnsi="Garamond"/>
                <w:b/>
                <w:sz w:val="17"/>
              </w:rPr>
              <w:t>Year</w:t>
            </w:r>
          </w:p>
        </w:tc>
        <w:tc>
          <w:tcPr>
            <w:tcW w:type="dxa" w:w="1560"/>
            <w:tcBorders>
              <w:bottom w:val="single" w:sz="4" w:color="000000"/>
            </w:tcBorders>
          </w:tcPr>
          <w:p>
            <w:pPr>
              <w:spacing w:line="240" w:lineRule="auto"/>
            </w:pPr>
            <w:r>
              <w:rPr>
                <w:b/>
              </w:rPr>
            </w:r>
            <w:r>
              <w:rPr>
                <w:rFonts w:ascii="Garamond" w:hAnsi="Garamond"/>
                <w:b/>
                <w:sz w:val="17"/>
              </w:rPr>
              <w:t>New SF permits (ePermits)</w:t>
            </w:r>
          </w:p>
        </w:tc>
        <w:tc>
          <w:tcPr>
            <w:tcW w:type="dxa" w:w="1560"/>
            <w:tcBorders>
              <w:bottom w:val="single" w:sz="4" w:color="000000"/>
            </w:tcBorders>
          </w:tcPr>
          <w:p>
            <w:pPr>
              <w:spacing w:line="240" w:lineRule="auto"/>
            </w:pPr>
            <w:r>
              <w:rPr>
                <w:b/>
              </w:rPr>
            </w:r>
            <w:r>
              <w:rPr>
                <w:rFonts w:ascii="Garamond" w:hAnsi="Garamond"/>
                <w:b/>
                <w:sz w:val="17"/>
              </w:rPr>
              <w:t>BTR strict</w:t>
            </w:r>
          </w:p>
        </w:tc>
        <w:tc>
          <w:tcPr>
            <w:tcW w:type="dxa" w:w="1560"/>
            <w:tcBorders>
              <w:bottom w:val="single" w:sz="4" w:color="000000"/>
            </w:tcBorders>
          </w:tcPr>
          <w:p>
            <w:pPr>
              <w:spacing w:line="240" w:lineRule="auto"/>
            </w:pPr>
            <w:r>
              <w:rPr>
                <w:b/>
              </w:rPr>
            </w:r>
            <w:r>
              <w:rPr>
                <w:rFonts w:ascii="Garamond" w:hAnsi="Garamond"/>
                <w:b/>
                <w:sz w:val="17"/>
              </w:rPr>
              <w:t>BTR forward-flow</w:t>
            </w:r>
          </w:p>
        </w:tc>
        <w:tc>
          <w:tcPr>
            <w:tcW w:type="dxa" w:w="1560"/>
            <w:tcBorders>
              <w:bottom w:val="single" w:sz="4" w:color="000000"/>
            </w:tcBorders>
          </w:tcPr>
          <w:p>
            <w:pPr>
              <w:spacing w:line="240" w:lineRule="auto"/>
            </w:pPr>
            <w:r>
              <w:rPr>
                <w:b/>
              </w:rPr>
            </w:r>
            <w:r>
              <w:rPr>
                <w:rFonts w:ascii="Garamond" w:hAnsi="Garamond"/>
                <w:b/>
                <w:sz w:val="17"/>
              </w:rPr>
              <w:t>Share strict (%)</w:t>
            </w:r>
          </w:p>
        </w:tc>
        <w:tc>
          <w:tcPr>
            <w:tcW w:type="dxa" w:w="1560"/>
            <w:tcBorders>
              <w:bottom w:val="single" w:sz="4" w:color="000000"/>
            </w:tcBorders>
          </w:tcPr>
          <w:p>
            <w:pPr>
              <w:spacing w:line="240" w:lineRule="auto"/>
            </w:pPr>
            <w:r>
              <w:rPr>
                <w:b/>
              </w:rPr>
            </w:r>
            <w:r>
              <w:rPr>
                <w:rFonts w:ascii="Garamond" w:hAnsi="Garamond"/>
                <w:b/>
                <w:sz w:val="17"/>
              </w:rPr>
              <w:t>Share inclusive (%)</w:t>
            </w:r>
          </w:p>
        </w:tc>
      </w:tr>
      <w:tr>
        <w:tc>
          <w:tcPr>
            <w:tcW w:type="dxa" w:w="1560"/>
          </w:tcPr>
          <w:p>
            <w:pPr>
              <w:spacing w:line="240" w:lineRule="auto"/>
            </w:pPr>
            <w:r/>
            <w:r>
              <w:rPr>
                <w:rFonts w:ascii="Garamond" w:hAnsi="Garamond"/>
                <w:sz w:val="17"/>
              </w:rPr>
              <w:t>2006</w:t>
            </w:r>
          </w:p>
        </w:tc>
        <w:tc>
          <w:tcPr>
            <w:tcW w:type="dxa" w:w="1560"/>
          </w:tcPr>
          <w:p>
            <w:pPr>
              <w:spacing w:line="240" w:lineRule="auto"/>
              <w:jc w:val="right"/>
            </w:pPr>
            <w:r/>
            <w:r>
              <w:rPr>
                <w:rFonts w:ascii="Garamond" w:hAnsi="Garamond"/>
                <w:sz w:val="17"/>
              </w:rPr>
              <w:t>894</w:t>
            </w:r>
          </w:p>
        </w:tc>
        <w:tc>
          <w:tcPr>
            <w:tcW w:type="dxa" w:w="1560"/>
          </w:tcPr>
          <w:p>
            <w:pPr>
              <w:spacing w:line="240" w:lineRule="auto"/>
              <w:jc w:val="right"/>
            </w:pPr>
            <w:r/>
            <w:r>
              <w:rPr>
                <w:rFonts w:ascii="Garamond" w:hAnsi="Garamond"/>
                <w:sz w:val="17"/>
              </w:rPr>
              <w:t>0</w:t>
            </w:r>
          </w:p>
        </w:tc>
        <w:tc>
          <w:tcPr>
            <w:tcW w:type="dxa" w:w="1560"/>
          </w:tcPr>
          <w:p>
            <w:pPr>
              <w:spacing w:line="240" w:lineRule="auto"/>
              <w:jc w:val="right"/>
            </w:pPr>
            <w:r/>
            <w:r>
              <w:rPr>
                <w:rFonts w:ascii="Garamond" w:hAnsi="Garamond"/>
                <w:sz w:val="17"/>
              </w:rPr>
              <w:t>0</w:t>
            </w:r>
          </w:p>
        </w:tc>
        <w:tc>
          <w:tcPr>
            <w:tcW w:type="dxa" w:w="1560"/>
          </w:tcPr>
          <w:p>
            <w:pPr>
              <w:spacing w:line="240" w:lineRule="auto"/>
              <w:jc w:val="right"/>
            </w:pPr>
            <w:r/>
            <w:r>
              <w:rPr>
                <w:rFonts w:ascii="Garamond" w:hAnsi="Garamond"/>
                <w:sz w:val="17"/>
              </w:rPr>
              <w:t>0.00</w:t>
            </w:r>
          </w:p>
        </w:tc>
        <w:tc>
          <w:tcPr>
            <w:tcW w:type="dxa" w:w="1560"/>
          </w:tcPr>
          <w:p>
            <w:pPr>
              <w:spacing w:line="240" w:lineRule="auto"/>
              <w:jc w:val="right"/>
            </w:pPr>
            <w:r/>
            <w:r>
              <w:rPr>
                <w:rFonts w:ascii="Garamond" w:hAnsi="Garamond"/>
                <w:sz w:val="17"/>
              </w:rPr>
              <w:t>0.00</w:t>
            </w:r>
          </w:p>
        </w:tc>
      </w:tr>
      <w:tr>
        <w:tc>
          <w:tcPr>
            <w:tcW w:type="dxa" w:w="1560"/>
          </w:tcPr>
          <w:p>
            <w:pPr>
              <w:spacing w:line="240" w:lineRule="auto"/>
            </w:pPr>
            <w:r/>
            <w:r>
              <w:rPr>
                <w:rFonts w:ascii="Garamond" w:hAnsi="Garamond"/>
                <w:sz w:val="17"/>
              </w:rPr>
              <w:t>2007</w:t>
            </w:r>
          </w:p>
        </w:tc>
        <w:tc>
          <w:tcPr>
            <w:tcW w:type="dxa" w:w="1560"/>
          </w:tcPr>
          <w:p>
            <w:pPr>
              <w:spacing w:line="240" w:lineRule="auto"/>
              <w:jc w:val="right"/>
            </w:pPr>
            <w:r/>
            <w:r>
              <w:rPr>
                <w:rFonts w:ascii="Garamond" w:hAnsi="Garamond"/>
                <w:sz w:val="17"/>
              </w:rPr>
              <w:t>2,971</w:t>
            </w:r>
          </w:p>
        </w:tc>
        <w:tc>
          <w:tcPr>
            <w:tcW w:type="dxa" w:w="1560"/>
          </w:tcPr>
          <w:p>
            <w:pPr>
              <w:spacing w:line="240" w:lineRule="auto"/>
              <w:jc w:val="right"/>
            </w:pPr>
            <w:r/>
            <w:r>
              <w:rPr>
                <w:rFonts w:ascii="Garamond" w:hAnsi="Garamond"/>
                <w:sz w:val="17"/>
              </w:rPr>
              <w:t>0</w:t>
            </w:r>
          </w:p>
        </w:tc>
        <w:tc>
          <w:tcPr>
            <w:tcW w:type="dxa" w:w="1560"/>
          </w:tcPr>
          <w:p>
            <w:pPr>
              <w:spacing w:line="240" w:lineRule="auto"/>
              <w:jc w:val="right"/>
            </w:pPr>
            <w:r/>
            <w:r>
              <w:rPr>
                <w:rFonts w:ascii="Garamond" w:hAnsi="Garamond"/>
                <w:sz w:val="17"/>
              </w:rPr>
              <w:t>0</w:t>
            </w:r>
          </w:p>
        </w:tc>
        <w:tc>
          <w:tcPr>
            <w:tcW w:type="dxa" w:w="1560"/>
          </w:tcPr>
          <w:p>
            <w:pPr>
              <w:spacing w:line="240" w:lineRule="auto"/>
              <w:jc w:val="right"/>
            </w:pPr>
            <w:r/>
            <w:r>
              <w:rPr>
                <w:rFonts w:ascii="Garamond" w:hAnsi="Garamond"/>
                <w:sz w:val="17"/>
              </w:rPr>
              <w:t>0.00</w:t>
            </w:r>
          </w:p>
        </w:tc>
        <w:tc>
          <w:tcPr>
            <w:tcW w:type="dxa" w:w="1560"/>
          </w:tcPr>
          <w:p>
            <w:pPr>
              <w:spacing w:line="240" w:lineRule="auto"/>
              <w:jc w:val="right"/>
            </w:pPr>
            <w:r/>
            <w:r>
              <w:rPr>
                <w:rFonts w:ascii="Garamond" w:hAnsi="Garamond"/>
                <w:sz w:val="17"/>
              </w:rPr>
              <w:t>0.00</w:t>
            </w:r>
          </w:p>
        </w:tc>
      </w:tr>
      <w:tr>
        <w:tc>
          <w:tcPr>
            <w:tcW w:type="dxa" w:w="1560"/>
          </w:tcPr>
          <w:p>
            <w:pPr>
              <w:spacing w:line="240" w:lineRule="auto"/>
            </w:pPr>
            <w:r/>
            <w:r>
              <w:rPr>
                <w:rFonts w:ascii="Garamond" w:hAnsi="Garamond"/>
                <w:sz w:val="17"/>
              </w:rPr>
              <w:t>2008</w:t>
            </w:r>
          </w:p>
        </w:tc>
        <w:tc>
          <w:tcPr>
            <w:tcW w:type="dxa" w:w="1560"/>
          </w:tcPr>
          <w:p>
            <w:pPr>
              <w:spacing w:line="240" w:lineRule="auto"/>
              <w:jc w:val="right"/>
            </w:pPr>
            <w:r/>
            <w:r>
              <w:rPr>
                <w:rFonts w:ascii="Garamond" w:hAnsi="Garamond"/>
                <w:sz w:val="17"/>
              </w:rPr>
              <w:t>1,453</w:t>
            </w:r>
          </w:p>
        </w:tc>
        <w:tc>
          <w:tcPr>
            <w:tcW w:type="dxa" w:w="1560"/>
          </w:tcPr>
          <w:p>
            <w:pPr>
              <w:spacing w:line="240" w:lineRule="auto"/>
              <w:jc w:val="right"/>
            </w:pPr>
            <w:r/>
            <w:r>
              <w:rPr>
                <w:rFonts w:ascii="Garamond" w:hAnsi="Garamond"/>
                <w:sz w:val="17"/>
              </w:rPr>
              <w:t>0</w:t>
            </w:r>
          </w:p>
        </w:tc>
        <w:tc>
          <w:tcPr>
            <w:tcW w:type="dxa" w:w="1560"/>
          </w:tcPr>
          <w:p>
            <w:pPr>
              <w:spacing w:line="240" w:lineRule="auto"/>
              <w:jc w:val="right"/>
            </w:pPr>
            <w:r/>
            <w:r>
              <w:rPr>
                <w:rFonts w:ascii="Garamond" w:hAnsi="Garamond"/>
                <w:sz w:val="17"/>
              </w:rPr>
              <w:t>1</w:t>
            </w:r>
          </w:p>
        </w:tc>
        <w:tc>
          <w:tcPr>
            <w:tcW w:type="dxa" w:w="1560"/>
          </w:tcPr>
          <w:p>
            <w:pPr>
              <w:spacing w:line="240" w:lineRule="auto"/>
              <w:jc w:val="right"/>
            </w:pPr>
            <w:r/>
            <w:r>
              <w:rPr>
                <w:rFonts w:ascii="Garamond" w:hAnsi="Garamond"/>
                <w:sz w:val="17"/>
              </w:rPr>
              <w:t>0.00</w:t>
            </w:r>
          </w:p>
        </w:tc>
        <w:tc>
          <w:tcPr>
            <w:tcW w:type="dxa" w:w="1560"/>
          </w:tcPr>
          <w:p>
            <w:pPr>
              <w:spacing w:line="240" w:lineRule="auto"/>
              <w:jc w:val="right"/>
            </w:pPr>
            <w:r/>
            <w:r>
              <w:rPr>
                <w:rFonts w:ascii="Garamond" w:hAnsi="Garamond"/>
                <w:sz w:val="17"/>
              </w:rPr>
              <w:t>0.07</w:t>
            </w:r>
          </w:p>
        </w:tc>
      </w:tr>
      <w:tr>
        <w:tc>
          <w:tcPr>
            <w:tcW w:type="dxa" w:w="1560"/>
          </w:tcPr>
          <w:p>
            <w:pPr>
              <w:spacing w:line="240" w:lineRule="auto"/>
            </w:pPr>
            <w:r/>
            <w:r>
              <w:rPr>
                <w:rFonts w:ascii="Garamond" w:hAnsi="Garamond"/>
                <w:sz w:val="17"/>
              </w:rPr>
              <w:t>2009</w:t>
            </w:r>
          </w:p>
        </w:tc>
        <w:tc>
          <w:tcPr>
            <w:tcW w:type="dxa" w:w="1560"/>
          </w:tcPr>
          <w:p>
            <w:pPr>
              <w:spacing w:line="240" w:lineRule="auto"/>
              <w:jc w:val="right"/>
            </w:pPr>
            <w:r/>
            <w:r>
              <w:rPr>
                <w:rFonts w:ascii="Garamond" w:hAnsi="Garamond"/>
                <w:sz w:val="17"/>
              </w:rPr>
              <w:t>1,072</w:t>
            </w:r>
          </w:p>
        </w:tc>
        <w:tc>
          <w:tcPr>
            <w:tcW w:type="dxa" w:w="1560"/>
          </w:tcPr>
          <w:p>
            <w:pPr>
              <w:spacing w:line="240" w:lineRule="auto"/>
              <w:jc w:val="right"/>
            </w:pPr>
            <w:r/>
            <w:r>
              <w:rPr>
                <w:rFonts w:ascii="Garamond" w:hAnsi="Garamond"/>
                <w:sz w:val="17"/>
              </w:rPr>
              <w:t>0</w:t>
            </w:r>
          </w:p>
        </w:tc>
        <w:tc>
          <w:tcPr>
            <w:tcW w:type="dxa" w:w="1560"/>
          </w:tcPr>
          <w:p>
            <w:pPr>
              <w:spacing w:line="240" w:lineRule="auto"/>
              <w:jc w:val="right"/>
            </w:pPr>
            <w:r/>
            <w:r>
              <w:rPr>
                <w:rFonts w:ascii="Garamond" w:hAnsi="Garamond"/>
                <w:sz w:val="17"/>
              </w:rPr>
              <w:t>0</w:t>
            </w:r>
          </w:p>
        </w:tc>
        <w:tc>
          <w:tcPr>
            <w:tcW w:type="dxa" w:w="1560"/>
          </w:tcPr>
          <w:p>
            <w:pPr>
              <w:spacing w:line="240" w:lineRule="auto"/>
              <w:jc w:val="right"/>
            </w:pPr>
            <w:r/>
            <w:r>
              <w:rPr>
                <w:rFonts w:ascii="Garamond" w:hAnsi="Garamond"/>
                <w:sz w:val="17"/>
              </w:rPr>
              <w:t>0.00</w:t>
            </w:r>
          </w:p>
        </w:tc>
        <w:tc>
          <w:tcPr>
            <w:tcW w:type="dxa" w:w="1560"/>
          </w:tcPr>
          <w:p>
            <w:pPr>
              <w:spacing w:line="240" w:lineRule="auto"/>
              <w:jc w:val="right"/>
            </w:pPr>
            <w:r/>
            <w:r>
              <w:rPr>
                <w:rFonts w:ascii="Garamond" w:hAnsi="Garamond"/>
                <w:sz w:val="17"/>
              </w:rPr>
              <w:t>0.00</w:t>
            </w:r>
          </w:p>
        </w:tc>
      </w:tr>
      <w:tr>
        <w:tc>
          <w:tcPr>
            <w:tcW w:type="dxa" w:w="1560"/>
          </w:tcPr>
          <w:p>
            <w:pPr>
              <w:spacing w:line="240" w:lineRule="auto"/>
            </w:pPr>
            <w:r/>
            <w:r>
              <w:rPr>
                <w:rFonts w:ascii="Garamond" w:hAnsi="Garamond"/>
                <w:sz w:val="17"/>
              </w:rPr>
              <w:t>2010</w:t>
            </w:r>
          </w:p>
        </w:tc>
        <w:tc>
          <w:tcPr>
            <w:tcW w:type="dxa" w:w="1560"/>
          </w:tcPr>
          <w:p>
            <w:pPr>
              <w:spacing w:line="240" w:lineRule="auto"/>
              <w:jc w:val="right"/>
            </w:pPr>
            <w:r/>
            <w:r>
              <w:rPr>
                <w:rFonts w:ascii="Garamond" w:hAnsi="Garamond"/>
                <w:sz w:val="17"/>
              </w:rPr>
              <w:t>1,001</w:t>
            </w:r>
          </w:p>
        </w:tc>
        <w:tc>
          <w:tcPr>
            <w:tcW w:type="dxa" w:w="1560"/>
          </w:tcPr>
          <w:p>
            <w:pPr>
              <w:spacing w:line="240" w:lineRule="auto"/>
              <w:jc w:val="right"/>
            </w:pPr>
            <w:r/>
            <w:r>
              <w:rPr>
                <w:rFonts w:ascii="Garamond" w:hAnsi="Garamond"/>
                <w:sz w:val="17"/>
              </w:rPr>
              <w:t>0</w:t>
            </w:r>
          </w:p>
        </w:tc>
        <w:tc>
          <w:tcPr>
            <w:tcW w:type="dxa" w:w="1560"/>
          </w:tcPr>
          <w:p>
            <w:pPr>
              <w:spacing w:line="240" w:lineRule="auto"/>
              <w:jc w:val="right"/>
            </w:pPr>
            <w:r/>
            <w:r>
              <w:rPr>
                <w:rFonts w:ascii="Garamond" w:hAnsi="Garamond"/>
                <w:sz w:val="17"/>
              </w:rPr>
              <w:t>1</w:t>
            </w:r>
          </w:p>
        </w:tc>
        <w:tc>
          <w:tcPr>
            <w:tcW w:type="dxa" w:w="1560"/>
          </w:tcPr>
          <w:p>
            <w:pPr>
              <w:spacing w:line="240" w:lineRule="auto"/>
              <w:jc w:val="right"/>
            </w:pPr>
            <w:r/>
            <w:r>
              <w:rPr>
                <w:rFonts w:ascii="Garamond" w:hAnsi="Garamond"/>
                <w:sz w:val="17"/>
              </w:rPr>
              <w:t>0.00</w:t>
            </w:r>
          </w:p>
        </w:tc>
        <w:tc>
          <w:tcPr>
            <w:tcW w:type="dxa" w:w="1560"/>
          </w:tcPr>
          <w:p>
            <w:pPr>
              <w:spacing w:line="240" w:lineRule="auto"/>
              <w:jc w:val="right"/>
            </w:pPr>
            <w:r/>
            <w:r>
              <w:rPr>
                <w:rFonts w:ascii="Garamond" w:hAnsi="Garamond"/>
                <w:sz w:val="17"/>
              </w:rPr>
              <w:t>0.10</w:t>
            </w:r>
          </w:p>
        </w:tc>
      </w:tr>
      <w:tr>
        <w:tc>
          <w:tcPr>
            <w:tcW w:type="dxa" w:w="1560"/>
          </w:tcPr>
          <w:p>
            <w:pPr>
              <w:spacing w:line="240" w:lineRule="auto"/>
            </w:pPr>
            <w:r/>
            <w:r>
              <w:rPr>
                <w:rFonts w:ascii="Garamond" w:hAnsi="Garamond"/>
                <w:sz w:val="17"/>
              </w:rPr>
              <w:t>2011</w:t>
            </w:r>
          </w:p>
        </w:tc>
        <w:tc>
          <w:tcPr>
            <w:tcW w:type="dxa" w:w="1560"/>
          </w:tcPr>
          <w:p>
            <w:pPr>
              <w:spacing w:line="240" w:lineRule="auto"/>
              <w:jc w:val="right"/>
            </w:pPr>
            <w:r/>
            <w:r>
              <w:rPr>
                <w:rFonts w:ascii="Garamond" w:hAnsi="Garamond"/>
                <w:sz w:val="17"/>
              </w:rPr>
              <w:t>1,094</w:t>
            </w:r>
          </w:p>
        </w:tc>
        <w:tc>
          <w:tcPr>
            <w:tcW w:type="dxa" w:w="1560"/>
          </w:tcPr>
          <w:p>
            <w:pPr>
              <w:spacing w:line="240" w:lineRule="auto"/>
              <w:jc w:val="right"/>
            </w:pPr>
            <w:r/>
            <w:r>
              <w:rPr>
                <w:rFonts w:ascii="Garamond" w:hAnsi="Garamond"/>
                <w:sz w:val="17"/>
              </w:rPr>
              <w:t>0</w:t>
            </w:r>
          </w:p>
        </w:tc>
        <w:tc>
          <w:tcPr>
            <w:tcW w:type="dxa" w:w="1560"/>
          </w:tcPr>
          <w:p>
            <w:pPr>
              <w:spacing w:line="240" w:lineRule="auto"/>
              <w:jc w:val="right"/>
            </w:pPr>
            <w:r/>
            <w:r>
              <w:rPr>
                <w:rFonts w:ascii="Garamond" w:hAnsi="Garamond"/>
                <w:sz w:val="17"/>
              </w:rPr>
              <w:t>2</w:t>
            </w:r>
          </w:p>
        </w:tc>
        <w:tc>
          <w:tcPr>
            <w:tcW w:type="dxa" w:w="1560"/>
          </w:tcPr>
          <w:p>
            <w:pPr>
              <w:spacing w:line="240" w:lineRule="auto"/>
              <w:jc w:val="right"/>
            </w:pPr>
            <w:r/>
            <w:r>
              <w:rPr>
                <w:rFonts w:ascii="Garamond" w:hAnsi="Garamond"/>
                <w:sz w:val="17"/>
              </w:rPr>
              <w:t>0.00</w:t>
            </w:r>
          </w:p>
        </w:tc>
        <w:tc>
          <w:tcPr>
            <w:tcW w:type="dxa" w:w="1560"/>
          </w:tcPr>
          <w:p>
            <w:pPr>
              <w:spacing w:line="240" w:lineRule="auto"/>
              <w:jc w:val="right"/>
            </w:pPr>
            <w:r/>
            <w:r>
              <w:rPr>
                <w:rFonts w:ascii="Garamond" w:hAnsi="Garamond"/>
                <w:sz w:val="17"/>
              </w:rPr>
              <w:t>0.18</w:t>
            </w:r>
          </w:p>
        </w:tc>
      </w:tr>
      <w:tr>
        <w:tc>
          <w:tcPr>
            <w:tcW w:type="dxa" w:w="1560"/>
          </w:tcPr>
          <w:p>
            <w:pPr>
              <w:spacing w:line="240" w:lineRule="auto"/>
            </w:pPr>
            <w:r/>
            <w:r>
              <w:rPr>
                <w:rFonts w:ascii="Garamond" w:hAnsi="Garamond"/>
                <w:sz w:val="17"/>
              </w:rPr>
              <w:t>2012</w:t>
            </w:r>
          </w:p>
        </w:tc>
        <w:tc>
          <w:tcPr>
            <w:tcW w:type="dxa" w:w="1560"/>
          </w:tcPr>
          <w:p>
            <w:pPr>
              <w:spacing w:line="240" w:lineRule="auto"/>
              <w:jc w:val="right"/>
            </w:pPr>
            <w:r/>
            <w:r>
              <w:rPr>
                <w:rFonts w:ascii="Garamond" w:hAnsi="Garamond"/>
                <w:sz w:val="17"/>
              </w:rPr>
              <w:t>1,319</w:t>
            </w:r>
          </w:p>
        </w:tc>
        <w:tc>
          <w:tcPr>
            <w:tcW w:type="dxa" w:w="1560"/>
          </w:tcPr>
          <w:p>
            <w:pPr>
              <w:spacing w:line="240" w:lineRule="auto"/>
              <w:jc w:val="right"/>
            </w:pPr>
            <w:r/>
            <w:r>
              <w:rPr>
                <w:rFonts w:ascii="Garamond" w:hAnsi="Garamond"/>
                <w:sz w:val="17"/>
              </w:rPr>
              <w:t>0</w:t>
            </w:r>
          </w:p>
        </w:tc>
        <w:tc>
          <w:tcPr>
            <w:tcW w:type="dxa" w:w="1560"/>
          </w:tcPr>
          <w:p>
            <w:pPr>
              <w:spacing w:line="240" w:lineRule="auto"/>
              <w:jc w:val="right"/>
            </w:pPr>
            <w:r/>
            <w:r>
              <w:rPr>
                <w:rFonts w:ascii="Garamond" w:hAnsi="Garamond"/>
                <w:sz w:val="17"/>
              </w:rPr>
              <w:t>6</w:t>
            </w:r>
          </w:p>
        </w:tc>
        <w:tc>
          <w:tcPr>
            <w:tcW w:type="dxa" w:w="1560"/>
          </w:tcPr>
          <w:p>
            <w:pPr>
              <w:spacing w:line="240" w:lineRule="auto"/>
              <w:jc w:val="right"/>
            </w:pPr>
            <w:r/>
            <w:r>
              <w:rPr>
                <w:rFonts w:ascii="Garamond" w:hAnsi="Garamond"/>
                <w:sz w:val="17"/>
              </w:rPr>
              <w:t>0.00</w:t>
            </w:r>
          </w:p>
        </w:tc>
        <w:tc>
          <w:tcPr>
            <w:tcW w:type="dxa" w:w="1560"/>
          </w:tcPr>
          <w:p>
            <w:pPr>
              <w:spacing w:line="240" w:lineRule="auto"/>
              <w:jc w:val="right"/>
            </w:pPr>
            <w:r/>
            <w:r>
              <w:rPr>
                <w:rFonts w:ascii="Garamond" w:hAnsi="Garamond"/>
                <w:sz w:val="17"/>
              </w:rPr>
              <w:t>0.45</w:t>
            </w:r>
          </w:p>
        </w:tc>
      </w:tr>
      <w:tr>
        <w:tc>
          <w:tcPr>
            <w:tcW w:type="dxa" w:w="1560"/>
          </w:tcPr>
          <w:p>
            <w:pPr>
              <w:spacing w:line="240" w:lineRule="auto"/>
            </w:pPr>
            <w:r/>
            <w:r>
              <w:rPr>
                <w:rFonts w:ascii="Garamond" w:hAnsi="Garamond"/>
                <w:sz w:val="17"/>
              </w:rPr>
              <w:t>2013</w:t>
            </w:r>
          </w:p>
        </w:tc>
        <w:tc>
          <w:tcPr>
            <w:tcW w:type="dxa" w:w="1560"/>
          </w:tcPr>
          <w:p>
            <w:pPr>
              <w:spacing w:line="240" w:lineRule="auto"/>
              <w:jc w:val="right"/>
            </w:pPr>
            <w:r/>
            <w:r>
              <w:rPr>
                <w:rFonts w:ascii="Garamond" w:hAnsi="Garamond"/>
                <w:sz w:val="17"/>
              </w:rPr>
              <w:t>1,853</w:t>
            </w:r>
          </w:p>
        </w:tc>
        <w:tc>
          <w:tcPr>
            <w:tcW w:type="dxa" w:w="1560"/>
          </w:tcPr>
          <w:p>
            <w:pPr>
              <w:spacing w:line="240" w:lineRule="auto"/>
              <w:jc w:val="right"/>
            </w:pPr>
            <w:r/>
            <w:r>
              <w:rPr>
                <w:rFonts w:ascii="Garamond" w:hAnsi="Garamond"/>
                <w:sz w:val="17"/>
              </w:rPr>
              <w:t>23</w:t>
            </w:r>
          </w:p>
        </w:tc>
        <w:tc>
          <w:tcPr>
            <w:tcW w:type="dxa" w:w="1560"/>
          </w:tcPr>
          <w:p>
            <w:pPr>
              <w:spacing w:line="240" w:lineRule="auto"/>
              <w:jc w:val="right"/>
            </w:pPr>
            <w:r/>
            <w:r>
              <w:rPr>
                <w:rFonts w:ascii="Garamond" w:hAnsi="Garamond"/>
                <w:sz w:val="17"/>
              </w:rPr>
              <w:t>21</w:t>
            </w:r>
          </w:p>
        </w:tc>
        <w:tc>
          <w:tcPr>
            <w:tcW w:type="dxa" w:w="1560"/>
          </w:tcPr>
          <w:p>
            <w:pPr>
              <w:spacing w:line="240" w:lineRule="auto"/>
              <w:jc w:val="right"/>
            </w:pPr>
            <w:r/>
            <w:r>
              <w:rPr>
                <w:rFonts w:ascii="Garamond" w:hAnsi="Garamond"/>
                <w:sz w:val="17"/>
              </w:rPr>
              <w:t>1.24</w:t>
            </w:r>
          </w:p>
        </w:tc>
        <w:tc>
          <w:tcPr>
            <w:tcW w:type="dxa" w:w="1560"/>
          </w:tcPr>
          <w:p>
            <w:pPr>
              <w:spacing w:line="240" w:lineRule="auto"/>
              <w:jc w:val="right"/>
            </w:pPr>
            <w:r/>
            <w:r>
              <w:rPr>
                <w:rFonts w:ascii="Garamond" w:hAnsi="Garamond"/>
                <w:sz w:val="17"/>
              </w:rPr>
              <w:t>2.37</w:t>
            </w:r>
          </w:p>
        </w:tc>
      </w:tr>
      <w:tr>
        <w:tc>
          <w:tcPr>
            <w:tcW w:type="dxa" w:w="1560"/>
          </w:tcPr>
          <w:p>
            <w:pPr>
              <w:spacing w:line="240" w:lineRule="auto"/>
            </w:pPr>
            <w:r/>
            <w:r>
              <w:rPr>
                <w:rFonts w:ascii="Garamond" w:hAnsi="Garamond"/>
                <w:sz w:val="17"/>
              </w:rPr>
              <w:t>2014</w:t>
            </w:r>
          </w:p>
        </w:tc>
        <w:tc>
          <w:tcPr>
            <w:tcW w:type="dxa" w:w="1560"/>
          </w:tcPr>
          <w:p>
            <w:pPr>
              <w:spacing w:line="240" w:lineRule="auto"/>
              <w:jc w:val="right"/>
            </w:pPr>
            <w:r/>
            <w:r>
              <w:rPr>
                <w:rFonts w:ascii="Garamond" w:hAnsi="Garamond"/>
                <w:sz w:val="17"/>
              </w:rPr>
              <w:t>2,565</w:t>
            </w:r>
          </w:p>
        </w:tc>
        <w:tc>
          <w:tcPr>
            <w:tcW w:type="dxa" w:w="1560"/>
          </w:tcPr>
          <w:p>
            <w:pPr>
              <w:spacing w:line="240" w:lineRule="auto"/>
              <w:jc w:val="right"/>
            </w:pPr>
            <w:r/>
            <w:r>
              <w:rPr>
                <w:rFonts w:ascii="Garamond" w:hAnsi="Garamond"/>
                <w:sz w:val="17"/>
              </w:rPr>
              <w:t>60</w:t>
            </w:r>
          </w:p>
        </w:tc>
        <w:tc>
          <w:tcPr>
            <w:tcW w:type="dxa" w:w="1560"/>
          </w:tcPr>
          <w:p>
            <w:pPr>
              <w:spacing w:line="240" w:lineRule="auto"/>
              <w:jc w:val="right"/>
            </w:pPr>
            <w:r/>
            <w:r>
              <w:rPr>
                <w:rFonts w:ascii="Garamond" w:hAnsi="Garamond"/>
                <w:sz w:val="17"/>
              </w:rPr>
              <w:t>21</w:t>
            </w:r>
          </w:p>
        </w:tc>
        <w:tc>
          <w:tcPr>
            <w:tcW w:type="dxa" w:w="1560"/>
          </w:tcPr>
          <w:p>
            <w:pPr>
              <w:spacing w:line="240" w:lineRule="auto"/>
              <w:jc w:val="right"/>
            </w:pPr>
            <w:r/>
            <w:r>
              <w:rPr>
                <w:rFonts w:ascii="Garamond" w:hAnsi="Garamond"/>
                <w:sz w:val="17"/>
              </w:rPr>
              <w:t>2.34</w:t>
            </w:r>
          </w:p>
        </w:tc>
        <w:tc>
          <w:tcPr>
            <w:tcW w:type="dxa" w:w="1560"/>
          </w:tcPr>
          <w:p>
            <w:pPr>
              <w:spacing w:line="240" w:lineRule="auto"/>
              <w:jc w:val="right"/>
            </w:pPr>
            <w:r/>
            <w:r>
              <w:rPr>
                <w:rFonts w:ascii="Garamond" w:hAnsi="Garamond"/>
                <w:sz w:val="17"/>
              </w:rPr>
              <w:t>3.16</w:t>
            </w:r>
          </w:p>
        </w:tc>
      </w:tr>
      <w:tr>
        <w:tc>
          <w:tcPr>
            <w:tcW w:type="dxa" w:w="1560"/>
          </w:tcPr>
          <w:p>
            <w:pPr>
              <w:spacing w:line="240" w:lineRule="auto"/>
            </w:pPr>
            <w:r/>
            <w:r>
              <w:rPr>
                <w:rFonts w:ascii="Garamond" w:hAnsi="Garamond"/>
                <w:sz w:val="17"/>
              </w:rPr>
              <w:t>2015</w:t>
            </w:r>
          </w:p>
        </w:tc>
        <w:tc>
          <w:tcPr>
            <w:tcW w:type="dxa" w:w="1560"/>
          </w:tcPr>
          <w:p>
            <w:pPr>
              <w:spacing w:line="240" w:lineRule="auto"/>
              <w:jc w:val="right"/>
            </w:pPr>
            <w:r/>
            <w:r>
              <w:rPr>
                <w:rFonts w:ascii="Garamond" w:hAnsi="Garamond"/>
                <w:sz w:val="17"/>
              </w:rPr>
              <w:t>3,758</w:t>
            </w:r>
          </w:p>
        </w:tc>
        <w:tc>
          <w:tcPr>
            <w:tcW w:type="dxa" w:w="1560"/>
          </w:tcPr>
          <w:p>
            <w:pPr>
              <w:spacing w:line="240" w:lineRule="auto"/>
              <w:jc w:val="right"/>
            </w:pPr>
            <w:r/>
            <w:r>
              <w:rPr>
                <w:rFonts w:ascii="Garamond" w:hAnsi="Garamond"/>
                <w:sz w:val="17"/>
              </w:rPr>
              <w:t>43</w:t>
            </w:r>
          </w:p>
        </w:tc>
        <w:tc>
          <w:tcPr>
            <w:tcW w:type="dxa" w:w="1560"/>
          </w:tcPr>
          <w:p>
            <w:pPr>
              <w:spacing w:line="240" w:lineRule="auto"/>
              <w:jc w:val="right"/>
            </w:pPr>
            <w:r/>
            <w:r>
              <w:rPr>
                <w:rFonts w:ascii="Garamond" w:hAnsi="Garamond"/>
                <w:sz w:val="17"/>
              </w:rPr>
              <w:t>17</w:t>
            </w:r>
          </w:p>
        </w:tc>
        <w:tc>
          <w:tcPr>
            <w:tcW w:type="dxa" w:w="1560"/>
          </w:tcPr>
          <w:p>
            <w:pPr>
              <w:spacing w:line="240" w:lineRule="auto"/>
              <w:jc w:val="right"/>
            </w:pPr>
            <w:r/>
            <w:r>
              <w:rPr>
                <w:rFonts w:ascii="Garamond" w:hAnsi="Garamond"/>
                <w:sz w:val="17"/>
              </w:rPr>
              <w:t>1.14</w:t>
            </w:r>
          </w:p>
        </w:tc>
        <w:tc>
          <w:tcPr>
            <w:tcW w:type="dxa" w:w="1560"/>
          </w:tcPr>
          <w:p>
            <w:pPr>
              <w:spacing w:line="240" w:lineRule="auto"/>
              <w:jc w:val="right"/>
            </w:pPr>
            <w:r/>
            <w:r>
              <w:rPr>
                <w:rFonts w:ascii="Garamond" w:hAnsi="Garamond"/>
                <w:sz w:val="17"/>
              </w:rPr>
              <w:t>1.60</w:t>
            </w:r>
          </w:p>
        </w:tc>
      </w:tr>
      <w:tr>
        <w:tc>
          <w:tcPr>
            <w:tcW w:type="dxa" w:w="1560"/>
          </w:tcPr>
          <w:p>
            <w:pPr>
              <w:spacing w:line="240" w:lineRule="auto"/>
            </w:pPr>
            <w:r/>
            <w:r>
              <w:rPr>
                <w:rFonts w:ascii="Garamond" w:hAnsi="Garamond"/>
                <w:sz w:val="17"/>
              </w:rPr>
              <w:t>2016</w:t>
            </w:r>
          </w:p>
        </w:tc>
        <w:tc>
          <w:tcPr>
            <w:tcW w:type="dxa" w:w="1560"/>
          </w:tcPr>
          <w:p>
            <w:pPr>
              <w:spacing w:line="240" w:lineRule="auto"/>
              <w:jc w:val="right"/>
            </w:pPr>
            <w:r/>
            <w:r>
              <w:rPr>
                <w:rFonts w:ascii="Garamond" w:hAnsi="Garamond"/>
                <w:sz w:val="17"/>
              </w:rPr>
              <w:t>3,731</w:t>
            </w:r>
          </w:p>
        </w:tc>
        <w:tc>
          <w:tcPr>
            <w:tcW w:type="dxa" w:w="1560"/>
          </w:tcPr>
          <w:p>
            <w:pPr>
              <w:spacing w:line="240" w:lineRule="auto"/>
              <w:jc w:val="right"/>
            </w:pPr>
            <w:r/>
            <w:r>
              <w:rPr>
                <w:rFonts w:ascii="Garamond" w:hAnsi="Garamond"/>
                <w:sz w:val="17"/>
              </w:rPr>
              <w:t>60</w:t>
            </w:r>
          </w:p>
        </w:tc>
        <w:tc>
          <w:tcPr>
            <w:tcW w:type="dxa" w:w="1560"/>
          </w:tcPr>
          <w:p>
            <w:pPr>
              <w:spacing w:line="240" w:lineRule="auto"/>
              <w:jc w:val="right"/>
            </w:pPr>
            <w:r/>
            <w:r>
              <w:rPr>
                <w:rFonts w:ascii="Garamond" w:hAnsi="Garamond"/>
                <w:sz w:val="17"/>
              </w:rPr>
              <w:t>23</w:t>
            </w:r>
          </w:p>
        </w:tc>
        <w:tc>
          <w:tcPr>
            <w:tcW w:type="dxa" w:w="1560"/>
          </w:tcPr>
          <w:p>
            <w:pPr>
              <w:spacing w:line="240" w:lineRule="auto"/>
              <w:jc w:val="right"/>
            </w:pPr>
            <w:r/>
            <w:r>
              <w:rPr>
                <w:rFonts w:ascii="Garamond" w:hAnsi="Garamond"/>
                <w:sz w:val="17"/>
              </w:rPr>
              <w:t>1.61</w:t>
            </w:r>
          </w:p>
        </w:tc>
        <w:tc>
          <w:tcPr>
            <w:tcW w:type="dxa" w:w="1560"/>
          </w:tcPr>
          <w:p>
            <w:pPr>
              <w:spacing w:line="240" w:lineRule="auto"/>
              <w:jc w:val="right"/>
            </w:pPr>
            <w:r/>
            <w:r>
              <w:rPr>
                <w:rFonts w:ascii="Garamond" w:hAnsi="Garamond"/>
                <w:sz w:val="17"/>
              </w:rPr>
              <w:t>2.22</w:t>
            </w:r>
          </w:p>
        </w:tc>
      </w:tr>
      <w:tr>
        <w:tc>
          <w:tcPr>
            <w:tcW w:type="dxa" w:w="1560"/>
          </w:tcPr>
          <w:p>
            <w:pPr>
              <w:spacing w:line="240" w:lineRule="auto"/>
            </w:pPr>
            <w:r/>
            <w:r>
              <w:rPr>
                <w:rFonts w:ascii="Garamond" w:hAnsi="Garamond"/>
                <w:sz w:val="17"/>
              </w:rPr>
              <w:t>2017</w:t>
            </w:r>
          </w:p>
        </w:tc>
        <w:tc>
          <w:tcPr>
            <w:tcW w:type="dxa" w:w="1560"/>
          </w:tcPr>
          <w:p>
            <w:pPr>
              <w:spacing w:line="240" w:lineRule="auto"/>
              <w:jc w:val="right"/>
            </w:pPr>
            <w:r/>
            <w:r>
              <w:rPr>
                <w:rFonts w:ascii="Garamond" w:hAnsi="Garamond"/>
                <w:sz w:val="17"/>
              </w:rPr>
              <w:t>3,653</w:t>
            </w:r>
          </w:p>
        </w:tc>
        <w:tc>
          <w:tcPr>
            <w:tcW w:type="dxa" w:w="1560"/>
          </w:tcPr>
          <w:p>
            <w:pPr>
              <w:spacing w:line="240" w:lineRule="auto"/>
              <w:jc w:val="right"/>
            </w:pPr>
            <w:r/>
            <w:r>
              <w:rPr>
                <w:rFonts w:ascii="Garamond" w:hAnsi="Garamond"/>
                <w:sz w:val="17"/>
              </w:rPr>
              <w:t>99</w:t>
            </w:r>
          </w:p>
        </w:tc>
        <w:tc>
          <w:tcPr>
            <w:tcW w:type="dxa" w:w="1560"/>
          </w:tcPr>
          <w:p>
            <w:pPr>
              <w:spacing w:line="240" w:lineRule="auto"/>
              <w:jc w:val="right"/>
            </w:pPr>
            <w:r/>
            <w:r>
              <w:rPr>
                <w:rFonts w:ascii="Garamond" w:hAnsi="Garamond"/>
                <w:sz w:val="17"/>
              </w:rPr>
              <w:t>1</w:t>
            </w:r>
          </w:p>
        </w:tc>
        <w:tc>
          <w:tcPr>
            <w:tcW w:type="dxa" w:w="1560"/>
          </w:tcPr>
          <w:p>
            <w:pPr>
              <w:spacing w:line="240" w:lineRule="auto"/>
              <w:jc w:val="right"/>
            </w:pPr>
            <w:r/>
            <w:r>
              <w:rPr>
                <w:rFonts w:ascii="Garamond" w:hAnsi="Garamond"/>
                <w:sz w:val="17"/>
              </w:rPr>
              <w:t>2.71</w:t>
            </w:r>
          </w:p>
        </w:tc>
        <w:tc>
          <w:tcPr>
            <w:tcW w:type="dxa" w:w="1560"/>
          </w:tcPr>
          <w:p>
            <w:pPr>
              <w:spacing w:line="240" w:lineRule="auto"/>
              <w:jc w:val="right"/>
            </w:pPr>
            <w:r/>
            <w:r>
              <w:rPr>
                <w:rFonts w:ascii="Garamond" w:hAnsi="Garamond"/>
                <w:sz w:val="17"/>
              </w:rPr>
              <w:t>2.74</w:t>
            </w:r>
          </w:p>
        </w:tc>
      </w:tr>
      <w:tr>
        <w:tc>
          <w:tcPr>
            <w:tcW w:type="dxa" w:w="1560"/>
          </w:tcPr>
          <w:p>
            <w:pPr>
              <w:spacing w:line="240" w:lineRule="auto"/>
            </w:pPr>
            <w:r/>
            <w:r>
              <w:rPr>
                <w:rFonts w:ascii="Garamond" w:hAnsi="Garamond"/>
                <w:sz w:val="17"/>
              </w:rPr>
              <w:t>2018</w:t>
            </w:r>
          </w:p>
        </w:tc>
        <w:tc>
          <w:tcPr>
            <w:tcW w:type="dxa" w:w="1560"/>
          </w:tcPr>
          <w:p>
            <w:pPr>
              <w:spacing w:line="240" w:lineRule="auto"/>
              <w:jc w:val="right"/>
            </w:pPr>
            <w:r/>
            <w:r>
              <w:rPr>
                <w:rFonts w:ascii="Garamond" w:hAnsi="Garamond"/>
                <w:sz w:val="17"/>
              </w:rPr>
              <w:t>3,472</w:t>
            </w:r>
          </w:p>
        </w:tc>
        <w:tc>
          <w:tcPr>
            <w:tcW w:type="dxa" w:w="1560"/>
          </w:tcPr>
          <w:p>
            <w:pPr>
              <w:spacing w:line="240" w:lineRule="auto"/>
              <w:jc w:val="right"/>
            </w:pPr>
            <w:r/>
            <w:r>
              <w:rPr>
                <w:rFonts w:ascii="Garamond" w:hAnsi="Garamond"/>
                <w:sz w:val="17"/>
              </w:rPr>
              <w:t>48</w:t>
            </w:r>
          </w:p>
        </w:tc>
        <w:tc>
          <w:tcPr>
            <w:tcW w:type="dxa" w:w="1560"/>
          </w:tcPr>
          <w:p>
            <w:pPr>
              <w:spacing w:line="240" w:lineRule="auto"/>
              <w:jc w:val="right"/>
            </w:pPr>
            <w:r/>
            <w:r>
              <w:rPr>
                <w:rFonts w:ascii="Garamond" w:hAnsi="Garamond"/>
                <w:sz w:val="17"/>
              </w:rPr>
              <w:t>18</w:t>
            </w:r>
          </w:p>
        </w:tc>
        <w:tc>
          <w:tcPr>
            <w:tcW w:type="dxa" w:w="1560"/>
          </w:tcPr>
          <w:p>
            <w:pPr>
              <w:spacing w:line="240" w:lineRule="auto"/>
              <w:jc w:val="right"/>
            </w:pPr>
            <w:r/>
            <w:r>
              <w:rPr>
                <w:rFonts w:ascii="Garamond" w:hAnsi="Garamond"/>
                <w:sz w:val="17"/>
              </w:rPr>
              <w:t>1.38</w:t>
            </w:r>
          </w:p>
        </w:tc>
        <w:tc>
          <w:tcPr>
            <w:tcW w:type="dxa" w:w="1560"/>
          </w:tcPr>
          <w:p>
            <w:pPr>
              <w:spacing w:line="240" w:lineRule="auto"/>
              <w:jc w:val="right"/>
            </w:pPr>
            <w:r/>
            <w:r>
              <w:rPr>
                <w:rFonts w:ascii="Garamond" w:hAnsi="Garamond"/>
                <w:sz w:val="17"/>
              </w:rPr>
              <w:t>1.90</w:t>
            </w:r>
          </w:p>
        </w:tc>
      </w:tr>
      <w:tr>
        <w:tc>
          <w:tcPr>
            <w:tcW w:type="dxa" w:w="1560"/>
          </w:tcPr>
          <w:p>
            <w:pPr>
              <w:spacing w:line="240" w:lineRule="auto"/>
            </w:pPr>
            <w:r/>
            <w:r>
              <w:rPr>
                <w:rFonts w:ascii="Garamond" w:hAnsi="Garamond"/>
                <w:sz w:val="17"/>
              </w:rPr>
              <w:t>2019</w:t>
            </w:r>
          </w:p>
        </w:tc>
        <w:tc>
          <w:tcPr>
            <w:tcW w:type="dxa" w:w="1560"/>
          </w:tcPr>
          <w:p>
            <w:pPr>
              <w:spacing w:line="240" w:lineRule="auto"/>
              <w:jc w:val="right"/>
            </w:pPr>
            <w:r/>
            <w:r>
              <w:rPr>
                <w:rFonts w:ascii="Garamond" w:hAnsi="Garamond"/>
                <w:sz w:val="17"/>
              </w:rPr>
              <w:t>3,780</w:t>
            </w:r>
          </w:p>
        </w:tc>
        <w:tc>
          <w:tcPr>
            <w:tcW w:type="dxa" w:w="1560"/>
          </w:tcPr>
          <w:p>
            <w:pPr>
              <w:spacing w:line="240" w:lineRule="auto"/>
              <w:jc w:val="right"/>
            </w:pPr>
            <w:r/>
            <w:r>
              <w:rPr>
                <w:rFonts w:ascii="Garamond" w:hAnsi="Garamond"/>
                <w:sz w:val="17"/>
              </w:rPr>
              <w:t>220</w:t>
            </w:r>
          </w:p>
        </w:tc>
        <w:tc>
          <w:tcPr>
            <w:tcW w:type="dxa" w:w="1560"/>
          </w:tcPr>
          <w:p>
            <w:pPr>
              <w:spacing w:line="240" w:lineRule="auto"/>
              <w:jc w:val="right"/>
            </w:pPr>
            <w:r/>
            <w:r>
              <w:rPr>
                <w:rFonts w:ascii="Garamond" w:hAnsi="Garamond"/>
                <w:sz w:val="17"/>
              </w:rPr>
              <w:t>26</w:t>
            </w:r>
          </w:p>
        </w:tc>
        <w:tc>
          <w:tcPr>
            <w:tcW w:type="dxa" w:w="1560"/>
          </w:tcPr>
          <w:p>
            <w:pPr>
              <w:spacing w:line="240" w:lineRule="auto"/>
              <w:jc w:val="right"/>
            </w:pPr>
            <w:r/>
            <w:r>
              <w:rPr>
                <w:rFonts w:ascii="Garamond" w:hAnsi="Garamond"/>
                <w:sz w:val="17"/>
              </w:rPr>
              <w:t>5.82</w:t>
            </w:r>
          </w:p>
        </w:tc>
        <w:tc>
          <w:tcPr>
            <w:tcW w:type="dxa" w:w="1560"/>
          </w:tcPr>
          <w:p>
            <w:pPr>
              <w:spacing w:line="240" w:lineRule="auto"/>
              <w:jc w:val="right"/>
            </w:pPr>
            <w:r/>
            <w:r>
              <w:rPr>
                <w:rFonts w:ascii="Garamond" w:hAnsi="Garamond"/>
                <w:sz w:val="17"/>
              </w:rPr>
              <w:t>6.51</w:t>
            </w:r>
          </w:p>
        </w:tc>
      </w:tr>
      <w:tr>
        <w:tc>
          <w:tcPr>
            <w:tcW w:type="dxa" w:w="1560"/>
          </w:tcPr>
          <w:p>
            <w:pPr>
              <w:spacing w:line="240" w:lineRule="auto"/>
            </w:pPr>
            <w:r/>
            <w:r>
              <w:rPr>
                <w:rFonts w:ascii="Garamond" w:hAnsi="Garamond"/>
                <w:sz w:val="17"/>
              </w:rPr>
              <w:t>2020</w:t>
            </w:r>
          </w:p>
        </w:tc>
        <w:tc>
          <w:tcPr>
            <w:tcW w:type="dxa" w:w="1560"/>
          </w:tcPr>
          <w:p>
            <w:pPr>
              <w:spacing w:line="240" w:lineRule="auto"/>
              <w:jc w:val="right"/>
            </w:pPr>
            <w:r/>
            <w:r>
              <w:rPr>
                <w:rFonts w:ascii="Garamond" w:hAnsi="Garamond"/>
                <w:sz w:val="17"/>
              </w:rPr>
              <w:t>3,444</w:t>
            </w:r>
          </w:p>
        </w:tc>
        <w:tc>
          <w:tcPr>
            <w:tcW w:type="dxa" w:w="1560"/>
          </w:tcPr>
          <w:p>
            <w:pPr>
              <w:spacing w:line="240" w:lineRule="auto"/>
              <w:jc w:val="right"/>
            </w:pPr>
            <w:r/>
            <w:r>
              <w:rPr>
                <w:rFonts w:ascii="Garamond" w:hAnsi="Garamond"/>
                <w:sz w:val="17"/>
              </w:rPr>
              <w:t>76</w:t>
            </w:r>
          </w:p>
        </w:tc>
        <w:tc>
          <w:tcPr>
            <w:tcW w:type="dxa" w:w="1560"/>
          </w:tcPr>
          <w:p>
            <w:pPr>
              <w:spacing w:line="240" w:lineRule="auto"/>
              <w:jc w:val="right"/>
            </w:pPr>
            <w:r/>
            <w:r>
              <w:rPr>
                <w:rFonts w:ascii="Garamond" w:hAnsi="Garamond"/>
                <w:sz w:val="17"/>
              </w:rPr>
              <w:t>84</w:t>
            </w:r>
          </w:p>
        </w:tc>
        <w:tc>
          <w:tcPr>
            <w:tcW w:type="dxa" w:w="1560"/>
          </w:tcPr>
          <w:p>
            <w:pPr>
              <w:spacing w:line="240" w:lineRule="auto"/>
              <w:jc w:val="right"/>
            </w:pPr>
            <w:r/>
            <w:r>
              <w:rPr>
                <w:rFonts w:ascii="Garamond" w:hAnsi="Garamond"/>
                <w:sz w:val="17"/>
              </w:rPr>
              <w:t>2.21</w:t>
            </w:r>
          </w:p>
        </w:tc>
        <w:tc>
          <w:tcPr>
            <w:tcW w:type="dxa" w:w="1560"/>
          </w:tcPr>
          <w:p>
            <w:pPr>
              <w:spacing w:line="240" w:lineRule="auto"/>
              <w:jc w:val="right"/>
            </w:pPr>
            <w:r/>
            <w:r>
              <w:rPr>
                <w:rFonts w:ascii="Garamond" w:hAnsi="Garamond"/>
                <w:sz w:val="17"/>
              </w:rPr>
              <w:t>4.65</w:t>
            </w:r>
          </w:p>
        </w:tc>
      </w:tr>
      <w:tr>
        <w:tc>
          <w:tcPr>
            <w:tcW w:type="dxa" w:w="1560"/>
          </w:tcPr>
          <w:p>
            <w:pPr>
              <w:spacing w:line="240" w:lineRule="auto"/>
            </w:pPr>
            <w:r/>
            <w:r>
              <w:rPr>
                <w:rFonts w:ascii="Garamond" w:hAnsi="Garamond"/>
                <w:sz w:val="17"/>
              </w:rPr>
              <w:t>2021</w:t>
            </w:r>
          </w:p>
        </w:tc>
        <w:tc>
          <w:tcPr>
            <w:tcW w:type="dxa" w:w="1560"/>
          </w:tcPr>
          <w:p>
            <w:pPr>
              <w:spacing w:line="240" w:lineRule="auto"/>
              <w:jc w:val="right"/>
            </w:pPr>
            <w:r/>
            <w:r>
              <w:rPr>
                <w:rFonts w:ascii="Garamond" w:hAnsi="Garamond"/>
                <w:sz w:val="17"/>
              </w:rPr>
              <w:t>3,932</w:t>
            </w:r>
          </w:p>
        </w:tc>
        <w:tc>
          <w:tcPr>
            <w:tcW w:type="dxa" w:w="1560"/>
          </w:tcPr>
          <w:p>
            <w:pPr>
              <w:spacing w:line="240" w:lineRule="auto"/>
              <w:jc w:val="right"/>
            </w:pPr>
            <w:r/>
            <w:r>
              <w:rPr>
                <w:rFonts w:ascii="Garamond" w:hAnsi="Garamond"/>
                <w:sz w:val="17"/>
              </w:rPr>
              <w:t>165</w:t>
            </w:r>
          </w:p>
        </w:tc>
        <w:tc>
          <w:tcPr>
            <w:tcW w:type="dxa" w:w="1560"/>
          </w:tcPr>
          <w:p>
            <w:pPr>
              <w:spacing w:line="240" w:lineRule="auto"/>
              <w:jc w:val="right"/>
            </w:pPr>
            <w:r/>
            <w:r>
              <w:rPr>
                <w:rFonts w:ascii="Garamond" w:hAnsi="Garamond"/>
                <w:sz w:val="17"/>
              </w:rPr>
              <w:t>19</w:t>
            </w:r>
          </w:p>
        </w:tc>
        <w:tc>
          <w:tcPr>
            <w:tcW w:type="dxa" w:w="1560"/>
          </w:tcPr>
          <w:p>
            <w:pPr>
              <w:spacing w:line="240" w:lineRule="auto"/>
              <w:jc w:val="right"/>
            </w:pPr>
            <w:r/>
            <w:r>
              <w:rPr>
                <w:rFonts w:ascii="Garamond" w:hAnsi="Garamond"/>
                <w:sz w:val="17"/>
              </w:rPr>
              <w:t>4.20</w:t>
            </w:r>
          </w:p>
        </w:tc>
        <w:tc>
          <w:tcPr>
            <w:tcW w:type="dxa" w:w="1560"/>
          </w:tcPr>
          <w:p>
            <w:pPr>
              <w:spacing w:line="240" w:lineRule="auto"/>
              <w:jc w:val="right"/>
            </w:pPr>
            <w:r/>
            <w:r>
              <w:rPr>
                <w:rFonts w:ascii="Garamond" w:hAnsi="Garamond"/>
                <w:sz w:val="17"/>
              </w:rPr>
              <w:t>4.68</w:t>
            </w:r>
          </w:p>
        </w:tc>
      </w:tr>
      <w:tr>
        <w:tc>
          <w:tcPr>
            <w:tcW w:type="dxa" w:w="1560"/>
          </w:tcPr>
          <w:p>
            <w:pPr>
              <w:spacing w:line="240" w:lineRule="auto"/>
            </w:pPr>
            <w:r/>
            <w:r>
              <w:rPr>
                <w:rFonts w:ascii="Garamond" w:hAnsi="Garamond"/>
                <w:sz w:val="17"/>
              </w:rPr>
              <w:t>2022</w:t>
            </w:r>
          </w:p>
        </w:tc>
        <w:tc>
          <w:tcPr>
            <w:tcW w:type="dxa" w:w="1560"/>
          </w:tcPr>
          <w:p>
            <w:pPr>
              <w:spacing w:line="240" w:lineRule="auto"/>
              <w:jc w:val="right"/>
            </w:pPr>
            <w:r/>
            <w:r>
              <w:rPr>
                <w:rFonts w:ascii="Garamond" w:hAnsi="Garamond"/>
                <w:sz w:val="17"/>
              </w:rPr>
              <w:t>4,631</w:t>
            </w:r>
          </w:p>
        </w:tc>
        <w:tc>
          <w:tcPr>
            <w:tcW w:type="dxa" w:w="1560"/>
          </w:tcPr>
          <w:p>
            <w:pPr>
              <w:spacing w:line="240" w:lineRule="auto"/>
              <w:jc w:val="right"/>
            </w:pPr>
            <w:r/>
            <w:r>
              <w:rPr>
                <w:rFonts w:ascii="Garamond" w:hAnsi="Garamond"/>
                <w:sz w:val="17"/>
              </w:rPr>
              <w:t>334</w:t>
            </w:r>
          </w:p>
        </w:tc>
        <w:tc>
          <w:tcPr>
            <w:tcW w:type="dxa" w:w="1560"/>
          </w:tcPr>
          <w:p>
            <w:pPr>
              <w:spacing w:line="240" w:lineRule="auto"/>
              <w:jc w:val="right"/>
            </w:pPr>
            <w:r/>
            <w:r>
              <w:rPr>
                <w:rFonts w:ascii="Garamond" w:hAnsi="Garamond"/>
                <w:sz w:val="17"/>
              </w:rPr>
              <w:t>109</w:t>
            </w:r>
          </w:p>
        </w:tc>
        <w:tc>
          <w:tcPr>
            <w:tcW w:type="dxa" w:w="1560"/>
          </w:tcPr>
          <w:p>
            <w:pPr>
              <w:spacing w:line="240" w:lineRule="auto"/>
              <w:jc w:val="right"/>
            </w:pPr>
            <w:r/>
            <w:r>
              <w:rPr>
                <w:rFonts w:ascii="Garamond" w:hAnsi="Garamond"/>
                <w:sz w:val="17"/>
              </w:rPr>
              <w:t>7.21</w:t>
            </w:r>
          </w:p>
        </w:tc>
        <w:tc>
          <w:tcPr>
            <w:tcW w:type="dxa" w:w="1560"/>
          </w:tcPr>
          <w:p>
            <w:pPr>
              <w:spacing w:line="240" w:lineRule="auto"/>
              <w:jc w:val="right"/>
            </w:pPr>
            <w:r/>
            <w:r>
              <w:rPr>
                <w:rFonts w:ascii="Garamond" w:hAnsi="Garamond"/>
                <w:sz w:val="17"/>
              </w:rPr>
              <w:t>9.57</w:t>
            </w:r>
          </w:p>
        </w:tc>
      </w:tr>
      <w:tr>
        <w:tc>
          <w:tcPr>
            <w:tcW w:type="dxa" w:w="1560"/>
          </w:tcPr>
          <w:p>
            <w:pPr>
              <w:spacing w:line="240" w:lineRule="auto"/>
            </w:pPr>
            <w:r/>
            <w:r>
              <w:rPr>
                <w:rFonts w:ascii="Garamond" w:hAnsi="Garamond"/>
                <w:sz w:val="17"/>
              </w:rPr>
              <w:t>2023</w:t>
            </w:r>
          </w:p>
        </w:tc>
        <w:tc>
          <w:tcPr>
            <w:tcW w:type="dxa" w:w="1560"/>
          </w:tcPr>
          <w:p>
            <w:pPr>
              <w:spacing w:line="240" w:lineRule="auto"/>
              <w:jc w:val="right"/>
            </w:pPr>
            <w:r/>
            <w:r>
              <w:rPr>
                <w:rFonts w:ascii="Garamond" w:hAnsi="Garamond"/>
                <w:sz w:val="17"/>
              </w:rPr>
              <w:t>3,328</w:t>
            </w:r>
          </w:p>
        </w:tc>
        <w:tc>
          <w:tcPr>
            <w:tcW w:type="dxa" w:w="1560"/>
          </w:tcPr>
          <w:p>
            <w:pPr>
              <w:spacing w:line="240" w:lineRule="auto"/>
              <w:jc w:val="right"/>
            </w:pPr>
            <w:r/>
            <w:r>
              <w:rPr>
                <w:rFonts w:ascii="Garamond" w:hAnsi="Garamond"/>
                <w:sz w:val="17"/>
              </w:rPr>
              <w:t>166</w:t>
            </w:r>
          </w:p>
        </w:tc>
        <w:tc>
          <w:tcPr>
            <w:tcW w:type="dxa" w:w="1560"/>
          </w:tcPr>
          <w:p>
            <w:pPr>
              <w:spacing w:line="240" w:lineRule="auto"/>
              <w:jc w:val="right"/>
            </w:pPr>
            <w:r/>
            <w:r>
              <w:rPr>
                <w:rFonts w:ascii="Garamond" w:hAnsi="Garamond"/>
                <w:sz w:val="17"/>
              </w:rPr>
              <w:t>1</w:t>
            </w:r>
          </w:p>
        </w:tc>
        <w:tc>
          <w:tcPr>
            <w:tcW w:type="dxa" w:w="1560"/>
          </w:tcPr>
          <w:p>
            <w:pPr>
              <w:spacing w:line="240" w:lineRule="auto"/>
              <w:jc w:val="right"/>
            </w:pPr>
            <w:r/>
            <w:r>
              <w:rPr>
                <w:rFonts w:ascii="Garamond" w:hAnsi="Garamond"/>
                <w:sz w:val="17"/>
              </w:rPr>
              <w:t>4.99</w:t>
            </w:r>
          </w:p>
        </w:tc>
        <w:tc>
          <w:tcPr>
            <w:tcW w:type="dxa" w:w="1560"/>
          </w:tcPr>
          <w:p>
            <w:pPr>
              <w:spacing w:line="240" w:lineRule="auto"/>
              <w:jc w:val="right"/>
            </w:pPr>
            <w:r/>
            <w:r>
              <w:rPr>
                <w:rFonts w:ascii="Garamond" w:hAnsi="Garamond"/>
                <w:sz w:val="17"/>
              </w:rPr>
              <w:t>5.02</w:t>
            </w:r>
          </w:p>
        </w:tc>
      </w:tr>
      <w:tr>
        <w:tc>
          <w:tcPr>
            <w:tcW w:type="dxa" w:w="1560"/>
          </w:tcPr>
          <w:p>
            <w:pPr>
              <w:spacing w:line="240" w:lineRule="auto"/>
            </w:pPr>
            <w:r/>
            <w:r>
              <w:rPr>
                <w:rFonts w:ascii="Garamond" w:hAnsi="Garamond"/>
                <w:sz w:val="17"/>
              </w:rPr>
              <w:t>2024</w:t>
            </w:r>
          </w:p>
        </w:tc>
        <w:tc>
          <w:tcPr>
            <w:tcW w:type="dxa" w:w="1560"/>
          </w:tcPr>
          <w:p>
            <w:pPr>
              <w:spacing w:line="240" w:lineRule="auto"/>
              <w:jc w:val="right"/>
            </w:pPr>
            <w:r/>
            <w:r>
              <w:rPr>
                <w:rFonts w:ascii="Garamond" w:hAnsi="Garamond"/>
                <w:sz w:val="17"/>
              </w:rPr>
              <w:t>2,778</w:t>
            </w:r>
          </w:p>
        </w:tc>
        <w:tc>
          <w:tcPr>
            <w:tcW w:type="dxa" w:w="1560"/>
          </w:tcPr>
          <w:p>
            <w:pPr>
              <w:spacing w:line="240" w:lineRule="auto"/>
              <w:jc w:val="right"/>
            </w:pPr>
            <w:r/>
            <w:r>
              <w:rPr>
                <w:rFonts w:ascii="Garamond" w:hAnsi="Garamond"/>
                <w:sz w:val="17"/>
              </w:rPr>
              <w:t>113</w:t>
            </w:r>
          </w:p>
        </w:tc>
        <w:tc>
          <w:tcPr>
            <w:tcW w:type="dxa" w:w="1560"/>
          </w:tcPr>
          <w:p>
            <w:pPr>
              <w:spacing w:line="240" w:lineRule="auto"/>
              <w:jc w:val="right"/>
            </w:pPr>
            <w:r/>
            <w:r>
              <w:rPr>
                <w:rFonts w:ascii="Garamond" w:hAnsi="Garamond"/>
                <w:sz w:val="17"/>
              </w:rPr>
              <w:t>0</w:t>
            </w:r>
          </w:p>
        </w:tc>
        <w:tc>
          <w:tcPr>
            <w:tcW w:type="dxa" w:w="1560"/>
          </w:tcPr>
          <w:p>
            <w:pPr>
              <w:spacing w:line="240" w:lineRule="auto"/>
              <w:jc w:val="right"/>
            </w:pPr>
            <w:r/>
            <w:r>
              <w:rPr>
                <w:rFonts w:ascii="Garamond" w:hAnsi="Garamond"/>
                <w:sz w:val="17"/>
              </w:rPr>
              <w:t>4.07</w:t>
            </w:r>
          </w:p>
        </w:tc>
        <w:tc>
          <w:tcPr>
            <w:tcW w:type="dxa" w:w="1560"/>
          </w:tcPr>
          <w:p>
            <w:pPr>
              <w:spacing w:line="240" w:lineRule="auto"/>
              <w:jc w:val="right"/>
            </w:pPr>
            <w:r/>
            <w:r>
              <w:rPr>
                <w:rFonts w:ascii="Garamond" w:hAnsi="Garamond"/>
                <w:sz w:val="17"/>
              </w:rPr>
              <w:t>4.07</w:t>
            </w:r>
          </w:p>
        </w:tc>
      </w:tr>
      <w:tr>
        <w:tc>
          <w:tcPr>
            <w:tcW w:type="dxa" w:w="1560"/>
          </w:tcPr>
          <w:p>
            <w:pPr>
              <w:spacing w:line="240" w:lineRule="auto"/>
            </w:pPr>
            <w:r/>
            <w:r>
              <w:rPr>
                <w:rFonts w:ascii="Garamond" w:hAnsi="Garamond"/>
                <w:sz w:val="17"/>
              </w:rPr>
              <w:t>2025</w:t>
            </w:r>
          </w:p>
        </w:tc>
        <w:tc>
          <w:tcPr>
            <w:tcW w:type="dxa" w:w="1560"/>
          </w:tcPr>
          <w:p>
            <w:pPr>
              <w:spacing w:line="240" w:lineRule="auto"/>
              <w:jc w:val="right"/>
            </w:pPr>
            <w:r/>
            <w:r>
              <w:rPr>
                <w:rFonts w:ascii="Garamond" w:hAnsi="Garamond"/>
                <w:sz w:val="17"/>
              </w:rPr>
              <w:t>2,768</w:t>
            </w:r>
          </w:p>
        </w:tc>
        <w:tc>
          <w:tcPr>
            <w:tcW w:type="dxa" w:w="1560"/>
          </w:tcPr>
          <w:p>
            <w:pPr>
              <w:spacing w:line="240" w:lineRule="auto"/>
              <w:jc w:val="right"/>
            </w:pPr>
            <w:r/>
            <w:r>
              <w:rPr>
                <w:rFonts w:ascii="Garamond" w:hAnsi="Garamond"/>
                <w:sz w:val="17"/>
              </w:rPr>
              <w:t>199</w:t>
            </w:r>
          </w:p>
        </w:tc>
        <w:tc>
          <w:tcPr>
            <w:tcW w:type="dxa" w:w="1560"/>
          </w:tcPr>
          <w:p>
            <w:pPr>
              <w:spacing w:line="240" w:lineRule="auto"/>
              <w:jc w:val="right"/>
            </w:pPr>
            <w:r/>
            <w:r>
              <w:rPr>
                <w:rFonts w:ascii="Garamond" w:hAnsi="Garamond"/>
                <w:sz w:val="17"/>
              </w:rPr>
              <w:t>0</w:t>
            </w:r>
          </w:p>
        </w:tc>
        <w:tc>
          <w:tcPr>
            <w:tcW w:type="dxa" w:w="1560"/>
          </w:tcPr>
          <w:p>
            <w:pPr>
              <w:spacing w:line="240" w:lineRule="auto"/>
              <w:jc w:val="right"/>
            </w:pPr>
            <w:r/>
            <w:r>
              <w:rPr>
                <w:rFonts w:ascii="Garamond" w:hAnsi="Garamond"/>
                <w:sz w:val="17"/>
              </w:rPr>
              <w:t>7.19</w:t>
            </w:r>
          </w:p>
        </w:tc>
        <w:tc>
          <w:tcPr>
            <w:tcW w:type="dxa" w:w="1560"/>
          </w:tcPr>
          <w:p>
            <w:pPr>
              <w:spacing w:line="240" w:lineRule="auto"/>
              <w:jc w:val="right"/>
            </w:pPr>
            <w:r/>
            <w:r>
              <w:rPr>
                <w:rFonts w:ascii="Garamond" w:hAnsi="Garamond"/>
                <w:sz w:val="17"/>
              </w:rPr>
              <w:t>7.19</w:t>
            </w:r>
          </w:p>
        </w:tc>
      </w:tr>
    </w:tbl>
    <w:p>
      <w:pPr>
        <w:spacing w:after="0"/>
      </w:pPr>
    </w:p>
    <w:p>
      <w:pPr>
        <w:spacing w:line="480" w:lineRule="auto" w:before="0" w:after="0"/>
        <w:ind w:firstLine="720"/>
      </w:pPr>
      <w:r>
        <w:rPr>
          <w:rFonts w:ascii="Garamond" w:hAnsi="Garamond"/>
          <w:i/>
        </w:rPr>
        <w:t>Source: reconciled series, July 15, 2026 (BTR_Share_RECONCILED_2026-07-15.csv); Metro Nashville ePermits CARN cases joined to the ownership history; Census BPS 1-unit series for the canonical denominator. No forward-flow has yet closed on 2024–2026 permits, so the inclusive share equals the strict share for those years.</w:t>
      </w:r>
    </w:p>
    <w:p>
      <w:pPr>
        <w:pStyle w:val="Heading2"/>
      </w:pPr>
      <w:r>
        <w:t>Table III.2. Delivery Models in the Current Pipeline, with Named Communities</w:t>
      </w:r>
    </w:p>
    <w:tbl>
      <w:tblPr>
        <w:tblW w:type="auto" w:w="0"/>
        <w:tblLayout w:type="autofit"/>
        <w:tblLook w:firstColumn="1" w:firstRow="1" w:lastColumn="0" w:lastRow="0" w:noHBand="0" w:noVBand="1" w:val="04A0"/>
        <w:tblBorders>
          <w:top w:val="single" w:sz="12" w:space="0" w:color="000000"/>
          <w:bottom w:val="single" w:sz="12" w:space="0" w:color="000000"/>
          <w:left w:val="nil" w:sz="0" w:space="0" w:color="000000"/>
          <w:right w:val="nil" w:sz="0" w:space="0" w:color="000000"/>
          <w:insideH w:val="nil" w:sz="0" w:space="0" w:color="000000"/>
          <w:insideV w:val="nil" w:sz="0" w:space="0" w:color="000000"/>
        </w:tblBorders>
      </w:tblPr>
      <w:tblGrid>
        <w:gridCol w:w="1337"/>
        <w:gridCol w:w="1337"/>
        <w:gridCol w:w="1337"/>
        <w:gridCol w:w="1337"/>
        <w:gridCol w:w="1337"/>
        <w:gridCol w:w="1337"/>
        <w:gridCol w:w="1337"/>
      </w:tblGrid>
      <w:tr>
        <w:tc>
          <w:tcPr>
            <w:tcW w:type="dxa" w:w="1337"/>
            <w:tcBorders>
              <w:bottom w:val="single" w:sz="4" w:color="000000"/>
            </w:tcBorders>
          </w:tcPr>
          <w:p>
            <w:pPr>
              <w:spacing w:line="240" w:lineRule="auto"/>
            </w:pPr>
            <w:r>
              <w:rPr>
                <w:b/>
              </w:rPr>
            </w:r>
            <w:r>
              <w:rPr>
                <w:rFonts w:ascii="Garamond" w:hAnsi="Garamond"/>
                <w:b/>
                <w:sz w:val="16"/>
              </w:rPr>
              <w:t>Model</w:t>
            </w:r>
          </w:p>
        </w:tc>
        <w:tc>
          <w:tcPr>
            <w:tcW w:type="dxa" w:w="1337"/>
            <w:tcBorders>
              <w:bottom w:val="single" w:sz="4" w:color="000000"/>
            </w:tcBorders>
          </w:tcPr>
          <w:p>
            <w:pPr>
              <w:spacing w:line="240" w:lineRule="auto"/>
            </w:pPr>
            <w:r>
              <w:rPr>
                <w:b/>
              </w:rPr>
            </w:r>
            <w:r>
              <w:rPr>
                <w:rFonts w:ascii="Garamond" w:hAnsi="Garamond"/>
                <w:b/>
                <w:sz w:val="16"/>
              </w:rPr>
              <w:t>Community</w:t>
            </w:r>
          </w:p>
        </w:tc>
        <w:tc>
          <w:tcPr>
            <w:tcW w:type="dxa" w:w="1337"/>
            <w:tcBorders>
              <w:bottom w:val="single" w:sz="4" w:color="000000"/>
            </w:tcBorders>
          </w:tcPr>
          <w:p>
            <w:pPr>
              <w:spacing w:line="240" w:lineRule="auto"/>
            </w:pPr>
            <w:r>
              <w:rPr>
                <w:b/>
              </w:rPr>
            </w:r>
            <w:r>
              <w:rPr>
                <w:rFonts w:ascii="Garamond" w:hAnsi="Garamond"/>
                <w:b/>
                <w:sz w:val="16"/>
              </w:rPr>
              <w:t>Operator / capital</w:t>
            </w:r>
          </w:p>
        </w:tc>
        <w:tc>
          <w:tcPr>
            <w:tcW w:type="dxa" w:w="1337"/>
            <w:tcBorders>
              <w:bottom w:val="single" w:sz="4" w:color="000000"/>
            </w:tcBorders>
          </w:tcPr>
          <w:p>
            <w:pPr>
              <w:spacing w:line="240" w:lineRule="auto"/>
            </w:pPr>
            <w:r>
              <w:rPr>
                <w:b/>
              </w:rPr>
            </w:r>
            <w:r>
              <w:rPr>
                <w:rFonts w:ascii="Garamond" w:hAnsi="Garamond"/>
                <w:b/>
                <w:sz w:val="16"/>
              </w:rPr>
              <w:t>Builder</w:t>
            </w:r>
          </w:p>
        </w:tc>
        <w:tc>
          <w:tcPr>
            <w:tcW w:type="dxa" w:w="1337"/>
            <w:tcBorders>
              <w:bottom w:val="single" w:sz="4" w:color="000000"/>
            </w:tcBorders>
          </w:tcPr>
          <w:p>
            <w:pPr>
              <w:spacing w:line="240" w:lineRule="auto"/>
            </w:pPr>
            <w:r>
              <w:rPr>
                <w:b/>
              </w:rPr>
            </w:r>
            <w:r>
              <w:rPr>
                <w:rFonts w:ascii="Garamond" w:hAnsi="Garamond"/>
                <w:b/>
                <w:sz w:val="16"/>
              </w:rPr>
              <w:t>Platted lots</w:t>
            </w:r>
          </w:p>
        </w:tc>
        <w:tc>
          <w:tcPr>
            <w:tcW w:type="dxa" w:w="1337"/>
            <w:tcBorders>
              <w:bottom w:val="single" w:sz="4" w:color="000000"/>
            </w:tcBorders>
          </w:tcPr>
          <w:p>
            <w:pPr>
              <w:spacing w:line="240" w:lineRule="auto"/>
            </w:pPr>
            <w:r>
              <w:rPr>
                <w:b/>
              </w:rPr>
            </w:r>
            <w:r>
              <w:rPr>
                <w:rFonts w:ascii="Garamond" w:hAnsi="Garamond"/>
                <w:b/>
                <w:sz w:val="16"/>
              </w:rPr>
              <w:t>Parcels held by the operator, Oct. 19, 2026</w:t>
            </w:r>
          </w:p>
        </w:tc>
        <w:tc>
          <w:tcPr>
            <w:tcW w:type="dxa" w:w="1337"/>
            <w:tcBorders>
              <w:bottom w:val="single" w:sz="4" w:color="000000"/>
            </w:tcBorders>
          </w:tcPr>
          <w:p>
            <w:pPr>
              <w:spacing w:line="240" w:lineRule="auto"/>
            </w:pPr>
            <w:r>
              <w:rPr>
                <w:b/>
              </w:rPr>
            </w:r>
            <w:r>
              <w:rPr>
                <w:rFonts w:ascii="Garamond" w:hAnsi="Garamond"/>
                <w:b/>
                <w:sz w:val="16"/>
              </w:rPr>
              <w:t>Of which built</w:t>
            </w:r>
          </w:p>
        </w:tc>
      </w:tr>
      <w:tr>
        <w:tc>
          <w:tcPr>
            <w:tcW w:type="dxa" w:w="1337"/>
          </w:tcPr>
          <w:p>
            <w:pPr>
              <w:spacing w:line="240" w:lineRule="auto"/>
            </w:pPr>
            <w:r/>
            <w:r>
              <w:rPr>
                <w:rFonts w:ascii="Garamond" w:hAnsi="Garamond"/>
                <w:sz w:val="16"/>
              </w:rPr>
              <w:t>Vertically integrated</w:t>
            </w:r>
          </w:p>
        </w:tc>
        <w:tc>
          <w:tcPr>
            <w:tcW w:type="dxa" w:w="1337"/>
          </w:tcPr>
          <w:p>
            <w:pPr>
              <w:spacing w:line="240" w:lineRule="auto"/>
            </w:pPr>
            <w:r/>
            <w:r>
              <w:rPr>
                <w:rFonts w:ascii="Garamond" w:hAnsi="Garamond"/>
                <w:sz w:val="16"/>
              </w:rPr>
              <w:t>Davenport Downs, Bluewater Point, Mountain Springs (Antioch)</w:t>
            </w:r>
          </w:p>
        </w:tc>
        <w:tc>
          <w:tcPr>
            <w:tcW w:type="dxa" w:w="1337"/>
          </w:tcPr>
          <w:p>
            <w:pPr>
              <w:spacing w:line="240" w:lineRule="auto"/>
            </w:pPr>
            <w:r/>
            <w:r>
              <w:rPr>
                <w:rFonts w:ascii="Garamond" w:hAnsi="Garamond"/>
                <w:sz w:val="16"/>
              </w:rPr>
              <w:t>American Homes 4 Rent</w:t>
            </w:r>
          </w:p>
        </w:tc>
        <w:tc>
          <w:tcPr>
            <w:tcW w:type="dxa" w:w="1337"/>
          </w:tcPr>
          <w:p>
            <w:pPr>
              <w:spacing w:line="240" w:lineRule="auto"/>
            </w:pPr>
            <w:r/>
            <w:r>
              <w:rPr>
                <w:rFonts w:ascii="Garamond" w:hAnsi="Garamond"/>
                <w:sz w:val="16"/>
              </w:rPr>
              <w:t>AMH Development Tennessee GC</w:t>
            </w:r>
          </w:p>
        </w:tc>
        <w:tc>
          <w:tcPr>
            <w:tcW w:type="dxa" w:w="1337"/>
          </w:tcPr>
          <w:p>
            <w:pPr>
              <w:spacing w:line="240" w:lineRule="auto"/>
            </w:pPr>
            <w:r/>
            <w:r>
              <w:rPr>
                <w:rFonts w:ascii="Garamond" w:hAnsi="Garamond"/>
                <w:sz w:val="16"/>
              </w:rPr>
              <w:t>150 + 53 + 147</w:t>
            </w:r>
          </w:p>
        </w:tc>
        <w:tc>
          <w:tcPr>
            <w:tcW w:type="dxa" w:w="1337"/>
          </w:tcPr>
          <w:p>
            <w:pPr>
              <w:spacing w:line="240" w:lineRule="auto"/>
            </w:pPr>
            <w:r/>
            <w:r>
              <w:rPr>
                <w:rFonts w:ascii="Garamond" w:hAnsi="Garamond"/>
                <w:sz w:val="16"/>
              </w:rPr>
              <w:t>288 (AMH TN Development)</w:t>
            </w:r>
          </w:p>
        </w:tc>
        <w:tc>
          <w:tcPr>
            <w:tcW w:type="dxa" w:w="1337"/>
          </w:tcPr>
          <w:p>
            <w:pPr>
              <w:spacing w:line="240" w:lineRule="auto"/>
              <w:jc w:val="right"/>
            </w:pPr>
            <w:r/>
            <w:r>
              <w:rPr>
                <w:rFonts w:ascii="Garamond" w:hAnsi="Garamond"/>
                <w:sz w:val="16"/>
              </w:rPr>
              <w:t>278</w:t>
            </w:r>
          </w:p>
        </w:tc>
      </w:tr>
      <w:tr>
        <w:tc>
          <w:tcPr>
            <w:tcW w:type="dxa" w:w="1337"/>
          </w:tcPr>
          <w:p>
            <w:pPr>
              <w:spacing w:line="240" w:lineRule="auto"/>
            </w:pPr>
            <w:r/>
            <w:r>
              <w:rPr>
                <w:rFonts w:ascii="Garamond" w:hAnsi="Garamond"/>
                <w:sz w:val="16"/>
              </w:rPr>
              <w:t>Vertically integrated</w:t>
            </w:r>
          </w:p>
        </w:tc>
        <w:tc>
          <w:tcPr>
            <w:tcW w:type="dxa" w:w="1337"/>
          </w:tcPr>
          <w:p>
            <w:pPr>
              <w:spacing w:line="240" w:lineRule="auto"/>
            </w:pPr>
            <w:r/>
            <w:r>
              <w:rPr>
                <w:rFonts w:ascii="Garamond" w:hAnsi="Garamond"/>
                <w:sz w:val="16"/>
              </w:rPr>
              <w:t>Westbrook Pointe (Bellevue) and Newsome</w:t>
            </w:r>
          </w:p>
        </w:tc>
        <w:tc>
          <w:tcPr>
            <w:tcW w:type="dxa" w:w="1337"/>
          </w:tcPr>
          <w:p>
            <w:pPr>
              <w:spacing w:line="240" w:lineRule="auto"/>
            </w:pPr>
            <w:r/>
            <w:r>
              <w:rPr>
                <w:rFonts w:ascii="Garamond" w:hAnsi="Garamond"/>
                <w:sz w:val="16"/>
              </w:rPr>
              <w:t>AHV Communities</w:t>
            </w:r>
          </w:p>
        </w:tc>
        <w:tc>
          <w:tcPr>
            <w:tcW w:type="dxa" w:w="1337"/>
          </w:tcPr>
          <w:p>
            <w:pPr>
              <w:spacing w:line="240" w:lineRule="auto"/>
            </w:pPr>
            <w:r/>
            <w:r>
              <w:rPr>
                <w:rFonts w:ascii="Garamond" w:hAnsi="Garamond"/>
                <w:sz w:val="16"/>
              </w:rPr>
              <w:t>AHVTN, LLC</w:t>
            </w:r>
          </w:p>
        </w:tc>
        <w:tc>
          <w:tcPr>
            <w:tcW w:type="dxa" w:w="1337"/>
          </w:tcPr>
          <w:p>
            <w:pPr>
              <w:spacing w:line="240" w:lineRule="auto"/>
            </w:pPr>
            <w:r/>
            <w:r>
              <w:rPr>
                <w:rFonts w:ascii="Garamond" w:hAnsi="Garamond"/>
                <w:sz w:val="16"/>
              </w:rPr>
              <w:t>69 (Westbrook plat)</w:t>
            </w:r>
          </w:p>
        </w:tc>
        <w:tc>
          <w:tcPr>
            <w:tcW w:type="dxa" w:w="1337"/>
          </w:tcPr>
          <w:p>
            <w:pPr>
              <w:spacing w:line="240" w:lineRule="auto"/>
              <w:jc w:val="right"/>
            </w:pPr>
            <w:r/>
            <w:r>
              <w:rPr>
                <w:rFonts w:ascii="Garamond" w:hAnsi="Garamond"/>
                <w:sz w:val="16"/>
              </w:rPr>
              <w:t>160</w:t>
            </w:r>
          </w:p>
        </w:tc>
        <w:tc>
          <w:tcPr>
            <w:tcW w:type="dxa" w:w="1337"/>
          </w:tcPr>
          <w:p>
            <w:pPr>
              <w:spacing w:line="240" w:lineRule="auto"/>
              <w:jc w:val="right"/>
            </w:pPr>
            <w:r/>
            <w:r>
              <w:rPr>
                <w:rFonts w:ascii="Garamond" w:hAnsi="Garamond"/>
                <w:sz w:val="16"/>
              </w:rPr>
              <w:t>0</w:t>
            </w:r>
          </w:p>
        </w:tc>
      </w:tr>
      <w:tr>
        <w:tc>
          <w:tcPr>
            <w:tcW w:type="dxa" w:w="1337"/>
          </w:tcPr>
          <w:p>
            <w:pPr>
              <w:spacing w:line="240" w:lineRule="auto"/>
            </w:pPr>
            <w:r/>
            <w:r>
              <w:rPr>
                <w:rFonts w:ascii="Garamond" w:hAnsi="Garamond"/>
                <w:sz w:val="16"/>
              </w:rPr>
              <w:t>Vertically integrated</w:t>
            </w:r>
          </w:p>
        </w:tc>
        <w:tc>
          <w:tcPr>
            <w:tcW w:type="dxa" w:w="1337"/>
          </w:tcPr>
          <w:p>
            <w:pPr>
              <w:spacing w:line="240" w:lineRule="auto"/>
            </w:pPr>
            <w:r/>
            <w:r>
              <w:rPr>
                <w:rFonts w:ascii="Garamond" w:hAnsi="Garamond"/>
                <w:sz w:val="16"/>
              </w:rPr>
              <w:t>Tessa Madison</w:t>
            </w:r>
          </w:p>
        </w:tc>
        <w:tc>
          <w:tcPr>
            <w:tcW w:type="dxa" w:w="1337"/>
          </w:tcPr>
          <w:p>
            <w:pPr>
              <w:spacing w:line="240" w:lineRule="auto"/>
            </w:pPr>
            <w:r/>
            <w:r>
              <w:rPr>
                <w:rFonts w:ascii="Garamond" w:hAnsi="Garamond"/>
                <w:sz w:val="16"/>
              </w:rPr>
              <w:t>Tessa Communities / TWO Capital Partners (Invitation Homes construction loan)</w:t>
            </w:r>
          </w:p>
        </w:tc>
        <w:tc>
          <w:tcPr>
            <w:tcW w:type="dxa" w:w="1337"/>
          </w:tcPr>
          <w:p>
            <w:pPr>
              <w:spacing w:line="240" w:lineRule="auto"/>
            </w:pPr>
            <w:r/>
            <w:r>
              <w:rPr>
                <w:rFonts w:ascii="Garamond" w:hAnsi="Garamond"/>
                <w:sz w:val="16"/>
              </w:rPr>
              <w:t>TWO Resi Build</w:t>
            </w:r>
          </w:p>
        </w:tc>
        <w:tc>
          <w:tcPr>
            <w:tcW w:type="dxa" w:w="1337"/>
          </w:tcPr>
          <w:p>
            <w:pPr>
              <w:spacing w:line="240" w:lineRule="auto"/>
            </w:pPr>
            <w:r/>
            <w:r>
              <w:rPr>
                <w:rFonts w:ascii="Garamond" w:hAnsi="Garamond"/>
                <w:sz w:val="16"/>
              </w:rPr>
              <w:t>203 replatted</w:t>
            </w:r>
          </w:p>
        </w:tc>
        <w:tc>
          <w:tcPr>
            <w:tcW w:type="dxa" w:w="1337"/>
          </w:tcPr>
          <w:p>
            <w:pPr>
              <w:spacing w:line="240" w:lineRule="auto"/>
              <w:jc w:val="right"/>
            </w:pPr>
            <w:r/>
            <w:r>
              <w:rPr>
                <w:rFonts w:ascii="Garamond" w:hAnsi="Garamond"/>
                <w:sz w:val="16"/>
              </w:rPr>
              <w:t>199</w:t>
            </w:r>
          </w:p>
        </w:tc>
        <w:tc>
          <w:tcPr>
            <w:tcW w:type="dxa" w:w="1337"/>
          </w:tcPr>
          <w:p>
            <w:pPr>
              <w:spacing w:line="240" w:lineRule="auto"/>
              <w:jc w:val="right"/>
            </w:pPr>
            <w:r/>
            <w:r>
              <w:rPr>
                <w:rFonts w:ascii="Garamond" w:hAnsi="Garamond"/>
                <w:sz w:val="16"/>
              </w:rPr>
              <w:t>0</w:t>
            </w:r>
          </w:p>
        </w:tc>
      </w:tr>
      <w:tr>
        <w:tc>
          <w:tcPr>
            <w:tcW w:type="dxa" w:w="1337"/>
          </w:tcPr>
          <w:p>
            <w:pPr>
              <w:spacing w:line="240" w:lineRule="auto"/>
            </w:pPr>
            <w:r/>
            <w:r>
              <w:rPr>
                <w:rFonts w:ascii="Garamond" w:hAnsi="Garamond"/>
                <w:sz w:val="16"/>
              </w:rPr>
              <w:t>Local integrated</w:t>
            </w:r>
          </w:p>
        </w:tc>
        <w:tc>
          <w:tcPr>
            <w:tcW w:type="dxa" w:w="1337"/>
          </w:tcPr>
          <w:p>
            <w:pPr>
              <w:spacing w:line="240" w:lineRule="auto"/>
            </w:pPr>
            <w:r/>
            <w:r>
              <w:rPr>
                <w:rFonts w:ascii="Garamond" w:hAnsi="Garamond"/>
                <w:sz w:val="16"/>
              </w:rPr>
              <w:t>Fawn Crossing / Timber Trails</w:t>
            </w:r>
          </w:p>
        </w:tc>
        <w:tc>
          <w:tcPr>
            <w:tcW w:type="dxa" w:w="1337"/>
          </w:tcPr>
          <w:p>
            <w:pPr>
              <w:spacing w:line="240" w:lineRule="auto"/>
            </w:pPr>
            <w:r/>
            <w:r>
              <w:rPr>
                <w:rFonts w:ascii="Garamond" w:hAnsi="Garamond"/>
                <w:sz w:val="16"/>
              </w:rPr>
              <w:t>Normandy II General Partnership</w:t>
            </w:r>
          </w:p>
        </w:tc>
        <w:tc>
          <w:tcPr>
            <w:tcW w:type="dxa" w:w="1337"/>
          </w:tcPr>
          <w:p>
            <w:pPr>
              <w:spacing w:line="240" w:lineRule="auto"/>
            </w:pPr>
            <w:r/>
            <w:r>
              <w:rPr>
                <w:rFonts w:ascii="Garamond" w:hAnsi="Garamond"/>
                <w:sz w:val="16"/>
              </w:rPr>
              <w:t>Ole South Properties</w:t>
            </w:r>
          </w:p>
        </w:tc>
        <w:tc>
          <w:tcPr>
            <w:tcW w:type="dxa" w:w="1337"/>
          </w:tcPr>
          <w:p>
            <w:pPr>
              <w:spacing w:line="240" w:lineRule="auto"/>
              <w:jc w:val="right"/>
            </w:pPr>
            <w:r/>
            <w:r>
              <w:rPr>
                <w:rFonts w:ascii="Garamond" w:hAnsi="Garamond"/>
                <w:sz w:val="16"/>
              </w:rPr>
              <w:t>262</w:t>
            </w:r>
          </w:p>
        </w:tc>
        <w:tc>
          <w:tcPr>
            <w:tcW w:type="dxa" w:w="1337"/>
          </w:tcPr>
          <w:p>
            <w:pPr>
              <w:spacing w:line="240" w:lineRule="auto"/>
              <w:jc w:val="right"/>
            </w:pPr>
            <w:r/>
            <w:r>
              <w:rPr>
                <w:rFonts w:ascii="Garamond" w:hAnsi="Garamond"/>
                <w:sz w:val="16"/>
              </w:rPr>
              <w:t>297</w:t>
            </w:r>
          </w:p>
        </w:tc>
        <w:tc>
          <w:tcPr>
            <w:tcW w:type="dxa" w:w="1337"/>
          </w:tcPr>
          <w:p>
            <w:pPr>
              <w:spacing w:line="240" w:lineRule="auto"/>
              <w:jc w:val="right"/>
            </w:pPr>
            <w:r/>
            <w:r>
              <w:rPr>
                <w:rFonts w:ascii="Garamond" w:hAnsi="Garamond"/>
                <w:sz w:val="16"/>
              </w:rPr>
              <w:t>288</w:t>
            </w:r>
          </w:p>
        </w:tc>
      </w:tr>
      <w:tr>
        <w:tc>
          <w:tcPr>
            <w:tcW w:type="dxa" w:w="1337"/>
          </w:tcPr>
          <w:p>
            <w:pPr>
              <w:spacing w:line="240" w:lineRule="auto"/>
            </w:pPr>
            <w:r/>
            <w:r>
              <w:rPr>
                <w:rFonts w:ascii="Garamond" w:hAnsi="Garamond"/>
                <w:sz w:val="16"/>
              </w:rPr>
              <w:t>Fund + production builder</w:t>
            </w:r>
          </w:p>
        </w:tc>
        <w:tc>
          <w:tcPr>
            <w:tcW w:type="dxa" w:w="1337"/>
          </w:tcPr>
          <w:p>
            <w:pPr>
              <w:spacing w:line="240" w:lineRule="auto"/>
            </w:pPr>
            <w:r/>
            <w:r>
              <w:rPr>
                <w:rFonts w:ascii="Garamond" w:hAnsi="Garamond"/>
                <w:sz w:val="16"/>
              </w:rPr>
              <w:t>Harmon West Meade</w:t>
            </w:r>
          </w:p>
        </w:tc>
        <w:tc>
          <w:tcPr>
            <w:tcW w:type="dxa" w:w="1337"/>
          </w:tcPr>
          <w:p>
            <w:pPr>
              <w:spacing w:line="240" w:lineRule="auto"/>
            </w:pPr>
            <w:r/>
            <w:r>
              <w:rPr>
                <w:rFonts w:ascii="Garamond" w:hAnsi="Garamond"/>
                <w:sz w:val="16"/>
              </w:rPr>
              <w:t>Crescent Communities</w:t>
            </w:r>
          </w:p>
        </w:tc>
        <w:tc>
          <w:tcPr>
            <w:tcW w:type="dxa" w:w="1337"/>
          </w:tcPr>
          <w:p>
            <w:pPr>
              <w:spacing w:line="240" w:lineRule="auto"/>
            </w:pPr>
            <w:r/>
            <w:r>
              <w:rPr>
                <w:rFonts w:ascii="Garamond" w:hAnsi="Garamond"/>
                <w:sz w:val="16"/>
              </w:rPr>
              <w:t>David Weekley Homes</w:t>
            </w:r>
          </w:p>
        </w:tc>
        <w:tc>
          <w:tcPr>
            <w:tcW w:type="dxa" w:w="1337"/>
          </w:tcPr>
          <w:p>
            <w:pPr>
              <w:spacing w:line="240" w:lineRule="auto"/>
              <w:jc w:val="right"/>
            </w:pPr>
            <w:r/>
            <w:r>
              <w:rPr>
                <w:rFonts w:ascii="Garamond" w:hAnsi="Garamond"/>
                <w:sz w:val="16"/>
              </w:rPr>
              <w:t>174</w:t>
            </w:r>
          </w:p>
        </w:tc>
        <w:tc>
          <w:tcPr>
            <w:tcW w:type="dxa" w:w="1337"/>
          </w:tcPr>
          <w:p>
            <w:pPr>
              <w:spacing w:line="240" w:lineRule="auto"/>
            </w:pPr>
            <w:r/>
            <w:r>
              <w:rPr>
                <w:rFonts w:ascii="Garamond" w:hAnsi="Garamond"/>
                <w:sz w:val="16"/>
              </w:rPr>
              <w:t>n/a</w:t>
            </w:r>
          </w:p>
        </w:tc>
        <w:tc>
          <w:tcPr>
            <w:tcW w:type="dxa" w:w="1337"/>
          </w:tcPr>
          <w:p>
            <w:pPr>
              <w:spacing w:line="240" w:lineRule="auto"/>
              <w:jc w:val="right"/>
            </w:pPr>
            <w:r/>
            <w:r>
              <w:rPr>
                <w:rFonts w:ascii="Garamond" w:hAnsi="Garamond"/>
                <w:sz w:val="16"/>
              </w:rPr>
              <w:t>0</w:t>
            </w:r>
          </w:p>
        </w:tc>
      </w:tr>
      <w:tr>
        <w:tc>
          <w:tcPr>
            <w:tcW w:type="dxa" w:w="1337"/>
          </w:tcPr>
          <w:p>
            <w:pPr>
              <w:spacing w:line="240" w:lineRule="auto"/>
            </w:pPr>
            <w:r/>
            <w:r>
              <w:rPr>
                <w:rFonts w:ascii="Garamond" w:hAnsi="Garamond"/>
                <w:sz w:val="16"/>
              </w:rPr>
              <w:t>Fund + production builder</w:t>
            </w:r>
          </w:p>
        </w:tc>
        <w:tc>
          <w:tcPr>
            <w:tcW w:type="dxa" w:w="1337"/>
          </w:tcPr>
          <w:p>
            <w:pPr>
              <w:spacing w:line="240" w:lineRule="auto"/>
            </w:pPr>
            <w:r/>
            <w:r>
              <w:rPr>
                <w:rFonts w:ascii="Garamond" w:hAnsi="Garamond"/>
                <w:sz w:val="16"/>
              </w:rPr>
              <w:t>Cedars of Cane Ridge</w:t>
            </w:r>
          </w:p>
        </w:tc>
        <w:tc>
          <w:tcPr>
            <w:tcW w:type="dxa" w:w="1337"/>
          </w:tcPr>
          <w:p>
            <w:pPr>
              <w:spacing w:line="240" w:lineRule="auto"/>
            </w:pPr>
            <w:r/>
            <w:r>
              <w:rPr>
                <w:rFonts w:ascii="Garamond" w:hAnsi="Garamond"/>
                <w:sz w:val="16"/>
              </w:rPr>
              <w:t>Brookfield Residential</w:t>
            </w:r>
          </w:p>
        </w:tc>
        <w:tc>
          <w:tcPr>
            <w:tcW w:type="dxa" w:w="1337"/>
          </w:tcPr>
          <w:p>
            <w:pPr>
              <w:spacing w:line="240" w:lineRule="auto"/>
            </w:pPr>
            <w:r/>
            <w:r>
              <w:rPr>
                <w:rFonts w:ascii="Garamond" w:hAnsi="Garamond"/>
                <w:sz w:val="16"/>
              </w:rPr>
              <w:t>Ashton Woods</w:t>
            </w:r>
          </w:p>
        </w:tc>
        <w:tc>
          <w:tcPr>
            <w:tcW w:type="dxa" w:w="1337"/>
          </w:tcPr>
          <w:p>
            <w:pPr>
              <w:spacing w:line="240" w:lineRule="auto"/>
              <w:jc w:val="right"/>
            </w:pPr>
            <w:r/>
            <w:r>
              <w:rPr>
                <w:rFonts w:ascii="Garamond" w:hAnsi="Garamond"/>
                <w:sz w:val="16"/>
              </w:rPr>
              <w:t>70</w:t>
            </w:r>
          </w:p>
        </w:tc>
        <w:tc>
          <w:tcPr>
            <w:tcW w:type="dxa" w:w="1337"/>
          </w:tcPr>
          <w:p>
            <w:pPr>
              <w:spacing w:line="240" w:lineRule="auto"/>
              <w:jc w:val="right"/>
            </w:pPr>
            <w:r/>
            <w:r>
              <w:rPr>
                <w:rFonts w:ascii="Garamond" w:hAnsi="Garamond"/>
                <w:sz w:val="16"/>
              </w:rPr>
              <w:t>58</w:t>
            </w:r>
          </w:p>
        </w:tc>
        <w:tc>
          <w:tcPr>
            <w:tcW w:type="dxa" w:w="1337"/>
          </w:tcPr>
          <w:p>
            <w:pPr>
              <w:spacing w:line="240" w:lineRule="auto"/>
              <w:jc w:val="right"/>
            </w:pPr>
            <w:r/>
            <w:r>
              <w:rPr>
                <w:rFonts w:ascii="Garamond" w:hAnsi="Garamond"/>
                <w:sz w:val="16"/>
              </w:rPr>
              <w:t>0</w:t>
            </w:r>
          </w:p>
        </w:tc>
      </w:tr>
      <w:tr>
        <w:tc>
          <w:tcPr>
            <w:tcW w:type="dxa" w:w="1337"/>
          </w:tcPr>
          <w:p>
            <w:pPr>
              <w:spacing w:line="240" w:lineRule="auto"/>
            </w:pPr>
            <w:r/>
            <w:r>
              <w:rPr>
                <w:rFonts w:ascii="Garamond" w:hAnsi="Garamond"/>
                <w:sz w:val="16"/>
              </w:rPr>
              <w:t>Fund + production builder</w:t>
            </w:r>
          </w:p>
        </w:tc>
        <w:tc>
          <w:tcPr>
            <w:tcW w:type="dxa" w:w="1337"/>
          </w:tcPr>
          <w:p>
            <w:pPr>
              <w:spacing w:line="240" w:lineRule="auto"/>
            </w:pPr>
            <w:r/>
            <w:r>
              <w:rPr>
                <w:rFonts w:ascii="Garamond" w:hAnsi="Garamond"/>
                <w:sz w:val="16"/>
              </w:rPr>
              <w:t>Zermatt / Pemberton</w:t>
            </w:r>
          </w:p>
        </w:tc>
        <w:tc>
          <w:tcPr>
            <w:tcW w:type="dxa" w:w="1337"/>
          </w:tcPr>
          <w:p>
            <w:pPr>
              <w:spacing w:line="240" w:lineRule="auto"/>
            </w:pPr>
            <w:r/>
            <w:r>
              <w:rPr>
                <w:rFonts w:ascii="Garamond" w:hAnsi="Garamond"/>
                <w:sz w:val="16"/>
              </w:rPr>
              <w:t>TPG Angelo Gordon</w:t>
            </w:r>
          </w:p>
        </w:tc>
        <w:tc>
          <w:tcPr>
            <w:tcW w:type="dxa" w:w="1337"/>
          </w:tcPr>
          <w:p>
            <w:pPr>
              <w:spacing w:line="240" w:lineRule="auto"/>
            </w:pPr>
            <w:r/>
            <w:r>
              <w:rPr>
                <w:rFonts w:ascii="Garamond" w:hAnsi="Garamond"/>
                <w:sz w:val="16"/>
              </w:rPr>
              <w:t>Meritage; Lennar</w:t>
            </w:r>
          </w:p>
        </w:tc>
        <w:tc>
          <w:tcPr>
            <w:tcW w:type="dxa" w:w="1337"/>
          </w:tcPr>
          <w:p>
            <w:pPr>
              <w:spacing w:line="240" w:lineRule="auto"/>
              <w:jc w:val="right"/>
            </w:pPr>
            <w:r/>
            <w:r>
              <w:rPr>
                <w:rFonts w:ascii="Garamond" w:hAnsi="Garamond"/>
                <w:sz w:val="16"/>
              </w:rPr>
              <w:t>169</w:t>
            </w:r>
          </w:p>
        </w:tc>
        <w:tc>
          <w:tcPr>
            <w:tcW w:type="dxa" w:w="1337"/>
          </w:tcPr>
          <w:p>
            <w:pPr>
              <w:spacing w:line="240" w:lineRule="auto"/>
              <w:jc w:val="right"/>
            </w:pPr>
            <w:r/>
            <w:r>
              <w:rPr>
                <w:rFonts w:ascii="Garamond" w:hAnsi="Garamond"/>
                <w:sz w:val="16"/>
              </w:rPr>
              <w:t>2</w:t>
            </w:r>
          </w:p>
        </w:tc>
        <w:tc>
          <w:tcPr>
            <w:tcW w:type="dxa" w:w="1337"/>
          </w:tcPr>
          <w:p>
            <w:pPr>
              <w:spacing w:line="240" w:lineRule="auto"/>
              <w:jc w:val="right"/>
            </w:pPr>
            <w:r/>
            <w:r>
              <w:rPr>
                <w:rFonts w:ascii="Garamond" w:hAnsi="Garamond"/>
                <w:sz w:val="16"/>
              </w:rPr>
              <w:t>2</w:t>
            </w:r>
          </w:p>
        </w:tc>
      </w:tr>
      <w:tr>
        <w:tc>
          <w:tcPr>
            <w:tcW w:type="dxa" w:w="1337"/>
          </w:tcPr>
          <w:p>
            <w:pPr>
              <w:spacing w:line="240" w:lineRule="auto"/>
            </w:pPr>
            <w:r/>
            <w:r>
              <w:rPr>
                <w:rFonts w:ascii="Garamond" w:hAnsi="Garamond"/>
                <w:sz w:val="16"/>
              </w:rPr>
              <w:t>Fund + production builder</w:t>
            </w:r>
          </w:p>
        </w:tc>
        <w:tc>
          <w:tcPr>
            <w:tcW w:type="dxa" w:w="1337"/>
          </w:tcPr>
          <w:p>
            <w:pPr>
              <w:spacing w:line="240" w:lineRule="auto"/>
            </w:pPr>
            <w:r/>
            <w:r>
              <w:rPr>
                <w:rFonts w:ascii="Garamond" w:hAnsi="Garamond"/>
                <w:sz w:val="16"/>
              </w:rPr>
              <w:t>City Vista</w:t>
            </w:r>
          </w:p>
        </w:tc>
        <w:tc>
          <w:tcPr>
            <w:tcW w:type="dxa" w:w="1337"/>
          </w:tcPr>
          <w:p>
            <w:pPr>
              <w:spacing w:line="240" w:lineRule="auto"/>
            </w:pPr>
            <w:r/>
            <w:r>
              <w:rPr>
                <w:rFonts w:ascii="Garamond" w:hAnsi="Garamond"/>
                <w:sz w:val="16"/>
              </w:rPr>
              <w:t>Kennedy Lewis / Millrose</w:t>
            </w:r>
          </w:p>
        </w:tc>
        <w:tc>
          <w:tcPr>
            <w:tcW w:type="dxa" w:w="1337"/>
          </w:tcPr>
          <w:p>
            <w:pPr>
              <w:spacing w:line="240" w:lineRule="auto"/>
            </w:pPr>
            <w:r/>
            <w:r>
              <w:rPr>
                <w:rFonts w:ascii="Garamond" w:hAnsi="Garamond"/>
                <w:sz w:val="16"/>
              </w:rPr>
              <w:t>Lennar</w:t>
            </w:r>
          </w:p>
        </w:tc>
        <w:tc>
          <w:tcPr>
            <w:tcW w:type="dxa" w:w="1337"/>
          </w:tcPr>
          <w:p>
            <w:pPr>
              <w:spacing w:line="240" w:lineRule="auto"/>
              <w:jc w:val="right"/>
            </w:pPr>
            <w:r/>
            <w:r>
              <w:rPr>
                <w:rFonts w:ascii="Garamond" w:hAnsi="Garamond"/>
                <w:sz w:val="16"/>
              </w:rPr>
              <w:t>181</w:t>
            </w:r>
          </w:p>
        </w:tc>
        <w:tc>
          <w:tcPr>
            <w:tcW w:type="dxa" w:w="1337"/>
          </w:tcPr>
          <w:p>
            <w:pPr>
              <w:spacing w:line="240" w:lineRule="auto"/>
            </w:pPr>
            <w:r/>
            <w:r>
              <w:rPr>
                <w:rFonts w:ascii="Garamond" w:hAnsi="Garamond"/>
                <w:sz w:val="16"/>
              </w:rPr>
              <w:t>122 (KLLB) + 1 (Millrose)</w:t>
            </w:r>
          </w:p>
        </w:tc>
        <w:tc>
          <w:tcPr>
            <w:tcW w:type="dxa" w:w="1337"/>
          </w:tcPr>
          <w:p>
            <w:pPr>
              <w:spacing w:line="240" w:lineRule="auto"/>
              <w:jc w:val="right"/>
            </w:pPr>
            <w:r/>
            <w:r>
              <w:rPr>
                <w:rFonts w:ascii="Garamond" w:hAnsi="Garamond"/>
                <w:sz w:val="16"/>
              </w:rPr>
              <w:t>0</w:t>
            </w:r>
          </w:p>
        </w:tc>
      </w:tr>
      <w:tr>
        <w:tc>
          <w:tcPr>
            <w:tcW w:type="dxa" w:w="1337"/>
          </w:tcPr>
          <w:p>
            <w:pPr>
              <w:spacing w:line="240" w:lineRule="auto"/>
            </w:pPr>
            <w:r/>
            <w:r>
              <w:rPr>
                <w:rFonts w:ascii="Garamond" w:hAnsi="Garamond"/>
                <w:sz w:val="16"/>
              </w:rPr>
              <w:t>Fund + production builder</w:t>
            </w:r>
          </w:p>
        </w:tc>
        <w:tc>
          <w:tcPr>
            <w:tcW w:type="dxa" w:w="1337"/>
          </w:tcPr>
          <w:p>
            <w:pPr>
              <w:spacing w:line="240" w:lineRule="auto"/>
            </w:pPr>
            <w:r/>
            <w:r>
              <w:rPr>
                <w:rFonts w:ascii="Garamond" w:hAnsi="Garamond"/>
                <w:sz w:val="16"/>
              </w:rPr>
              <w:t>The Orchards; Larkin Springs</w:t>
            </w:r>
          </w:p>
        </w:tc>
        <w:tc>
          <w:tcPr>
            <w:tcW w:type="dxa" w:w="1337"/>
          </w:tcPr>
          <w:p>
            <w:pPr>
              <w:spacing w:line="240" w:lineRule="auto"/>
            </w:pPr>
            <w:r/>
            <w:r>
              <w:rPr>
                <w:rFonts w:ascii="Garamond" w:hAnsi="Garamond"/>
                <w:sz w:val="16"/>
              </w:rPr>
              <w:t>Invitation Homes</w:t>
            </w:r>
          </w:p>
        </w:tc>
        <w:tc>
          <w:tcPr>
            <w:tcW w:type="dxa" w:w="1337"/>
          </w:tcPr>
          <w:p>
            <w:pPr>
              <w:spacing w:line="240" w:lineRule="auto"/>
            </w:pPr>
            <w:r/>
            <w:r>
              <w:rPr>
                <w:rFonts w:ascii="Garamond" w:hAnsi="Garamond"/>
                <w:sz w:val="16"/>
              </w:rPr>
              <w:t>Paran Homes</w:t>
            </w:r>
          </w:p>
        </w:tc>
        <w:tc>
          <w:tcPr>
            <w:tcW w:type="dxa" w:w="1337"/>
          </w:tcPr>
          <w:p>
            <w:pPr>
              <w:spacing w:line="240" w:lineRule="auto"/>
              <w:jc w:val="right"/>
            </w:pPr>
            <w:r/>
            <w:r>
              <w:rPr>
                <w:rFonts w:ascii="Garamond" w:hAnsi="Garamond"/>
                <w:sz w:val="16"/>
              </w:rPr>
              <w:t>51</w:t>
            </w:r>
          </w:p>
        </w:tc>
        <w:tc>
          <w:tcPr>
            <w:tcW w:type="dxa" w:w="1337"/>
          </w:tcPr>
          <w:p>
            <w:pPr>
              <w:spacing w:line="240" w:lineRule="auto"/>
            </w:pPr>
            <w:r/>
            <w:r>
              <w:rPr>
                <w:rFonts w:ascii="Garamond" w:hAnsi="Garamond"/>
                <w:sz w:val="16"/>
              </w:rPr>
              <w:t>10 (Invitation Homes 7 TN)</w:t>
            </w:r>
          </w:p>
        </w:tc>
        <w:tc>
          <w:tcPr>
            <w:tcW w:type="dxa" w:w="1337"/>
          </w:tcPr>
          <w:p>
            <w:pPr>
              <w:spacing w:line="240" w:lineRule="auto"/>
              <w:jc w:val="right"/>
            </w:pPr>
            <w:r/>
            <w:r>
              <w:rPr>
                <w:rFonts w:ascii="Garamond" w:hAnsi="Garamond"/>
                <w:sz w:val="16"/>
              </w:rPr>
              <w:t>10</w:t>
            </w:r>
          </w:p>
        </w:tc>
      </w:tr>
      <w:tr>
        <w:tc>
          <w:tcPr>
            <w:tcW w:type="dxa" w:w="1337"/>
          </w:tcPr>
          <w:p>
            <w:pPr>
              <w:spacing w:line="240" w:lineRule="auto"/>
            </w:pPr>
            <w:r/>
            <w:r>
              <w:rPr>
                <w:rFonts w:ascii="Garamond" w:hAnsi="Garamond"/>
                <w:sz w:val="16"/>
              </w:rPr>
              <w:t>Forward-flow / bulk deed</w:t>
            </w:r>
          </w:p>
        </w:tc>
        <w:tc>
          <w:tcPr>
            <w:tcW w:type="dxa" w:w="1337"/>
          </w:tcPr>
          <w:p>
            <w:pPr>
              <w:spacing w:line="240" w:lineRule="auto"/>
            </w:pPr>
            <w:r/>
            <w:r>
              <w:rPr>
                <w:rFonts w:ascii="Garamond" w:hAnsi="Garamond"/>
                <w:sz w:val="16"/>
              </w:rPr>
              <w:t>East Hill</w:t>
            </w:r>
          </w:p>
        </w:tc>
        <w:tc>
          <w:tcPr>
            <w:tcW w:type="dxa" w:w="1337"/>
          </w:tcPr>
          <w:p>
            <w:pPr>
              <w:spacing w:line="240" w:lineRule="auto"/>
            </w:pPr>
            <w:r/>
            <w:r>
              <w:rPr>
                <w:rFonts w:ascii="Garamond" w:hAnsi="Garamond"/>
                <w:sz w:val="16"/>
              </w:rPr>
              <w:t>Porchlight</w:t>
            </w:r>
          </w:p>
        </w:tc>
        <w:tc>
          <w:tcPr>
            <w:tcW w:type="dxa" w:w="1337"/>
          </w:tcPr>
          <w:p>
            <w:pPr>
              <w:spacing w:line="240" w:lineRule="auto"/>
            </w:pPr>
            <w:r/>
            <w:r>
              <w:rPr>
                <w:rFonts w:ascii="Garamond" w:hAnsi="Garamond"/>
                <w:sz w:val="16"/>
              </w:rPr>
              <w:t>n/a</w:t>
            </w:r>
          </w:p>
        </w:tc>
        <w:tc>
          <w:tcPr>
            <w:tcW w:type="dxa" w:w="1337"/>
          </w:tcPr>
          <w:p>
            <w:pPr>
              <w:spacing w:line="240" w:lineRule="auto"/>
            </w:pPr>
            <w:r/>
            <w:r>
              <w:rPr>
                <w:rFonts w:ascii="Garamond" w:hAnsi="Garamond"/>
                <w:sz w:val="16"/>
              </w:rPr>
              <w:t>42 (2024 deed)</w:t>
            </w:r>
          </w:p>
        </w:tc>
        <w:tc>
          <w:tcPr>
            <w:tcW w:type="dxa" w:w="1337"/>
          </w:tcPr>
          <w:p>
            <w:pPr>
              <w:spacing w:line="240" w:lineRule="auto"/>
              <w:jc w:val="right"/>
            </w:pPr>
            <w:r/>
            <w:r>
              <w:rPr>
                <w:rFonts w:ascii="Garamond" w:hAnsi="Garamond"/>
                <w:sz w:val="16"/>
              </w:rPr>
              <w:t>63</w:t>
            </w:r>
          </w:p>
        </w:tc>
        <w:tc>
          <w:tcPr>
            <w:tcW w:type="dxa" w:w="1337"/>
          </w:tcPr>
          <w:p>
            <w:pPr>
              <w:spacing w:line="240" w:lineRule="auto"/>
              <w:jc w:val="right"/>
            </w:pPr>
            <w:r/>
            <w:r>
              <w:rPr>
                <w:rFonts w:ascii="Garamond" w:hAnsi="Garamond"/>
                <w:sz w:val="16"/>
              </w:rPr>
              <w:t>63</w:t>
            </w:r>
          </w:p>
        </w:tc>
      </w:tr>
      <w:tr>
        <w:tc>
          <w:tcPr>
            <w:tcW w:type="dxa" w:w="1337"/>
          </w:tcPr>
          <w:p>
            <w:pPr>
              <w:spacing w:line="240" w:lineRule="auto"/>
            </w:pPr>
            <w:r/>
            <w:r>
              <w:rPr>
                <w:rFonts w:ascii="Garamond" w:hAnsi="Garamond"/>
                <w:sz w:val="16"/>
              </w:rPr>
              <w:t>Forward-flow / bulk deed</w:t>
            </w:r>
          </w:p>
        </w:tc>
        <w:tc>
          <w:tcPr>
            <w:tcW w:type="dxa" w:w="1337"/>
          </w:tcPr>
          <w:p>
            <w:pPr>
              <w:spacing w:line="240" w:lineRule="auto"/>
            </w:pPr>
            <w:r/>
            <w:r>
              <w:rPr>
                <w:rFonts w:ascii="Garamond" w:hAnsi="Garamond"/>
                <w:sz w:val="16"/>
              </w:rPr>
              <w:t>Spring Path (Old Franklin)</w:t>
            </w:r>
          </w:p>
        </w:tc>
        <w:tc>
          <w:tcPr>
            <w:tcW w:type="dxa" w:w="1337"/>
          </w:tcPr>
          <w:p>
            <w:pPr>
              <w:spacing w:line="240" w:lineRule="auto"/>
            </w:pPr>
            <w:r/>
            <w:r>
              <w:rPr>
                <w:rFonts w:ascii="Garamond" w:hAnsi="Garamond"/>
                <w:sz w:val="16"/>
              </w:rPr>
              <w:t>ACPF / CBRE IM</w:t>
            </w:r>
          </w:p>
        </w:tc>
        <w:tc>
          <w:tcPr>
            <w:tcW w:type="dxa" w:w="1337"/>
          </w:tcPr>
          <w:p>
            <w:pPr>
              <w:spacing w:line="240" w:lineRule="auto"/>
            </w:pPr>
            <w:r/>
            <w:r>
              <w:rPr>
                <w:rFonts w:ascii="Garamond" w:hAnsi="Garamond"/>
                <w:sz w:val="16"/>
              </w:rPr>
              <w:t>Elmington</w:t>
            </w:r>
          </w:p>
        </w:tc>
        <w:tc>
          <w:tcPr>
            <w:tcW w:type="dxa" w:w="1337"/>
          </w:tcPr>
          <w:p>
            <w:pPr>
              <w:spacing w:line="240" w:lineRule="auto"/>
            </w:pPr>
            <w:r/>
            <w:r>
              <w:rPr>
                <w:rFonts w:ascii="Garamond" w:hAnsi="Garamond"/>
                <w:sz w:val="16"/>
              </w:rPr>
              <w:t>37 per phase</w:t>
            </w:r>
          </w:p>
        </w:tc>
        <w:tc>
          <w:tcPr>
            <w:tcW w:type="dxa" w:w="1337"/>
          </w:tcPr>
          <w:p>
            <w:pPr>
              <w:spacing w:line="240" w:lineRule="auto"/>
              <w:jc w:val="right"/>
            </w:pPr>
            <w:r/>
            <w:r>
              <w:rPr>
                <w:rFonts w:ascii="Garamond" w:hAnsi="Garamond"/>
                <w:sz w:val="16"/>
              </w:rPr>
              <w:t>105</w:t>
            </w:r>
          </w:p>
        </w:tc>
        <w:tc>
          <w:tcPr>
            <w:tcW w:type="dxa" w:w="1337"/>
          </w:tcPr>
          <w:p>
            <w:pPr>
              <w:spacing w:line="240" w:lineRule="auto"/>
              <w:jc w:val="right"/>
            </w:pPr>
            <w:r/>
            <w:r>
              <w:rPr>
                <w:rFonts w:ascii="Garamond" w:hAnsi="Garamond"/>
                <w:sz w:val="16"/>
              </w:rPr>
              <w:t>46</w:t>
            </w:r>
          </w:p>
        </w:tc>
      </w:tr>
      <w:tr>
        <w:tc>
          <w:tcPr>
            <w:tcW w:type="dxa" w:w="1337"/>
          </w:tcPr>
          <w:p>
            <w:pPr>
              <w:spacing w:line="240" w:lineRule="auto"/>
            </w:pPr>
            <w:r/>
            <w:r>
              <w:rPr>
                <w:rFonts w:ascii="Garamond" w:hAnsi="Garamond"/>
                <w:sz w:val="16"/>
              </w:rPr>
              <w:t>One-off disposition</w:t>
            </w:r>
          </w:p>
        </w:tc>
        <w:tc>
          <w:tcPr>
            <w:tcW w:type="dxa" w:w="1337"/>
          </w:tcPr>
          <w:p>
            <w:pPr>
              <w:spacing w:line="240" w:lineRule="auto"/>
            </w:pPr>
            <w:r/>
            <w:r>
              <w:rPr>
                <w:rFonts w:ascii="Garamond" w:hAnsi="Garamond"/>
                <w:sz w:val="16"/>
              </w:rPr>
              <w:t>Tennessee Townhomes</w:t>
            </w:r>
          </w:p>
        </w:tc>
        <w:tc>
          <w:tcPr>
            <w:tcW w:type="dxa" w:w="1337"/>
          </w:tcPr>
          <w:p>
            <w:pPr>
              <w:spacing w:line="240" w:lineRule="auto"/>
            </w:pPr>
            <w:r/>
            <w:r>
              <w:rPr>
                <w:rFonts w:ascii="Garamond" w:hAnsi="Garamond"/>
                <w:sz w:val="16"/>
              </w:rPr>
              <w:t>SFR XII fund</w:t>
            </w:r>
          </w:p>
        </w:tc>
        <w:tc>
          <w:tcPr>
            <w:tcW w:type="dxa" w:w="1337"/>
          </w:tcPr>
          <w:p>
            <w:pPr>
              <w:spacing w:line="240" w:lineRule="auto"/>
            </w:pPr>
            <w:r/>
            <w:r>
              <w:rPr>
                <w:rFonts w:ascii="Garamond" w:hAnsi="Garamond"/>
                <w:sz w:val="16"/>
              </w:rPr>
              <w:t>Elmington</w:t>
            </w:r>
          </w:p>
        </w:tc>
        <w:tc>
          <w:tcPr>
            <w:tcW w:type="dxa" w:w="1337"/>
          </w:tcPr>
          <w:p>
            <w:pPr>
              <w:spacing w:line="240" w:lineRule="auto"/>
              <w:jc w:val="right"/>
            </w:pPr>
            <w:r/>
            <w:r>
              <w:rPr>
                <w:rFonts w:ascii="Garamond" w:hAnsi="Garamond"/>
                <w:sz w:val="16"/>
              </w:rPr>
              <w:t>49</w:t>
            </w:r>
          </w:p>
        </w:tc>
        <w:tc>
          <w:tcPr>
            <w:tcW w:type="dxa" w:w="1337"/>
          </w:tcPr>
          <w:p>
            <w:pPr>
              <w:spacing w:line="240" w:lineRule="auto"/>
              <w:jc w:val="right"/>
            </w:pPr>
            <w:r/>
            <w:r>
              <w:rPr>
                <w:rFonts w:ascii="Garamond" w:hAnsi="Garamond"/>
                <w:sz w:val="16"/>
              </w:rPr>
              <w:t>39</w:t>
            </w:r>
          </w:p>
        </w:tc>
        <w:tc>
          <w:tcPr>
            <w:tcW w:type="dxa" w:w="1337"/>
          </w:tcPr>
          <w:p>
            <w:pPr>
              <w:spacing w:line="240" w:lineRule="auto"/>
              <w:jc w:val="right"/>
            </w:pPr>
            <w:r/>
            <w:r>
              <w:rPr>
                <w:rFonts w:ascii="Garamond" w:hAnsi="Garamond"/>
                <w:sz w:val="16"/>
              </w:rPr>
              <w:t>38</w:t>
            </w:r>
          </w:p>
        </w:tc>
      </w:tr>
      <w:tr>
        <w:tc>
          <w:tcPr>
            <w:tcW w:type="dxa" w:w="1337"/>
          </w:tcPr>
          <w:p>
            <w:pPr>
              <w:spacing w:line="240" w:lineRule="auto"/>
            </w:pPr>
            <w:r/>
            <w:r>
              <w:rPr>
                <w:rFonts w:ascii="Garamond" w:hAnsi="Garamond"/>
                <w:sz w:val="16"/>
              </w:rPr>
              <w:t>One-off disposition</w:t>
            </w:r>
          </w:p>
        </w:tc>
        <w:tc>
          <w:tcPr>
            <w:tcW w:type="dxa" w:w="1337"/>
          </w:tcPr>
          <w:p>
            <w:pPr>
              <w:spacing w:line="240" w:lineRule="auto"/>
            </w:pPr>
            <w:r/>
            <w:r>
              <w:rPr>
                <w:rFonts w:ascii="Garamond" w:hAnsi="Garamond"/>
                <w:sz w:val="16"/>
              </w:rPr>
              <w:t>Hamilton Crossing</w:t>
            </w:r>
          </w:p>
        </w:tc>
        <w:tc>
          <w:tcPr>
            <w:tcW w:type="dxa" w:w="1337"/>
          </w:tcPr>
          <w:p>
            <w:pPr>
              <w:spacing w:line="240" w:lineRule="auto"/>
            </w:pPr>
            <w:r/>
            <w:r>
              <w:rPr>
                <w:rFonts w:ascii="Garamond" w:hAnsi="Garamond"/>
                <w:sz w:val="16"/>
              </w:rPr>
              <w:t>VineBrook (VB TAH)</w:t>
            </w:r>
          </w:p>
        </w:tc>
        <w:tc>
          <w:tcPr>
            <w:tcW w:type="dxa" w:w="1337"/>
          </w:tcPr>
          <w:p>
            <w:pPr>
              <w:spacing w:line="240" w:lineRule="auto"/>
            </w:pPr>
            <w:r/>
            <w:r>
              <w:rPr>
                <w:rFonts w:ascii="Garamond" w:hAnsi="Garamond"/>
                <w:sz w:val="16"/>
              </w:rPr>
              <w:t>Century Communities</w:t>
            </w:r>
          </w:p>
        </w:tc>
        <w:tc>
          <w:tcPr>
            <w:tcW w:type="dxa" w:w="1337"/>
          </w:tcPr>
          <w:p>
            <w:pPr>
              <w:spacing w:line="240" w:lineRule="auto"/>
              <w:jc w:val="right"/>
            </w:pPr>
            <w:r/>
            <w:r>
              <w:rPr>
                <w:rFonts w:ascii="Garamond" w:hAnsi="Garamond"/>
                <w:sz w:val="16"/>
              </w:rPr>
              <w:t>106</w:t>
            </w:r>
          </w:p>
        </w:tc>
        <w:tc>
          <w:tcPr>
            <w:tcW w:type="dxa" w:w="1337"/>
          </w:tcPr>
          <w:p>
            <w:pPr>
              <w:spacing w:line="240" w:lineRule="auto"/>
              <w:jc w:val="right"/>
            </w:pPr>
            <w:r/>
            <w:r>
              <w:rPr>
                <w:rFonts w:ascii="Garamond" w:hAnsi="Garamond"/>
                <w:sz w:val="16"/>
              </w:rPr>
              <w:t>106</w:t>
            </w:r>
          </w:p>
        </w:tc>
        <w:tc>
          <w:tcPr>
            <w:tcW w:type="dxa" w:w="1337"/>
          </w:tcPr>
          <w:p>
            <w:pPr>
              <w:spacing w:line="240" w:lineRule="auto"/>
              <w:jc w:val="right"/>
            </w:pPr>
            <w:r/>
            <w:r>
              <w:rPr>
                <w:rFonts w:ascii="Garamond" w:hAnsi="Garamond"/>
                <w:sz w:val="16"/>
              </w:rPr>
              <w:t>104</w:t>
            </w:r>
          </w:p>
        </w:tc>
      </w:tr>
    </w:tbl>
    <w:p>
      <w:pPr>
        <w:spacing w:after="0"/>
      </w:pPr>
    </w:p>
    <w:p>
      <w:pPr>
        <w:spacing w:line="480" w:lineRule="auto" w:before="0" w:after="0"/>
        <w:ind w:firstLine="720"/>
      </w:pPr>
      <w:r>
        <w:rPr>
          <w:rFonts w:ascii="Garamond" w:hAnsi="Garamond"/>
          <w:i/>
        </w:rPr>
        <w:t>Source: platted lots from the Subdivision Boundaries layer and recorded plats; parcels held and built from the Cadastral Layer 4 owner field queried by operator name on October 19, 2026, https://maps.nashville.gov/arcgis/rest/services/Cadastral/Cadastral_Layers/MapServer/4 (built = improvement appraised value greater than zero; for Spring Path, 59 of the 105 parcels still carry a vacant land-use code and are counted as unbuilt). Harmon West Meade's owner of record did not resolve to a Crescent entity by name. Hamilton Crossing shows 104 improved parcels in October 2026 against 59 built at the December 2025 conveyance. Delivery-model taxonomy and owner-builder pairs from the July 8, 2026 community crosswalk and the deed instruments cited in the footnotes.</w:t>
      </w:r>
    </w:p>
    <w:p>
      <w:pPr>
        <w:pStyle w:val="Heading2"/>
      </w:pPr>
      <w:r>
        <w:t>Table III.3. The Definitional Blind Spot: Curated vs. Framework Parcel Counts, July 2026</w:t>
      </w:r>
    </w:p>
    <w:tbl>
      <w:tblPr>
        <w:tblW w:type="auto" w:w="0"/>
        <w:tblLayout w:type="autofit"/>
        <w:tblLook w:firstColumn="1" w:firstRow="1" w:lastColumn="0" w:lastRow="0" w:noHBand="0" w:noVBand="1" w:val="04A0"/>
        <w:tblBorders>
          <w:top w:val="single" w:sz="12" w:space="0" w:color="000000"/>
          <w:bottom w:val="single" w:sz="12" w:space="0" w:color="000000"/>
          <w:left w:val="nil" w:sz="0" w:space="0" w:color="000000"/>
          <w:right w:val="nil" w:sz="0" w:space="0" w:color="000000"/>
          <w:insideH w:val="nil" w:sz="0" w:space="0" w:color="000000"/>
          <w:insideV w:val="nil" w:sz="0" w:space="0" w:color="000000"/>
        </w:tblBorders>
      </w:tblPr>
      <w:tblGrid>
        <w:gridCol w:w="3120"/>
        <w:gridCol w:w="3120"/>
        <w:gridCol w:w="3120"/>
      </w:tblGrid>
      <w:tr>
        <w:tc>
          <w:tcPr>
            <w:tcW w:type="dxa" w:w="3120"/>
            <w:tcBorders>
              <w:bottom w:val="single" w:sz="4" w:color="000000"/>
            </w:tcBorders>
          </w:tcPr>
          <w:p>
            <w:pPr>
              <w:spacing w:line="240" w:lineRule="auto"/>
            </w:pPr>
            <w:r>
              <w:rPr>
                <w:b/>
              </w:rPr>
            </w:r>
            <w:r>
              <w:rPr>
                <w:rFonts w:ascii="Garamond" w:hAnsi="Garamond"/>
                <w:b/>
                <w:sz w:val="18"/>
              </w:rPr>
              <w:t>Operator / community</w:t>
            </w:r>
          </w:p>
        </w:tc>
        <w:tc>
          <w:tcPr>
            <w:tcW w:type="dxa" w:w="3120"/>
            <w:tcBorders>
              <w:bottom w:val="single" w:sz="4" w:color="000000"/>
            </w:tcBorders>
          </w:tcPr>
          <w:p>
            <w:pPr>
              <w:spacing w:line="240" w:lineRule="auto"/>
            </w:pPr>
            <w:r>
              <w:rPr>
                <w:b/>
              </w:rPr>
            </w:r>
            <w:r>
              <w:rPr>
                <w:rFonts w:ascii="Garamond" w:hAnsi="Garamond"/>
                <w:b/>
                <w:sz w:val="18"/>
              </w:rPr>
              <w:t>Curated parcels</w:t>
            </w:r>
          </w:p>
        </w:tc>
        <w:tc>
          <w:tcPr>
            <w:tcW w:type="dxa" w:w="3120"/>
            <w:tcBorders>
              <w:bottom w:val="single" w:sz="4" w:color="000000"/>
            </w:tcBorders>
          </w:tcPr>
          <w:p>
            <w:pPr>
              <w:spacing w:line="240" w:lineRule="auto"/>
            </w:pPr>
            <w:r>
              <w:rPr>
                <w:b/>
              </w:rPr>
            </w:r>
            <w:r>
              <w:rPr>
                <w:rFonts w:ascii="Garamond" w:hAnsi="Garamond"/>
                <w:b/>
                <w:sz w:val="18"/>
              </w:rPr>
              <w:t>Parcels inside the framework universe</w:t>
            </w:r>
          </w:p>
        </w:tc>
      </w:tr>
      <w:tr>
        <w:tc>
          <w:tcPr>
            <w:tcW w:type="dxa" w:w="3120"/>
          </w:tcPr>
          <w:p>
            <w:pPr>
              <w:spacing w:line="240" w:lineRule="auto"/>
            </w:pPr>
            <w:r/>
            <w:r>
              <w:rPr>
                <w:rFonts w:ascii="Garamond" w:hAnsi="Garamond"/>
                <w:sz w:val="18"/>
              </w:rPr>
              <w:t>ECG</w:t>
            </w:r>
          </w:p>
        </w:tc>
        <w:tc>
          <w:tcPr>
            <w:tcW w:type="dxa" w:w="3120"/>
          </w:tcPr>
          <w:p>
            <w:pPr>
              <w:spacing w:line="240" w:lineRule="auto"/>
              <w:jc w:val="right"/>
            </w:pPr>
            <w:r/>
            <w:r>
              <w:rPr>
                <w:rFonts w:ascii="Garamond" w:hAnsi="Garamond"/>
                <w:sz w:val="18"/>
              </w:rPr>
              <w:t>301</w:t>
            </w:r>
          </w:p>
        </w:tc>
        <w:tc>
          <w:tcPr>
            <w:tcW w:type="dxa" w:w="3120"/>
          </w:tcPr>
          <w:p>
            <w:pPr>
              <w:spacing w:line="240" w:lineRule="auto"/>
              <w:jc w:val="right"/>
            </w:pPr>
            <w:r/>
            <w:r>
              <w:rPr>
                <w:rFonts w:ascii="Garamond" w:hAnsi="Garamond"/>
                <w:sz w:val="18"/>
              </w:rPr>
              <w:t>53</w:t>
            </w:r>
          </w:p>
        </w:tc>
      </w:tr>
      <w:tr>
        <w:tc>
          <w:tcPr>
            <w:tcW w:type="dxa" w:w="3120"/>
          </w:tcPr>
          <w:p>
            <w:pPr>
              <w:spacing w:line="240" w:lineRule="auto"/>
            </w:pPr>
            <w:r/>
            <w:r>
              <w:rPr>
                <w:rFonts w:ascii="Garamond" w:hAnsi="Garamond"/>
                <w:sz w:val="18"/>
              </w:rPr>
              <w:t>Thornton Grove</w:t>
            </w:r>
          </w:p>
        </w:tc>
        <w:tc>
          <w:tcPr>
            <w:tcW w:type="dxa" w:w="3120"/>
          </w:tcPr>
          <w:p>
            <w:pPr>
              <w:spacing w:line="240" w:lineRule="auto"/>
              <w:jc w:val="right"/>
            </w:pPr>
            <w:r/>
            <w:r>
              <w:rPr>
                <w:rFonts w:ascii="Garamond" w:hAnsi="Garamond"/>
                <w:sz w:val="18"/>
              </w:rPr>
              <w:t>584</w:t>
            </w:r>
          </w:p>
        </w:tc>
        <w:tc>
          <w:tcPr>
            <w:tcW w:type="dxa" w:w="3120"/>
          </w:tcPr>
          <w:p>
            <w:pPr>
              <w:spacing w:line="240" w:lineRule="auto"/>
              <w:jc w:val="right"/>
            </w:pPr>
            <w:r/>
            <w:r>
              <w:rPr>
                <w:rFonts w:ascii="Garamond" w:hAnsi="Garamond"/>
                <w:sz w:val="18"/>
              </w:rPr>
              <w:t>29</w:t>
            </w:r>
          </w:p>
        </w:tc>
      </w:tr>
      <w:tr>
        <w:tc>
          <w:tcPr>
            <w:tcW w:type="dxa" w:w="3120"/>
          </w:tcPr>
          <w:p>
            <w:pPr>
              <w:spacing w:line="240" w:lineRule="auto"/>
            </w:pPr>
            <w:r/>
            <w:r>
              <w:rPr>
                <w:rFonts w:ascii="Garamond" w:hAnsi="Garamond"/>
                <w:sz w:val="18"/>
              </w:rPr>
              <w:t>Ava Madison</w:t>
            </w:r>
          </w:p>
        </w:tc>
        <w:tc>
          <w:tcPr>
            <w:tcW w:type="dxa" w:w="3120"/>
          </w:tcPr>
          <w:p>
            <w:pPr>
              <w:spacing w:line="240" w:lineRule="auto"/>
              <w:jc w:val="right"/>
            </w:pPr>
            <w:r/>
            <w:r>
              <w:rPr>
                <w:rFonts w:ascii="Garamond" w:hAnsi="Garamond"/>
                <w:sz w:val="18"/>
              </w:rPr>
              <w:t>200</w:t>
            </w:r>
          </w:p>
        </w:tc>
        <w:tc>
          <w:tcPr>
            <w:tcW w:type="dxa" w:w="3120"/>
          </w:tcPr>
          <w:p>
            <w:pPr>
              <w:spacing w:line="240" w:lineRule="auto"/>
              <w:jc w:val="right"/>
            </w:pPr>
            <w:r/>
            <w:r>
              <w:rPr>
                <w:rFonts w:ascii="Garamond" w:hAnsi="Garamond"/>
                <w:sz w:val="18"/>
              </w:rPr>
              <w:t>0</w:t>
            </w:r>
          </w:p>
        </w:tc>
      </w:tr>
      <w:tr>
        <w:tc>
          <w:tcPr>
            <w:tcW w:type="dxa" w:w="3120"/>
          </w:tcPr>
          <w:p>
            <w:pPr>
              <w:spacing w:line="240" w:lineRule="auto"/>
            </w:pPr>
            <w:r/>
            <w:r>
              <w:rPr>
                <w:rFonts w:ascii="Garamond" w:hAnsi="Garamond"/>
                <w:sz w:val="18"/>
              </w:rPr>
              <w:t>Invitation Homes (ResiBuilt)</w:t>
            </w:r>
          </w:p>
        </w:tc>
        <w:tc>
          <w:tcPr>
            <w:tcW w:type="dxa" w:w="3120"/>
          </w:tcPr>
          <w:p>
            <w:pPr>
              <w:spacing w:line="240" w:lineRule="auto"/>
              <w:jc w:val="right"/>
            </w:pPr>
            <w:r/>
            <w:r>
              <w:rPr>
                <w:rFonts w:ascii="Garamond" w:hAnsi="Garamond"/>
                <w:sz w:val="18"/>
              </w:rPr>
              <w:t>59</w:t>
            </w:r>
          </w:p>
        </w:tc>
        <w:tc>
          <w:tcPr>
            <w:tcW w:type="dxa" w:w="3120"/>
          </w:tcPr>
          <w:p>
            <w:pPr>
              <w:spacing w:line="240" w:lineRule="auto"/>
              <w:jc w:val="right"/>
            </w:pPr>
            <w:r/>
            <w:r>
              <w:rPr>
                <w:rFonts w:ascii="Garamond" w:hAnsi="Garamond"/>
                <w:sz w:val="18"/>
              </w:rPr>
              <w:t>0</w:t>
            </w:r>
          </w:p>
        </w:tc>
      </w:tr>
    </w:tbl>
    <w:p>
      <w:pPr>
        <w:spacing w:after="0"/>
      </w:pPr>
    </w:p>
    <w:p>
      <w:pPr>
        <w:spacing w:line="480" w:lineRule="auto" w:before="0" w:after="0"/>
        <w:ind w:firstLine="720"/>
      </w:pPr>
      <w:r>
        <w:rPr>
          <w:rFonts w:ascii="Garamond" w:hAnsi="Garamond"/>
          <w:i/>
        </w:rPr>
        <w:t>Source: GEOJSON-grounded rollup, July 14, 2026. Lots under development carry no dwelling-unit count and fall outside the single-family filter.</w:t>
      </w:r>
    </w:p>
    <w:p>
      <w:pPr>
        <w:pStyle w:val="Heading2"/>
      </w:pPr>
      <w:r>
        <w:t>Table III.4. Largest U.S. Homebuilders by 2025 Closings, and Nashville Market Share</w:t>
      </w:r>
    </w:p>
    <w:tbl>
      <w:tblPr>
        <w:tblW w:type="auto" w:w="0"/>
        <w:tblLayout w:type="autofit"/>
        <w:tblLook w:firstColumn="1" w:firstRow="1" w:lastColumn="0" w:lastRow="0" w:noHBand="0" w:noVBand="1" w:val="04A0"/>
        <w:tblBorders>
          <w:top w:val="single" w:sz="12" w:space="0" w:color="000000"/>
          <w:bottom w:val="single" w:sz="12" w:space="0" w:color="000000"/>
          <w:left w:val="nil" w:sz="0" w:space="0" w:color="000000"/>
          <w:right w:val="nil" w:sz="0" w:space="0" w:color="000000"/>
          <w:insideH w:val="nil" w:sz="0" w:space="0" w:color="000000"/>
          <w:insideV w:val="nil" w:sz="0" w:space="0" w:color="000000"/>
        </w:tblBorders>
      </w:tblPr>
      <w:tblGrid>
        <w:gridCol w:w="3120"/>
        <w:gridCol w:w="3120"/>
        <w:gridCol w:w="3120"/>
      </w:tblGrid>
      <w:tr>
        <w:tc>
          <w:tcPr>
            <w:tcW w:type="dxa" w:w="3120"/>
            <w:tcBorders>
              <w:bottom w:val="single" w:sz="4" w:color="000000"/>
            </w:tcBorders>
          </w:tcPr>
          <w:p>
            <w:pPr>
              <w:spacing w:line="240" w:lineRule="auto"/>
            </w:pPr>
            <w:r>
              <w:rPr>
                <w:b/>
              </w:rPr>
            </w:r>
            <w:r>
              <w:rPr>
                <w:rFonts w:ascii="Garamond" w:hAnsi="Garamond"/>
                <w:b/>
                <w:sz w:val="18"/>
              </w:rPr>
              <w:t>Builder</w:t>
            </w:r>
          </w:p>
        </w:tc>
        <w:tc>
          <w:tcPr>
            <w:tcW w:type="dxa" w:w="3120"/>
            <w:tcBorders>
              <w:bottom w:val="single" w:sz="4" w:color="000000"/>
            </w:tcBorders>
          </w:tcPr>
          <w:p>
            <w:pPr>
              <w:spacing w:line="240" w:lineRule="auto"/>
            </w:pPr>
            <w:r>
              <w:rPr>
                <w:b/>
              </w:rPr>
            </w:r>
            <w:r>
              <w:rPr>
                <w:rFonts w:ascii="Garamond" w:hAnsi="Garamond"/>
                <w:b/>
                <w:sz w:val="18"/>
              </w:rPr>
              <w:t>2025 closings (national)</w:t>
            </w:r>
          </w:p>
        </w:tc>
        <w:tc>
          <w:tcPr>
            <w:tcW w:type="dxa" w:w="3120"/>
            <w:tcBorders>
              <w:bottom w:val="single" w:sz="4" w:color="000000"/>
            </w:tcBorders>
          </w:tcPr>
          <w:p>
            <w:pPr>
              <w:spacing w:line="240" w:lineRule="auto"/>
            </w:pPr>
            <w:r>
              <w:rPr>
                <w:b/>
              </w:rPr>
            </w:r>
            <w:r>
              <w:rPr>
                <w:rFonts w:ascii="Garamond" w:hAnsi="Garamond"/>
                <w:b/>
                <w:sz w:val="18"/>
              </w:rPr>
              <w:t>Nashville metro closing share</w:t>
            </w:r>
          </w:p>
        </w:tc>
      </w:tr>
      <w:tr>
        <w:tc>
          <w:tcPr>
            <w:tcW w:type="dxa" w:w="3120"/>
          </w:tcPr>
          <w:p>
            <w:pPr>
              <w:spacing w:line="240" w:lineRule="auto"/>
            </w:pPr>
            <w:r/>
            <w:r>
              <w:rPr>
                <w:rFonts w:ascii="Garamond" w:hAnsi="Garamond"/>
                <w:sz w:val="18"/>
              </w:rPr>
              <w:t>D.R. Horton (DHI)</w:t>
            </w:r>
          </w:p>
        </w:tc>
        <w:tc>
          <w:tcPr>
            <w:tcW w:type="dxa" w:w="3120"/>
          </w:tcPr>
          <w:p>
            <w:pPr>
              <w:spacing w:line="240" w:lineRule="auto"/>
              <w:jc w:val="right"/>
            </w:pPr>
            <w:r/>
            <w:r>
              <w:rPr>
                <w:rFonts w:ascii="Garamond" w:hAnsi="Garamond"/>
                <w:sz w:val="18"/>
              </w:rPr>
              <w:t>87,168</w:t>
            </w:r>
          </w:p>
        </w:tc>
        <w:tc>
          <w:tcPr>
            <w:tcW w:type="dxa" w:w="3120"/>
          </w:tcPr>
          <w:p>
            <w:pPr>
              <w:spacing w:line="240" w:lineRule="auto"/>
              <w:jc w:val="right"/>
            </w:pPr>
            <w:r/>
            <w:r>
              <w:rPr>
                <w:rFonts w:ascii="Garamond" w:hAnsi="Garamond"/>
                <w:sz w:val="18"/>
              </w:rPr>
              <w:t>7.8%</w:t>
            </w:r>
          </w:p>
        </w:tc>
      </w:tr>
      <w:tr>
        <w:tc>
          <w:tcPr>
            <w:tcW w:type="dxa" w:w="3120"/>
          </w:tcPr>
          <w:p>
            <w:pPr>
              <w:spacing w:line="240" w:lineRule="auto"/>
            </w:pPr>
            <w:r/>
            <w:r>
              <w:rPr>
                <w:rFonts w:ascii="Garamond" w:hAnsi="Garamond"/>
                <w:sz w:val="18"/>
              </w:rPr>
              <w:t>Lennar (LEN)</w:t>
            </w:r>
          </w:p>
        </w:tc>
        <w:tc>
          <w:tcPr>
            <w:tcW w:type="dxa" w:w="3120"/>
          </w:tcPr>
          <w:p>
            <w:pPr>
              <w:spacing w:line="240" w:lineRule="auto"/>
              <w:jc w:val="right"/>
            </w:pPr>
            <w:r/>
            <w:r>
              <w:rPr>
                <w:rFonts w:ascii="Garamond" w:hAnsi="Garamond"/>
                <w:sz w:val="18"/>
              </w:rPr>
              <w:t>82,583</w:t>
            </w:r>
          </w:p>
        </w:tc>
        <w:tc>
          <w:tcPr>
            <w:tcW w:type="dxa" w:w="3120"/>
          </w:tcPr>
          <w:p>
            <w:pPr>
              <w:spacing w:line="240" w:lineRule="auto"/>
              <w:jc w:val="right"/>
            </w:pPr>
            <w:r/>
            <w:r>
              <w:rPr>
                <w:rFonts w:ascii="Garamond" w:hAnsi="Garamond"/>
                <w:sz w:val="18"/>
              </w:rPr>
              <w:t>10.2%</w:t>
            </w:r>
          </w:p>
        </w:tc>
      </w:tr>
      <w:tr>
        <w:tc>
          <w:tcPr>
            <w:tcW w:type="dxa" w:w="3120"/>
          </w:tcPr>
          <w:p>
            <w:pPr>
              <w:spacing w:line="240" w:lineRule="auto"/>
            </w:pPr>
            <w:r/>
            <w:r>
              <w:rPr>
                <w:rFonts w:ascii="Garamond" w:hAnsi="Garamond"/>
                <w:sz w:val="18"/>
              </w:rPr>
              <w:t>PulteGroup (PHM)</w:t>
            </w:r>
          </w:p>
        </w:tc>
        <w:tc>
          <w:tcPr>
            <w:tcW w:type="dxa" w:w="3120"/>
          </w:tcPr>
          <w:p>
            <w:pPr>
              <w:spacing w:line="240" w:lineRule="auto"/>
              <w:jc w:val="right"/>
            </w:pPr>
            <w:r/>
            <w:r>
              <w:rPr>
                <w:rFonts w:ascii="Garamond" w:hAnsi="Garamond"/>
                <w:sz w:val="18"/>
              </w:rPr>
              <w:t>29,572</w:t>
            </w:r>
          </w:p>
        </w:tc>
        <w:tc>
          <w:tcPr>
            <w:tcW w:type="dxa" w:w="3120"/>
          </w:tcPr>
          <w:p>
            <w:pPr>
              <w:spacing w:line="240" w:lineRule="auto"/>
              <w:jc w:val="right"/>
            </w:pPr>
            <w:r/>
            <w:r>
              <w:rPr>
                <w:rFonts w:ascii="Garamond" w:hAnsi="Garamond"/>
                <w:sz w:val="18"/>
              </w:rPr>
              <w:t>5.4%</w:t>
            </w:r>
          </w:p>
        </w:tc>
      </w:tr>
      <w:tr>
        <w:tc>
          <w:tcPr>
            <w:tcW w:type="dxa" w:w="3120"/>
          </w:tcPr>
          <w:p>
            <w:pPr>
              <w:spacing w:line="240" w:lineRule="auto"/>
            </w:pPr>
            <w:r/>
            <w:r>
              <w:rPr>
                <w:rFonts w:ascii="Garamond" w:hAnsi="Garamond"/>
                <w:sz w:val="18"/>
              </w:rPr>
              <w:t>NVR (NVR)</w:t>
            </w:r>
          </w:p>
        </w:tc>
        <w:tc>
          <w:tcPr>
            <w:tcW w:type="dxa" w:w="3120"/>
          </w:tcPr>
          <w:p>
            <w:pPr>
              <w:spacing w:line="240" w:lineRule="auto"/>
              <w:jc w:val="right"/>
            </w:pPr>
            <w:r/>
            <w:r>
              <w:rPr>
                <w:rFonts w:ascii="Garamond" w:hAnsi="Garamond"/>
                <w:sz w:val="18"/>
              </w:rPr>
              <w:t>21,915</w:t>
            </w:r>
          </w:p>
        </w:tc>
        <w:tc>
          <w:tcPr>
            <w:tcW w:type="dxa" w:w="3120"/>
          </w:tcPr>
          <w:p>
            <w:pPr>
              <w:spacing w:line="240" w:lineRule="auto"/>
              <w:jc w:val="right"/>
            </w:pPr>
            <w:r/>
            <w:r>
              <w:rPr>
                <w:rFonts w:ascii="Garamond" w:hAnsi="Garamond"/>
                <w:sz w:val="18"/>
              </w:rPr>
              <w:t>11.2%</w:t>
            </w:r>
          </w:p>
        </w:tc>
      </w:tr>
      <w:tr>
        <w:tc>
          <w:tcPr>
            <w:tcW w:type="dxa" w:w="3120"/>
          </w:tcPr>
          <w:p>
            <w:pPr>
              <w:spacing w:line="240" w:lineRule="auto"/>
            </w:pPr>
            <w:r/>
            <w:r>
              <w:rPr>
                <w:rFonts w:ascii="Garamond" w:hAnsi="Garamond"/>
                <w:sz w:val="18"/>
              </w:rPr>
              <w:t>Meritage (MTH)</w:t>
            </w:r>
          </w:p>
        </w:tc>
        <w:tc>
          <w:tcPr>
            <w:tcW w:type="dxa" w:w="3120"/>
          </w:tcPr>
          <w:p>
            <w:pPr>
              <w:spacing w:line="240" w:lineRule="auto"/>
              <w:jc w:val="right"/>
            </w:pPr>
            <w:r/>
            <w:r>
              <w:rPr>
                <w:rFonts w:ascii="Garamond" w:hAnsi="Garamond"/>
                <w:sz w:val="18"/>
              </w:rPr>
              <w:t>15,026</w:t>
            </w:r>
          </w:p>
        </w:tc>
        <w:tc>
          <w:tcPr>
            <w:tcW w:type="dxa" w:w="3120"/>
          </w:tcPr>
          <w:p>
            <w:pPr>
              <w:spacing w:line="240" w:lineRule="auto"/>
              <w:jc w:val="right"/>
            </w:pPr>
            <w:r/>
            <w:r>
              <w:rPr>
                <w:rFonts w:ascii="Garamond" w:hAnsi="Garamond"/>
                <w:sz w:val="18"/>
              </w:rPr>
              <w:t>7.7%</w:t>
            </w:r>
          </w:p>
        </w:tc>
      </w:tr>
      <w:tr>
        <w:tc>
          <w:tcPr>
            <w:tcW w:type="dxa" w:w="3120"/>
          </w:tcPr>
          <w:p>
            <w:pPr>
              <w:spacing w:line="240" w:lineRule="auto"/>
            </w:pPr>
            <w:r/>
            <w:r>
              <w:rPr>
                <w:rFonts w:ascii="Garamond" w:hAnsi="Garamond"/>
                <w:sz w:val="18"/>
              </w:rPr>
              <w:t>Ole South (private, local)</w:t>
            </w:r>
          </w:p>
        </w:tc>
        <w:tc>
          <w:tcPr>
            <w:tcW w:type="dxa" w:w="3120"/>
          </w:tcPr>
          <w:p>
            <w:pPr>
              <w:spacing w:line="240" w:lineRule="auto"/>
            </w:pPr>
            <w:r/>
            <w:r>
              <w:rPr>
                <w:rFonts w:ascii="Garamond" w:hAnsi="Garamond"/>
                <w:sz w:val="18"/>
              </w:rPr>
              <w:t>n/a</w:t>
            </w:r>
          </w:p>
        </w:tc>
        <w:tc>
          <w:tcPr>
            <w:tcW w:type="dxa" w:w="3120"/>
          </w:tcPr>
          <w:p>
            <w:pPr>
              <w:spacing w:line="240" w:lineRule="auto"/>
              <w:jc w:val="right"/>
            </w:pPr>
            <w:r/>
            <w:r>
              <w:rPr>
                <w:rFonts w:ascii="Garamond" w:hAnsi="Garamond"/>
                <w:sz w:val="18"/>
              </w:rPr>
              <w:t>5.4%</w:t>
            </w:r>
          </w:p>
        </w:tc>
      </w:tr>
      <w:tr>
        <w:tc>
          <w:tcPr>
            <w:tcW w:type="dxa" w:w="3120"/>
          </w:tcPr>
          <w:p>
            <w:pPr>
              <w:spacing w:line="240" w:lineRule="auto"/>
            </w:pPr>
            <w:r/>
            <w:r>
              <w:rPr>
                <w:rFonts w:ascii="Garamond" w:hAnsi="Garamond"/>
                <w:sz w:val="18"/>
              </w:rPr>
              <w:t>Clayton (Berkshire Hathaway)</w:t>
            </w:r>
          </w:p>
        </w:tc>
        <w:tc>
          <w:tcPr>
            <w:tcW w:type="dxa" w:w="3120"/>
          </w:tcPr>
          <w:p>
            <w:pPr>
              <w:spacing w:line="240" w:lineRule="auto"/>
            </w:pPr>
            <w:r/>
            <w:r>
              <w:rPr>
                <w:rFonts w:ascii="Garamond" w:hAnsi="Garamond"/>
                <w:sz w:val="18"/>
              </w:rPr>
              <w:t>n/a</w:t>
            </w:r>
          </w:p>
        </w:tc>
        <w:tc>
          <w:tcPr>
            <w:tcW w:type="dxa" w:w="3120"/>
          </w:tcPr>
          <w:p>
            <w:pPr>
              <w:spacing w:line="240" w:lineRule="auto"/>
              <w:jc w:val="right"/>
            </w:pPr>
            <w:r/>
            <w:r>
              <w:rPr>
                <w:rFonts w:ascii="Garamond" w:hAnsi="Garamond"/>
                <w:sz w:val="18"/>
              </w:rPr>
              <w:t>4.2%</w:t>
            </w:r>
          </w:p>
        </w:tc>
      </w:tr>
      <w:tr>
        <w:tc>
          <w:tcPr>
            <w:tcW w:type="dxa" w:w="3120"/>
          </w:tcPr>
          <w:p>
            <w:pPr>
              <w:spacing w:line="240" w:lineRule="auto"/>
            </w:pPr>
            <w:r/>
            <w:r>
              <w:rPr>
                <w:rFonts w:ascii="Garamond" w:hAnsi="Garamond"/>
                <w:sz w:val="18"/>
              </w:rPr>
              <w:t>Beazer (BZH)</w:t>
            </w:r>
          </w:p>
        </w:tc>
        <w:tc>
          <w:tcPr>
            <w:tcW w:type="dxa" w:w="3120"/>
          </w:tcPr>
          <w:p>
            <w:pPr>
              <w:spacing w:line="240" w:lineRule="auto"/>
            </w:pPr>
            <w:r/>
            <w:r>
              <w:rPr>
                <w:rFonts w:ascii="Garamond" w:hAnsi="Garamond"/>
                <w:sz w:val="18"/>
              </w:rPr>
              <w:t>n/a</w:t>
            </w:r>
          </w:p>
        </w:tc>
        <w:tc>
          <w:tcPr>
            <w:tcW w:type="dxa" w:w="3120"/>
          </w:tcPr>
          <w:p>
            <w:pPr>
              <w:spacing w:line="240" w:lineRule="auto"/>
              <w:jc w:val="right"/>
            </w:pPr>
            <w:r/>
            <w:r>
              <w:rPr>
                <w:rFonts w:ascii="Garamond" w:hAnsi="Garamond"/>
                <w:sz w:val="18"/>
              </w:rPr>
              <w:t>4.2%</w:t>
            </w:r>
          </w:p>
        </w:tc>
      </w:tr>
      <w:tr>
        <w:tc>
          <w:tcPr>
            <w:tcW w:type="dxa" w:w="3120"/>
          </w:tcPr>
          <w:p>
            <w:pPr>
              <w:spacing w:line="240" w:lineRule="auto"/>
            </w:pPr>
            <w:r/>
            <w:r>
              <w:rPr>
                <w:rFonts w:ascii="Garamond" w:hAnsi="Garamond"/>
                <w:sz w:val="18"/>
              </w:rPr>
              <w:t>Century Communities (CCS)</w:t>
            </w:r>
          </w:p>
        </w:tc>
        <w:tc>
          <w:tcPr>
            <w:tcW w:type="dxa" w:w="3120"/>
          </w:tcPr>
          <w:p>
            <w:pPr>
              <w:spacing w:line="240" w:lineRule="auto"/>
            </w:pPr>
            <w:r/>
            <w:r>
              <w:rPr>
                <w:rFonts w:ascii="Garamond" w:hAnsi="Garamond"/>
                <w:sz w:val="18"/>
              </w:rPr>
              <w:t>n/a</w:t>
            </w:r>
          </w:p>
        </w:tc>
        <w:tc>
          <w:tcPr>
            <w:tcW w:type="dxa" w:w="3120"/>
          </w:tcPr>
          <w:p>
            <w:pPr>
              <w:spacing w:line="240" w:lineRule="auto"/>
              <w:jc w:val="right"/>
            </w:pPr>
            <w:r/>
            <w:r>
              <w:rPr>
                <w:rFonts w:ascii="Garamond" w:hAnsi="Garamond"/>
                <w:sz w:val="18"/>
              </w:rPr>
              <w:t>3.7%</w:t>
            </w:r>
          </w:p>
        </w:tc>
      </w:tr>
      <w:tr>
        <w:tc>
          <w:tcPr>
            <w:tcW w:type="dxa" w:w="3120"/>
          </w:tcPr>
          <w:p>
            <w:pPr>
              <w:spacing w:line="240" w:lineRule="auto"/>
            </w:pPr>
            <w:r/>
            <w:r>
              <w:rPr>
                <w:rFonts w:ascii="Garamond" w:hAnsi="Garamond"/>
                <w:sz w:val="18"/>
              </w:rPr>
              <w:t>Dream Finders (DFH)</w:t>
            </w:r>
          </w:p>
        </w:tc>
        <w:tc>
          <w:tcPr>
            <w:tcW w:type="dxa" w:w="3120"/>
          </w:tcPr>
          <w:p>
            <w:pPr>
              <w:spacing w:line="240" w:lineRule="auto"/>
            </w:pPr>
            <w:r/>
            <w:r>
              <w:rPr>
                <w:rFonts w:ascii="Garamond" w:hAnsi="Garamond"/>
                <w:sz w:val="18"/>
              </w:rPr>
              <w:t>n/a</w:t>
            </w:r>
          </w:p>
        </w:tc>
        <w:tc>
          <w:tcPr>
            <w:tcW w:type="dxa" w:w="3120"/>
          </w:tcPr>
          <w:p>
            <w:pPr>
              <w:spacing w:line="240" w:lineRule="auto"/>
              <w:jc w:val="right"/>
            </w:pPr>
            <w:r/>
            <w:r>
              <w:rPr>
                <w:rFonts w:ascii="Garamond" w:hAnsi="Garamond"/>
                <w:sz w:val="18"/>
              </w:rPr>
              <w:t>2.9%</w:t>
            </w:r>
          </w:p>
        </w:tc>
      </w:tr>
      <w:tr>
        <w:tc>
          <w:tcPr>
            <w:tcW w:type="dxa" w:w="3120"/>
          </w:tcPr>
          <w:p>
            <w:pPr>
              <w:spacing w:line="240" w:lineRule="auto"/>
            </w:pPr>
            <w:r/>
            <w:r>
              <w:rPr>
                <w:rFonts w:ascii="Garamond" w:hAnsi="Garamond"/>
                <w:sz w:val="18"/>
              </w:rPr>
              <w:t>American Homes 4 Rent (AMH), rank 35</w:t>
            </w:r>
          </w:p>
        </w:tc>
        <w:tc>
          <w:tcPr>
            <w:tcW w:type="dxa" w:w="3120"/>
          </w:tcPr>
          <w:p>
            <w:pPr>
              <w:spacing w:line="240" w:lineRule="auto"/>
              <w:jc w:val="right"/>
            </w:pPr>
            <w:r/>
            <w:r>
              <w:rPr>
                <w:rFonts w:ascii="Garamond" w:hAnsi="Garamond"/>
                <w:sz w:val="18"/>
              </w:rPr>
              <w:t>2,322</w:t>
            </w:r>
          </w:p>
        </w:tc>
        <w:tc>
          <w:tcPr>
            <w:tcW w:type="dxa" w:w="3120"/>
          </w:tcPr>
          <w:p>
            <w:pPr>
              <w:spacing w:line="240" w:lineRule="auto"/>
            </w:pPr>
            <w:r/>
            <w:r>
              <w:rPr>
                <w:rFonts w:ascii="Garamond" w:hAnsi="Garamond"/>
                <w:sz w:val="18"/>
              </w:rPr>
              <w:t>n/a</w:t>
            </w:r>
          </w:p>
        </w:tc>
      </w:tr>
    </w:tbl>
    <w:p>
      <w:pPr>
        <w:spacing w:after="0"/>
      </w:pPr>
    </w:p>
    <w:p>
      <w:pPr>
        <w:spacing w:line="480" w:lineRule="auto" w:before="0" w:after="0"/>
        <w:ind w:firstLine="720"/>
      </w:pPr>
      <w:r>
        <w:rPr>
          <w:rFonts w:ascii="Garamond" w:hAnsi="Garamond"/>
          <w:i/>
        </w:rPr>
        <w:t>Sources: Builder 100 (2026); Pro Builder Top 200 (Jan. 23, 2026); Eye on Housing, Top Builder Market Share, Nashville-Davidson-Murfreesboro-Franklin, TN (2025) (top ten builders 62.6 percent of closings).</w:t>
      </w:r>
    </w:p>
    <w:p>
      <w:pPr>
        <w:pStyle w:val="Heading2"/>
      </w:pPr>
      <w:r>
        <w:t>Table III.5. 2025 Residential-to-Commercial Reclassification Rates by Operator</w:t>
      </w:r>
    </w:p>
    <w:tbl>
      <w:tblPr>
        <w:tblW w:type="auto" w:w="0"/>
        <w:tblLayout w:type="autofit"/>
        <w:tblLook w:firstColumn="1" w:firstRow="1" w:lastColumn="0" w:lastRow="0" w:noHBand="0" w:noVBand="1" w:val="04A0"/>
        <w:tblBorders>
          <w:top w:val="single" w:sz="12" w:space="0" w:color="000000"/>
          <w:bottom w:val="single" w:sz="12" w:space="0" w:color="000000"/>
          <w:left w:val="nil" w:sz="0" w:space="0" w:color="000000"/>
          <w:right w:val="nil" w:sz="0" w:space="0" w:color="000000"/>
          <w:insideH w:val="nil" w:sz="0" w:space="0" w:color="000000"/>
          <w:insideV w:val="nil" w:sz="0" w:space="0" w:color="000000"/>
        </w:tblBorders>
      </w:tblPr>
      <w:tblGrid>
        <w:gridCol w:w="3120"/>
        <w:gridCol w:w="3120"/>
        <w:gridCol w:w="3120"/>
      </w:tblGrid>
      <w:tr>
        <w:tc>
          <w:tcPr>
            <w:tcW w:type="dxa" w:w="3120"/>
            <w:tcBorders>
              <w:bottom w:val="single" w:sz="4" w:color="000000"/>
            </w:tcBorders>
          </w:tcPr>
          <w:p>
            <w:pPr>
              <w:spacing w:line="240" w:lineRule="auto"/>
            </w:pPr>
            <w:r>
              <w:rPr>
                <w:b/>
              </w:rPr>
            </w:r>
            <w:r>
              <w:rPr>
                <w:rFonts w:ascii="Garamond" w:hAnsi="Garamond"/>
                <w:b/>
                <w:sz w:val="18"/>
              </w:rPr>
              <w:t>Operator</w:t>
            </w:r>
          </w:p>
        </w:tc>
        <w:tc>
          <w:tcPr>
            <w:tcW w:type="dxa" w:w="3120"/>
            <w:tcBorders>
              <w:bottom w:val="single" w:sz="4" w:color="000000"/>
            </w:tcBorders>
          </w:tcPr>
          <w:p>
            <w:pPr>
              <w:spacing w:line="240" w:lineRule="auto"/>
            </w:pPr>
            <w:r>
              <w:rPr>
                <w:b/>
              </w:rPr>
            </w:r>
            <w:r>
              <w:rPr>
                <w:rFonts w:ascii="Garamond" w:hAnsi="Garamond"/>
                <w:b/>
                <w:sz w:val="18"/>
              </w:rPr>
              <w:t>Portfolio type</w:t>
            </w:r>
          </w:p>
        </w:tc>
        <w:tc>
          <w:tcPr>
            <w:tcW w:type="dxa" w:w="3120"/>
            <w:tcBorders>
              <w:bottom w:val="single" w:sz="4" w:color="000000"/>
            </w:tcBorders>
          </w:tcPr>
          <w:p>
            <w:pPr>
              <w:spacing w:line="240" w:lineRule="auto"/>
            </w:pPr>
            <w:r>
              <w:rPr>
                <w:b/>
              </w:rPr>
            </w:r>
            <w:r>
              <w:rPr>
                <w:rFonts w:ascii="Garamond" w:hAnsi="Garamond"/>
                <w:b/>
                <w:sz w:val="18"/>
              </w:rPr>
              <w:t>2025 R→C rate</w:t>
            </w:r>
          </w:p>
        </w:tc>
      </w:tr>
      <w:tr>
        <w:tc>
          <w:tcPr>
            <w:tcW w:type="dxa" w:w="3120"/>
          </w:tcPr>
          <w:p>
            <w:pPr>
              <w:spacing w:line="240" w:lineRule="auto"/>
            </w:pPr>
            <w:r/>
            <w:r>
              <w:rPr>
                <w:rFonts w:ascii="Garamond" w:hAnsi="Garamond"/>
                <w:sz w:val="18"/>
              </w:rPr>
              <w:t>ACPF</w:t>
            </w:r>
          </w:p>
        </w:tc>
        <w:tc>
          <w:tcPr>
            <w:tcW w:type="dxa" w:w="3120"/>
          </w:tcPr>
          <w:p>
            <w:pPr>
              <w:spacing w:line="240" w:lineRule="auto"/>
            </w:pPr>
            <w:r/>
            <w:r>
              <w:rPr>
                <w:rFonts w:ascii="Garamond" w:hAnsi="Garamond"/>
                <w:sz w:val="18"/>
              </w:rPr>
              <w:t>Unified BTR community</w:t>
            </w:r>
          </w:p>
        </w:tc>
        <w:tc>
          <w:tcPr>
            <w:tcW w:type="dxa" w:w="3120"/>
          </w:tcPr>
          <w:p>
            <w:pPr>
              <w:spacing w:line="240" w:lineRule="auto"/>
              <w:jc w:val="right"/>
            </w:pPr>
            <w:r/>
            <w:r>
              <w:rPr>
                <w:rFonts w:ascii="Garamond" w:hAnsi="Garamond"/>
                <w:sz w:val="18"/>
              </w:rPr>
              <w:t>97.2%</w:t>
            </w:r>
          </w:p>
        </w:tc>
      </w:tr>
      <w:tr>
        <w:tc>
          <w:tcPr>
            <w:tcW w:type="dxa" w:w="3120"/>
          </w:tcPr>
          <w:p>
            <w:pPr>
              <w:spacing w:line="240" w:lineRule="auto"/>
            </w:pPr>
            <w:r/>
            <w:r>
              <w:rPr>
                <w:rFonts w:ascii="Garamond" w:hAnsi="Garamond"/>
                <w:sz w:val="18"/>
              </w:rPr>
              <w:t>VineBrook</w:t>
            </w:r>
          </w:p>
        </w:tc>
        <w:tc>
          <w:tcPr>
            <w:tcW w:type="dxa" w:w="3120"/>
          </w:tcPr>
          <w:p>
            <w:pPr>
              <w:spacing w:line="240" w:lineRule="auto"/>
            </w:pPr>
            <w:r/>
            <w:r>
              <w:rPr>
                <w:rFonts w:ascii="Garamond" w:hAnsi="Garamond"/>
                <w:sz w:val="18"/>
              </w:rPr>
              <w:t>Unified BTR community (Hamilton Crossing)</w:t>
            </w:r>
          </w:p>
        </w:tc>
        <w:tc>
          <w:tcPr>
            <w:tcW w:type="dxa" w:w="3120"/>
          </w:tcPr>
          <w:p>
            <w:pPr>
              <w:spacing w:line="240" w:lineRule="auto"/>
              <w:jc w:val="right"/>
            </w:pPr>
            <w:r/>
            <w:r>
              <w:rPr>
                <w:rFonts w:ascii="Garamond" w:hAnsi="Garamond"/>
                <w:sz w:val="18"/>
              </w:rPr>
              <w:t>93.7%</w:t>
            </w:r>
          </w:p>
        </w:tc>
      </w:tr>
      <w:tr>
        <w:tc>
          <w:tcPr>
            <w:tcW w:type="dxa" w:w="3120"/>
          </w:tcPr>
          <w:p>
            <w:pPr>
              <w:spacing w:line="240" w:lineRule="auto"/>
            </w:pPr>
            <w:r/>
            <w:r>
              <w:rPr>
                <w:rFonts w:ascii="Garamond" w:hAnsi="Garamond"/>
                <w:sz w:val="18"/>
              </w:rPr>
              <w:t>Porchlight</w:t>
            </w:r>
          </w:p>
        </w:tc>
        <w:tc>
          <w:tcPr>
            <w:tcW w:type="dxa" w:w="3120"/>
          </w:tcPr>
          <w:p>
            <w:pPr>
              <w:spacing w:line="240" w:lineRule="auto"/>
            </w:pPr>
            <w:r/>
            <w:r>
              <w:rPr>
                <w:rFonts w:ascii="Garamond" w:hAnsi="Garamond"/>
                <w:sz w:val="18"/>
              </w:rPr>
              <w:t>Unified BTR community</w:t>
            </w:r>
          </w:p>
        </w:tc>
        <w:tc>
          <w:tcPr>
            <w:tcW w:type="dxa" w:w="3120"/>
          </w:tcPr>
          <w:p>
            <w:pPr>
              <w:spacing w:line="240" w:lineRule="auto"/>
              <w:jc w:val="right"/>
            </w:pPr>
            <w:r/>
            <w:r>
              <w:rPr>
                <w:rFonts w:ascii="Garamond" w:hAnsi="Garamond"/>
                <w:sz w:val="18"/>
              </w:rPr>
              <w:t>66.7%</w:t>
            </w:r>
          </w:p>
        </w:tc>
      </w:tr>
      <w:tr>
        <w:tc>
          <w:tcPr>
            <w:tcW w:type="dxa" w:w="3120"/>
          </w:tcPr>
          <w:p>
            <w:pPr>
              <w:spacing w:line="240" w:lineRule="auto"/>
            </w:pPr>
            <w:r/>
            <w:r>
              <w:rPr>
                <w:rFonts w:ascii="Garamond" w:hAnsi="Garamond"/>
                <w:sz w:val="18"/>
              </w:rPr>
              <w:t>Normandy</w:t>
            </w:r>
          </w:p>
        </w:tc>
        <w:tc>
          <w:tcPr>
            <w:tcW w:type="dxa" w:w="3120"/>
          </w:tcPr>
          <w:p>
            <w:pPr>
              <w:spacing w:line="240" w:lineRule="auto"/>
            </w:pPr>
            <w:r/>
            <w:r>
              <w:rPr>
                <w:rFonts w:ascii="Garamond" w:hAnsi="Garamond"/>
                <w:sz w:val="18"/>
              </w:rPr>
              <w:t>Local BTR (Fawn Crossing, Timber Trails)</w:t>
            </w:r>
          </w:p>
        </w:tc>
        <w:tc>
          <w:tcPr>
            <w:tcW w:type="dxa" w:w="3120"/>
          </w:tcPr>
          <w:p>
            <w:pPr>
              <w:spacing w:line="240" w:lineRule="auto"/>
              <w:jc w:val="right"/>
            </w:pPr>
            <w:r/>
            <w:r>
              <w:rPr>
                <w:rFonts w:ascii="Garamond" w:hAnsi="Garamond"/>
                <w:sz w:val="18"/>
              </w:rPr>
              <w:t>46.9%</w:t>
            </w:r>
          </w:p>
        </w:tc>
      </w:tr>
      <w:tr>
        <w:tc>
          <w:tcPr>
            <w:tcW w:type="dxa" w:w="3120"/>
          </w:tcPr>
          <w:p>
            <w:pPr>
              <w:spacing w:line="240" w:lineRule="auto"/>
            </w:pPr>
            <w:r/>
            <w:r>
              <w:rPr>
                <w:rFonts w:ascii="Garamond" w:hAnsi="Garamond"/>
                <w:sz w:val="18"/>
              </w:rPr>
              <w:t>American Homes 4 Rent</w:t>
            </w:r>
          </w:p>
        </w:tc>
        <w:tc>
          <w:tcPr>
            <w:tcW w:type="dxa" w:w="3120"/>
          </w:tcPr>
          <w:p>
            <w:pPr>
              <w:spacing w:line="240" w:lineRule="auto"/>
            </w:pPr>
            <w:r/>
            <w:r>
              <w:rPr>
                <w:rFonts w:ascii="Garamond" w:hAnsi="Garamond"/>
                <w:sz w:val="18"/>
              </w:rPr>
              <w:t>Mixed (scattered + BTR)</w:t>
            </w:r>
          </w:p>
        </w:tc>
        <w:tc>
          <w:tcPr>
            <w:tcW w:type="dxa" w:w="3120"/>
          </w:tcPr>
          <w:p>
            <w:pPr>
              <w:spacing w:line="240" w:lineRule="auto"/>
              <w:jc w:val="right"/>
            </w:pPr>
            <w:r/>
            <w:r>
              <w:rPr>
                <w:rFonts w:ascii="Garamond" w:hAnsi="Garamond"/>
                <w:sz w:val="18"/>
              </w:rPr>
              <w:t>17.6%</w:t>
            </w:r>
          </w:p>
        </w:tc>
      </w:tr>
      <w:tr>
        <w:tc>
          <w:tcPr>
            <w:tcW w:type="dxa" w:w="3120"/>
          </w:tcPr>
          <w:p>
            <w:pPr>
              <w:spacing w:line="240" w:lineRule="auto"/>
            </w:pPr>
            <w:r/>
            <w:r>
              <w:rPr>
                <w:rFonts w:ascii="Garamond" w:hAnsi="Garamond"/>
                <w:sz w:val="18"/>
              </w:rPr>
              <w:t>Amherst</w:t>
            </w:r>
          </w:p>
        </w:tc>
        <w:tc>
          <w:tcPr>
            <w:tcW w:type="dxa" w:w="3120"/>
          </w:tcPr>
          <w:p>
            <w:pPr>
              <w:spacing w:line="240" w:lineRule="auto"/>
            </w:pPr>
            <w:r/>
            <w:r>
              <w:rPr>
                <w:rFonts w:ascii="Garamond" w:hAnsi="Garamond"/>
                <w:sz w:val="18"/>
              </w:rPr>
              <w:t>Scattered-site</w:t>
            </w:r>
          </w:p>
        </w:tc>
        <w:tc>
          <w:tcPr>
            <w:tcW w:type="dxa" w:w="3120"/>
          </w:tcPr>
          <w:p>
            <w:pPr>
              <w:spacing w:line="240" w:lineRule="auto"/>
              <w:jc w:val="right"/>
            </w:pPr>
            <w:r/>
            <w:r>
              <w:rPr>
                <w:rFonts w:ascii="Garamond" w:hAnsi="Garamond"/>
                <w:sz w:val="18"/>
              </w:rPr>
              <w:t>0.3%</w:t>
            </w:r>
          </w:p>
        </w:tc>
      </w:tr>
      <w:tr>
        <w:tc>
          <w:tcPr>
            <w:tcW w:type="dxa" w:w="3120"/>
          </w:tcPr>
          <w:p>
            <w:pPr>
              <w:spacing w:line="240" w:lineRule="auto"/>
            </w:pPr>
            <w:r/>
            <w:r>
              <w:rPr>
                <w:rFonts w:ascii="Garamond" w:hAnsi="Garamond"/>
                <w:sz w:val="18"/>
              </w:rPr>
              <w:t>Progress Residential</w:t>
            </w:r>
          </w:p>
        </w:tc>
        <w:tc>
          <w:tcPr>
            <w:tcW w:type="dxa" w:w="3120"/>
          </w:tcPr>
          <w:p>
            <w:pPr>
              <w:spacing w:line="240" w:lineRule="auto"/>
            </w:pPr>
            <w:r/>
            <w:r>
              <w:rPr>
                <w:rFonts w:ascii="Garamond" w:hAnsi="Garamond"/>
                <w:sz w:val="18"/>
              </w:rPr>
              <w:t>Scattered-site</w:t>
            </w:r>
          </w:p>
        </w:tc>
        <w:tc>
          <w:tcPr>
            <w:tcW w:type="dxa" w:w="3120"/>
          </w:tcPr>
          <w:p>
            <w:pPr>
              <w:spacing w:line="240" w:lineRule="auto"/>
              <w:jc w:val="right"/>
            </w:pPr>
            <w:r/>
            <w:r>
              <w:rPr>
                <w:rFonts w:ascii="Garamond" w:hAnsi="Garamond"/>
                <w:sz w:val="18"/>
              </w:rPr>
              <w:t>0.0%</w:t>
            </w:r>
          </w:p>
        </w:tc>
      </w:tr>
    </w:tbl>
    <w:p>
      <w:pPr>
        <w:spacing w:after="0"/>
      </w:pPr>
    </w:p>
    <w:p>
      <w:pPr>
        <w:spacing w:line="480" w:lineRule="auto" w:before="0" w:after="0"/>
        <w:ind w:firstLine="720"/>
      </w:pPr>
      <w:r>
        <w:rPr>
          <w:rFonts w:ascii="Garamond" w:hAnsi="Garamond"/>
          <w:i/>
        </w:rPr>
        <w:t>Source: author's residential-to-commercial transition analysis of the assessment class series 1971–2026, Metro Nashville ParcelHistory MapServer Layer 6; operator table RtoC_ClassFlips_ByOperator_2026-07-14.csv. Denominators are each operator's parcels in the assessment master, not the framework universe, because parcels under construction fall outside the framework filter.</w:t>
      </w:r>
    </w:p>
    <w:p>
      <w:pPr>
        <w:pStyle w:val="Heading2"/>
      </w:pPr>
      <w:r>
        <w:t>Table III.6. Build-to-Rent Parcels of the Named National Operators by Census Tract, Top Twelve</w:t>
      </w:r>
    </w:p>
    <w:tbl>
      <w:tblPr>
        <w:tblW w:type="auto" w:w="0"/>
        <w:tblLayout w:type="autofit"/>
        <w:tblLook w:firstColumn="1" w:firstRow="1" w:lastColumn="0" w:lastRow="0" w:noHBand="0" w:noVBand="1" w:val="04A0"/>
        <w:tblBorders>
          <w:top w:val="single" w:sz="12" w:space="0" w:color="000000"/>
          <w:bottom w:val="single" w:sz="12" w:space="0" w:color="000000"/>
          <w:left w:val="nil" w:sz="0" w:space="0" w:color="000000"/>
          <w:right w:val="nil" w:sz="0" w:space="0" w:color="000000"/>
          <w:insideH w:val="nil" w:sz="0" w:space="0" w:color="000000"/>
          <w:insideV w:val="nil" w:sz="0" w:space="0" w:color="000000"/>
        </w:tblBorders>
      </w:tblPr>
      <w:tblGrid>
        <w:gridCol w:w="1560"/>
        <w:gridCol w:w="1560"/>
        <w:gridCol w:w="1560"/>
        <w:gridCol w:w="1560"/>
        <w:gridCol w:w="1560"/>
        <w:gridCol w:w="1560"/>
      </w:tblGrid>
      <w:tr>
        <w:tc>
          <w:tcPr>
            <w:tcW w:type="dxa" w:w="1560"/>
            <w:tcBorders>
              <w:bottom w:val="single" w:sz="4" w:color="000000"/>
            </w:tcBorders>
          </w:tcPr>
          <w:p>
            <w:pPr>
              <w:spacing w:line="240" w:lineRule="auto"/>
            </w:pPr>
            <w:r>
              <w:rPr>
                <w:b/>
              </w:rPr>
            </w:r>
            <w:r>
              <w:rPr>
                <w:rFonts w:ascii="Garamond" w:hAnsi="Garamond"/>
                <w:b/>
                <w:sz w:val="17"/>
              </w:rPr>
              <w:t>Tract</w:t>
            </w:r>
          </w:p>
        </w:tc>
        <w:tc>
          <w:tcPr>
            <w:tcW w:type="dxa" w:w="1560"/>
            <w:tcBorders>
              <w:bottom w:val="single" w:sz="4" w:color="000000"/>
            </w:tcBorders>
          </w:tcPr>
          <w:p>
            <w:pPr>
              <w:spacing w:line="240" w:lineRule="auto"/>
            </w:pPr>
            <w:r>
              <w:rPr>
                <w:b/>
              </w:rPr>
            </w:r>
            <w:r>
              <w:rPr>
                <w:rFonts w:ascii="Garamond" w:hAnsi="Garamond"/>
                <w:b/>
                <w:sz w:val="17"/>
              </w:rPr>
              <w:t>Build-to-rent and pipeline parcels</w:t>
            </w:r>
          </w:p>
        </w:tc>
        <w:tc>
          <w:tcPr>
            <w:tcW w:type="dxa" w:w="1560"/>
            <w:tcBorders>
              <w:bottom w:val="single" w:sz="4" w:color="000000"/>
            </w:tcBorders>
          </w:tcPr>
          <w:p>
            <w:pPr>
              <w:spacing w:line="240" w:lineRule="auto"/>
            </w:pPr>
            <w:r>
              <w:rPr>
                <w:b/>
              </w:rPr>
            </w:r>
            <w:r>
              <w:rPr>
                <w:rFonts w:ascii="Garamond" w:hAnsi="Garamond"/>
                <w:b/>
                <w:sz w:val="17"/>
              </w:rPr>
              <w:t>Leading operator</w:t>
            </w:r>
          </w:p>
        </w:tc>
        <w:tc>
          <w:tcPr>
            <w:tcW w:type="dxa" w:w="1560"/>
            <w:tcBorders>
              <w:bottom w:val="single" w:sz="4" w:color="000000"/>
            </w:tcBorders>
          </w:tcPr>
          <w:p>
            <w:pPr>
              <w:spacing w:line="240" w:lineRule="auto"/>
            </w:pPr>
            <w:r>
              <w:rPr>
                <w:b/>
              </w:rPr>
            </w:r>
            <w:r>
              <w:rPr>
                <w:rFonts w:ascii="Garamond" w:hAnsi="Garamond"/>
                <w:b/>
                <w:sz w:val="17"/>
              </w:rPr>
              <w:t>Tract median household income</w:t>
            </w:r>
          </w:p>
        </w:tc>
        <w:tc>
          <w:tcPr>
            <w:tcW w:type="dxa" w:w="1560"/>
            <w:tcBorders>
              <w:bottom w:val="single" w:sz="4" w:color="000000"/>
            </w:tcBorders>
          </w:tcPr>
          <w:p>
            <w:pPr>
              <w:spacing w:line="240" w:lineRule="auto"/>
            </w:pPr>
            <w:r>
              <w:rPr>
                <w:b/>
              </w:rPr>
            </w:r>
            <w:r>
              <w:rPr>
                <w:rFonts w:ascii="Garamond" w:hAnsi="Garamond"/>
                <w:b/>
                <w:sz w:val="17"/>
              </w:rPr>
              <w:t>Renter share</w:t>
            </w:r>
          </w:p>
        </w:tc>
        <w:tc>
          <w:tcPr>
            <w:tcW w:type="dxa" w:w="1560"/>
            <w:tcBorders>
              <w:bottom w:val="single" w:sz="4" w:color="000000"/>
            </w:tcBorders>
          </w:tcPr>
          <w:p>
            <w:pPr>
              <w:spacing w:line="240" w:lineRule="auto"/>
            </w:pPr>
            <w:r>
              <w:rPr>
                <w:b/>
              </w:rPr>
            </w:r>
            <w:r>
              <w:rPr>
                <w:rFonts w:ascii="Garamond" w:hAnsi="Garamond"/>
                <w:b/>
                <w:sz w:val="17"/>
              </w:rPr>
              <w:t>Black share</w:t>
            </w:r>
          </w:p>
        </w:tc>
      </w:tr>
      <w:tr>
        <w:tc>
          <w:tcPr>
            <w:tcW w:type="dxa" w:w="1560"/>
          </w:tcPr>
          <w:p>
            <w:pPr>
              <w:spacing w:line="240" w:lineRule="auto"/>
            </w:pPr>
            <w:r/>
            <w:r>
              <w:rPr>
                <w:rFonts w:ascii="Garamond" w:hAnsi="Garamond"/>
                <w:sz w:val="17"/>
              </w:rPr>
              <w:t>156.34</w:t>
            </w:r>
          </w:p>
        </w:tc>
        <w:tc>
          <w:tcPr>
            <w:tcW w:type="dxa" w:w="1560"/>
          </w:tcPr>
          <w:p>
            <w:pPr>
              <w:spacing w:line="240" w:lineRule="auto"/>
              <w:jc w:val="right"/>
            </w:pPr>
            <w:r/>
            <w:r>
              <w:rPr>
                <w:rFonts w:ascii="Garamond" w:hAnsi="Garamond"/>
                <w:sz w:val="17"/>
              </w:rPr>
              <w:t>214</w:t>
            </w:r>
          </w:p>
        </w:tc>
        <w:tc>
          <w:tcPr>
            <w:tcW w:type="dxa" w:w="1560"/>
          </w:tcPr>
          <w:p>
            <w:pPr>
              <w:spacing w:line="240" w:lineRule="auto"/>
            </w:pPr>
            <w:r/>
            <w:r>
              <w:rPr>
                <w:rFonts w:ascii="Garamond" w:hAnsi="Garamond"/>
                <w:sz w:val="17"/>
              </w:rPr>
              <w:t>American Homes 4 Rent</w:t>
            </w:r>
          </w:p>
        </w:tc>
        <w:tc>
          <w:tcPr>
            <w:tcW w:type="dxa" w:w="1560"/>
          </w:tcPr>
          <w:p>
            <w:pPr>
              <w:spacing w:line="240" w:lineRule="auto"/>
              <w:jc w:val="right"/>
            </w:pPr>
            <w:r/>
            <w:r>
              <w:rPr>
                <w:rFonts w:ascii="Garamond" w:hAnsi="Garamond"/>
                <w:sz w:val="17"/>
              </w:rPr>
              <w:t>$82,371</w:t>
            </w:r>
          </w:p>
        </w:tc>
        <w:tc>
          <w:tcPr>
            <w:tcW w:type="dxa" w:w="1560"/>
          </w:tcPr>
          <w:p>
            <w:pPr>
              <w:spacing w:line="240" w:lineRule="auto"/>
              <w:jc w:val="right"/>
            </w:pPr>
            <w:r/>
            <w:r>
              <w:rPr>
                <w:rFonts w:ascii="Garamond" w:hAnsi="Garamond"/>
                <w:sz w:val="17"/>
              </w:rPr>
              <w:t>31.7%</w:t>
            </w:r>
          </w:p>
        </w:tc>
        <w:tc>
          <w:tcPr>
            <w:tcW w:type="dxa" w:w="1560"/>
          </w:tcPr>
          <w:p>
            <w:pPr>
              <w:spacing w:line="240" w:lineRule="auto"/>
              <w:jc w:val="right"/>
            </w:pPr>
            <w:r/>
            <w:r>
              <w:rPr>
                <w:rFonts w:ascii="Garamond" w:hAnsi="Garamond"/>
                <w:sz w:val="17"/>
              </w:rPr>
              <w:t>35.8%</w:t>
            </w:r>
          </w:p>
        </w:tc>
      </w:tr>
      <w:tr>
        <w:tc>
          <w:tcPr>
            <w:tcW w:type="dxa" w:w="1560"/>
          </w:tcPr>
          <w:p>
            <w:pPr>
              <w:spacing w:line="240" w:lineRule="auto"/>
            </w:pPr>
            <w:r/>
            <w:r>
              <w:rPr>
                <w:rFonts w:ascii="Garamond" w:hAnsi="Garamond"/>
                <w:sz w:val="17"/>
              </w:rPr>
              <w:t>156.30</w:t>
            </w:r>
          </w:p>
        </w:tc>
        <w:tc>
          <w:tcPr>
            <w:tcW w:type="dxa" w:w="1560"/>
          </w:tcPr>
          <w:p>
            <w:pPr>
              <w:spacing w:line="240" w:lineRule="auto"/>
              <w:jc w:val="right"/>
            </w:pPr>
            <w:r/>
            <w:r>
              <w:rPr>
                <w:rFonts w:ascii="Garamond" w:hAnsi="Garamond"/>
                <w:sz w:val="17"/>
              </w:rPr>
              <w:t>187</w:t>
            </w:r>
          </w:p>
        </w:tc>
        <w:tc>
          <w:tcPr>
            <w:tcW w:type="dxa" w:w="1560"/>
          </w:tcPr>
          <w:p>
            <w:pPr>
              <w:spacing w:line="240" w:lineRule="auto"/>
            </w:pPr>
            <w:r/>
            <w:r>
              <w:rPr>
                <w:rFonts w:ascii="Garamond" w:hAnsi="Garamond"/>
                <w:sz w:val="17"/>
              </w:rPr>
              <w:t>American Homes 4 Rent</w:t>
            </w:r>
          </w:p>
        </w:tc>
        <w:tc>
          <w:tcPr>
            <w:tcW w:type="dxa" w:w="1560"/>
          </w:tcPr>
          <w:p>
            <w:pPr>
              <w:spacing w:line="240" w:lineRule="auto"/>
              <w:jc w:val="right"/>
            </w:pPr>
            <w:r/>
            <w:r>
              <w:rPr>
                <w:rFonts w:ascii="Garamond" w:hAnsi="Garamond"/>
                <w:sz w:val="17"/>
              </w:rPr>
              <w:t>$84,661</w:t>
            </w:r>
          </w:p>
        </w:tc>
        <w:tc>
          <w:tcPr>
            <w:tcW w:type="dxa" w:w="1560"/>
          </w:tcPr>
          <w:p>
            <w:pPr>
              <w:spacing w:line="240" w:lineRule="auto"/>
              <w:jc w:val="right"/>
            </w:pPr>
            <w:r/>
            <w:r>
              <w:rPr>
                <w:rFonts w:ascii="Garamond" w:hAnsi="Garamond"/>
                <w:sz w:val="17"/>
              </w:rPr>
              <w:t>33.3%</w:t>
            </w:r>
          </w:p>
        </w:tc>
        <w:tc>
          <w:tcPr>
            <w:tcW w:type="dxa" w:w="1560"/>
          </w:tcPr>
          <w:p>
            <w:pPr>
              <w:spacing w:line="240" w:lineRule="auto"/>
              <w:jc w:val="right"/>
            </w:pPr>
            <w:r/>
            <w:r>
              <w:rPr>
                <w:rFonts w:ascii="Garamond" w:hAnsi="Garamond"/>
                <w:sz w:val="17"/>
              </w:rPr>
              <w:t>55.6%</w:t>
            </w:r>
          </w:p>
        </w:tc>
      </w:tr>
      <w:tr>
        <w:tc>
          <w:tcPr>
            <w:tcW w:type="dxa" w:w="1560"/>
          </w:tcPr>
          <w:p>
            <w:pPr>
              <w:spacing w:line="240" w:lineRule="auto"/>
            </w:pPr>
            <w:r/>
            <w:r>
              <w:rPr>
                <w:rFonts w:ascii="Garamond" w:hAnsi="Garamond"/>
                <w:sz w:val="17"/>
              </w:rPr>
              <w:t>156.18</w:t>
            </w:r>
          </w:p>
        </w:tc>
        <w:tc>
          <w:tcPr>
            <w:tcW w:type="dxa" w:w="1560"/>
          </w:tcPr>
          <w:p>
            <w:pPr>
              <w:spacing w:line="240" w:lineRule="auto"/>
              <w:jc w:val="right"/>
            </w:pPr>
            <w:r/>
            <w:r>
              <w:rPr>
                <w:rFonts w:ascii="Garamond" w:hAnsi="Garamond"/>
                <w:sz w:val="17"/>
              </w:rPr>
              <w:t>56</w:t>
            </w:r>
          </w:p>
        </w:tc>
        <w:tc>
          <w:tcPr>
            <w:tcW w:type="dxa" w:w="1560"/>
          </w:tcPr>
          <w:p>
            <w:pPr>
              <w:spacing w:line="240" w:lineRule="auto"/>
            </w:pPr>
            <w:r/>
            <w:r>
              <w:rPr>
                <w:rFonts w:ascii="Garamond" w:hAnsi="Garamond"/>
                <w:sz w:val="17"/>
              </w:rPr>
              <w:t>American Homes 4 Rent</w:t>
            </w:r>
          </w:p>
        </w:tc>
        <w:tc>
          <w:tcPr>
            <w:tcW w:type="dxa" w:w="1560"/>
          </w:tcPr>
          <w:p>
            <w:pPr>
              <w:spacing w:line="240" w:lineRule="auto"/>
              <w:jc w:val="right"/>
            </w:pPr>
            <w:r/>
            <w:r>
              <w:rPr>
                <w:rFonts w:ascii="Garamond" w:hAnsi="Garamond"/>
                <w:sz w:val="17"/>
              </w:rPr>
              <w:t>$80,756</w:t>
            </w:r>
          </w:p>
        </w:tc>
        <w:tc>
          <w:tcPr>
            <w:tcW w:type="dxa" w:w="1560"/>
          </w:tcPr>
          <w:p>
            <w:pPr>
              <w:spacing w:line="240" w:lineRule="auto"/>
              <w:jc w:val="right"/>
            </w:pPr>
            <w:r/>
            <w:r>
              <w:rPr>
                <w:rFonts w:ascii="Garamond" w:hAnsi="Garamond"/>
                <w:sz w:val="17"/>
              </w:rPr>
              <w:t>31.5%</w:t>
            </w:r>
          </w:p>
        </w:tc>
        <w:tc>
          <w:tcPr>
            <w:tcW w:type="dxa" w:w="1560"/>
          </w:tcPr>
          <w:p>
            <w:pPr>
              <w:spacing w:line="240" w:lineRule="auto"/>
              <w:jc w:val="right"/>
            </w:pPr>
            <w:r/>
            <w:r>
              <w:rPr>
                <w:rFonts w:ascii="Garamond" w:hAnsi="Garamond"/>
                <w:sz w:val="17"/>
              </w:rPr>
              <w:t>36.2%</w:t>
            </w:r>
          </w:p>
        </w:tc>
      </w:tr>
      <w:tr>
        <w:tc>
          <w:tcPr>
            <w:tcW w:type="dxa" w:w="1560"/>
          </w:tcPr>
          <w:p>
            <w:pPr>
              <w:spacing w:line="240" w:lineRule="auto"/>
            </w:pPr>
            <w:r/>
            <w:r>
              <w:rPr>
                <w:rFonts w:ascii="Garamond" w:hAnsi="Garamond"/>
                <w:sz w:val="17"/>
              </w:rPr>
              <w:t>108.01</w:t>
            </w:r>
          </w:p>
        </w:tc>
        <w:tc>
          <w:tcPr>
            <w:tcW w:type="dxa" w:w="1560"/>
          </w:tcPr>
          <w:p>
            <w:pPr>
              <w:spacing w:line="240" w:lineRule="auto"/>
              <w:jc w:val="right"/>
            </w:pPr>
            <w:r/>
            <w:r>
              <w:rPr>
                <w:rFonts w:ascii="Garamond" w:hAnsi="Garamond"/>
                <w:sz w:val="17"/>
              </w:rPr>
              <w:t>56</w:t>
            </w:r>
          </w:p>
        </w:tc>
        <w:tc>
          <w:tcPr>
            <w:tcW w:type="dxa" w:w="1560"/>
          </w:tcPr>
          <w:p>
            <w:pPr>
              <w:spacing w:line="240" w:lineRule="auto"/>
            </w:pPr>
            <w:r/>
            <w:r>
              <w:rPr>
                <w:rFonts w:ascii="Garamond" w:hAnsi="Garamond"/>
                <w:sz w:val="17"/>
              </w:rPr>
              <w:t>American Homes 4 Rent</w:t>
            </w:r>
          </w:p>
        </w:tc>
        <w:tc>
          <w:tcPr>
            <w:tcW w:type="dxa" w:w="1560"/>
          </w:tcPr>
          <w:p>
            <w:pPr>
              <w:spacing w:line="240" w:lineRule="auto"/>
              <w:jc w:val="right"/>
            </w:pPr>
            <w:r/>
            <w:r>
              <w:rPr>
                <w:rFonts w:ascii="Garamond" w:hAnsi="Garamond"/>
                <w:sz w:val="17"/>
              </w:rPr>
              <w:t>$71,211</w:t>
            </w:r>
          </w:p>
        </w:tc>
        <w:tc>
          <w:tcPr>
            <w:tcW w:type="dxa" w:w="1560"/>
          </w:tcPr>
          <w:p>
            <w:pPr>
              <w:spacing w:line="240" w:lineRule="auto"/>
              <w:jc w:val="right"/>
            </w:pPr>
            <w:r/>
            <w:r>
              <w:rPr>
                <w:rFonts w:ascii="Garamond" w:hAnsi="Garamond"/>
                <w:sz w:val="17"/>
              </w:rPr>
              <w:t>47.1%</w:t>
            </w:r>
          </w:p>
        </w:tc>
        <w:tc>
          <w:tcPr>
            <w:tcW w:type="dxa" w:w="1560"/>
          </w:tcPr>
          <w:p>
            <w:pPr>
              <w:spacing w:line="240" w:lineRule="auto"/>
              <w:jc w:val="right"/>
            </w:pPr>
            <w:r/>
            <w:r>
              <w:rPr>
                <w:rFonts w:ascii="Garamond" w:hAnsi="Garamond"/>
                <w:sz w:val="17"/>
              </w:rPr>
              <w:t>30.8%</w:t>
            </w:r>
          </w:p>
        </w:tc>
      </w:tr>
      <w:tr>
        <w:tc>
          <w:tcPr>
            <w:tcW w:type="dxa" w:w="1560"/>
          </w:tcPr>
          <w:p>
            <w:pPr>
              <w:spacing w:line="240" w:lineRule="auto"/>
            </w:pPr>
            <w:r/>
            <w:r>
              <w:rPr>
                <w:rFonts w:ascii="Garamond" w:hAnsi="Garamond"/>
                <w:sz w:val="17"/>
              </w:rPr>
              <w:t>156.33</w:t>
            </w:r>
          </w:p>
        </w:tc>
        <w:tc>
          <w:tcPr>
            <w:tcW w:type="dxa" w:w="1560"/>
          </w:tcPr>
          <w:p>
            <w:pPr>
              <w:spacing w:line="240" w:lineRule="auto"/>
              <w:jc w:val="right"/>
            </w:pPr>
            <w:r/>
            <w:r>
              <w:rPr>
                <w:rFonts w:ascii="Garamond" w:hAnsi="Garamond"/>
                <w:sz w:val="17"/>
              </w:rPr>
              <w:t>34</w:t>
            </w:r>
          </w:p>
        </w:tc>
        <w:tc>
          <w:tcPr>
            <w:tcW w:type="dxa" w:w="1560"/>
          </w:tcPr>
          <w:p>
            <w:pPr>
              <w:spacing w:line="240" w:lineRule="auto"/>
            </w:pPr>
            <w:r/>
            <w:r>
              <w:rPr>
                <w:rFonts w:ascii="Garamond" w:hAnsi="Garamond"/>
                <w:sz w:val="17"/>
              </w:rPr>
              <w:t>American Homes 4 Rent</w:t>
            </w:r>
          </w:p>
        </w:tc>
        <w:tc>
          <w:tcPr>
            <w:tcW w:type="dxa" w:w="1560"/>
          </w:tcPr>
          <w:p>
            <w:pPr>
              <w:spacing w:line="240" w:lineRule="auto"/>
              <w:jc w:val="right"/>
            </w:pPr>
            <w:r/>
            <w:r>
              <w:rPr>
                <w:rFonts w:ascii="Garamond" w:hAnsi="Garamond"/>
                <w:sz w:val="17"/>
              </w:rPr>
              <w:t>$114,448</w:t>
            </w:r>
          </w:p>
        </w:tc>
        <w:tc>
          <w:tcPr>
            <w:tcW w:type="dxa" w:w="1560"/>
          </w:tcPr>
          <w:p>
            <w:pPr>
              <w:spacing w:line="240" w:lineRule="auto"/>
              <w:jc w:val="right"/>
            </w:pPr>
            <w:r/>
            <w:r>
              <w:rPr>
                <w:rFonts w:ascii="Garamond" w:hAnsi="Garamond"/>
                <w:sz w:val="17"/>
              </w:rPr>
              <w:t>4.1%</w:t>
            </w:r>
          </w:p>
        </w:tc>
        <w:tc>
          <w:tcPr>
            <w:tcW w:type="dxa" w:w="1560"/>
          </w:tcPr>
          <w:p>
            <w:pPr>
              <w:spacing w:line="240" w:lineRule="auto"/>
              <w:jc w:val="right"/>
            </w:pPr>
            <w:r/>
            <w:r>
              <w:rPr>
                <w:rFonts w:ascii="Garamond" w:hAnsi="Garamond"/>
                <w:sz w:val="17"/>
              </w:rPr>
              <w:t>13.9%</w:t>
            </w:r>
          </w:p>
        </w:tc>
      </w:tr>
      <w:tr>
        <w:tc>
          <w:tcPr>
            <w:tcW w:type="dxa" w:w="1560"/>
          </w:tcPr>
          <w:p>
            <w:pPr>
              <w:spacing w:line="240" w:lineRule="auto"/>
            </w:pPr>
            <w:r/>
            <w:r>
              <w:rPr>
                <w:rFonts w:ascii="Garamond" w:hAnsi="Garamond"/>
                <w:sz w:val="17"/>
              </w:rPr>
              <w:t>191.17</w:t>
            </w:r>
          </w:p>
        </w:tc>
        <w:tc>
          <w:tcPr>
            <w:tcW w:type="dxa" w:w="1560"/>
          </w:tcPr>
          <w:p>
            <w:pPr>
              <w:spacing w:line="240" w:lineRule="auto"/>
              <w:jc w:val="right"/>
            </w:pPr>
            <w:r/>
            <w:r>
              <w:rPr>
                <w:rFonts w:ascii="Garamond" w:hAnsi="Garamond"/>
                <w:sz w:val="17"/>
              </w:rPr>
              <w:t>33</w:t>
            </w:r>
          </w:p>
        </w:tc>
        <w:tc>
          <w:tcPr>
            <w:tcW w:type="dxa" w:w="1560"/>
          </w:tcPr>
          <w:p>
            <w:pPr>
              <w:spacing w:line="240" w:lineRule="auto"/>
            </w:pPr>
            <w:r/>
            <w:r>
              <w:rPr>
                <w:rFonts w:ascii="Garamond" w:hAnsi="Garamond"/>
                <w:sz w:val="17"/>
              </w:rPr>
              <w:t>American Homes 4 Rent</w:t>
            </w:r>
          </w:p>
        </w:tc>
        <w:tc>
          <w:tcPr>
            <w:tcW w:type="dxa" w:w="1560"/>
          </w:tcPr>
          <w:p>
            <w:pPr>
              <w:spacing w:line="240" w:lineRule="auto"/>
              <w:jc w:val="right"/>
            </w:pPr>
            <w:r/>
            <w:r>
              <w:rPr>
                <w:rFonts w:ascii="Garamond" w:hAnsi="Garamond"/>
                <w:sz w:val="17"/>
              </w:rPr>
              <w:t>$117,546</w:t>
            </w:r>
          </w:p>
        </w:tc>
        <w:tc>
          <w:tcPr>
            <w:tcW w:type="dxa" w:w="1560"/>
          </w:tcPr>
          <w:p>
            <w:pPr>
              <w:spacing w:line="240" w:lineRule="auto"/>
              <w:jc w:val="right"/>
            </w:pPr>
            <w:r/>
            <w:r>
              <w:rPr>
                <w:rFonts w:ascii="Garamond" w:hAnsi="Garamond"/>
                <w:sz w:val="17"/>
              </w:rPr>
              <w:t>28.5%</w:t>
            </w:r>
          </w:p>
        </w:tc>
        <w:tc>
          <w:tcPr>
            <w:tcW w:type="dxa" w:w="1560"/>
          </w:tcPr>
          <w:p>
            <w:pPr>
              <w:spacing w:line="240" w:lineRule="auto"/>
              <w:jc w:val="right"/>
            </w:pPr>
            <w:r/>
            <w:r>
              <w:rPr>
                <w:rFonts w:ascii="Garamond" w:hAnsi="Garamond"/>
                <w:sz w:val="17"/>
              </w:rPr>
              <w:t>31.9%</w:t>
            </w:r>
          </w:p>
        </w:tc>
      </w:tr>
      <w:tr>
        <w:tc>
          <w:tcPr>
            <w:tcW w:type="dxa" w:w="1560"/>
          </w:tcPr>
          <w:p>
            <w:pPr>
              <w:spacing w:line="240" w:lineRule="auto"/>
            </w:pPr>
            <w:r/>
            <w:r>
              <w:rPr>
                <w:rFonts w:ascii="Garamond" w:hAnsi="Garamond"/>
                <w:sz w:val="17"/>
              </w:rPr>
              <w:t>105.02</w:t>
            </w:r>
          </w:p>
        </w:tc>
        <w:tc>
          <w:tcPr>
            <w:tcW w:type="dxa" w:w="1560"/>
          </w:tcPr>
          <w:p>
            <w:pPr>
              <w:spacing w:line="240" w:lineRule="auto"/>
              <w:jc w:val="right"/>
            </w:pPr>
            <w:r/>
            <w:r>
              <w:rPr>
                <w:rFonts w:ascii="Garamond" w:hAnsi="Garamond"/>
                <w:sz w:val="17"/>
              </w:rPr>
              <w:t>25</w:t>
            </w:r>
          </w:p>
        </w:tc>
        <w:tc>
          <w:tcPr>
            <w:tcW w:type="dxa" w:w="1560"/>
          </w:tcPr>
          <w:p>
            <w:pPr>
              <w:spacing w:line="240" w:lineRule="auto"/>
            </w:pPr>
            <w:r/>
            <w:r>
              <w:rPr>
                <w:rFonts w:ascii="Garamond" w:hAnsi="Garamond"/>
                <w:sz w:val="17"/>
              </w:rPr>
              <w:t>My Community Homes (KKR)</w:t>
            </w:r>
          </w:p>
        </w:tc>
        <w:tc>
          <w:tcPr>
            <w:tcW w:type="dxa" w:w="1560"/>
          </w:tcPr>
          <w:p>
            <w:pPr>
              <w:spacing w:line="240" w:lineRule="auto"/>
              <w:jc w:val="right"/>
            </w:pPr>
            <w:r/>
            <w:r>
              <w:rPr>
                <w:rFonts w:ascii="Garamond" w:hAnsi="Garamond"/>
                <w:sz w:val="17"/>
              </w:rPr>
              <w:t>$87,105</w:t>
            </w:r>
          </w:p>
        </w:tc>
        <w:tc>
          <w:tcPr>
            <w:tcW w:type="dxa" w:w="1560"/>
          </w:tcPr>
          <w:p>
            <w:pPr>
              <w:spacing w:line="240" w:lineRule="auto"/>
              <w:jc w:val="right"/>
            </w:pPr>
            <w:r/>
            <w:r>
              <w:rPr>
                <w:rFonts w:ascii="Garamond" w:hAnsi="Garamond"/>
                <w:sz w:val="17"/>
              </w:rPr>
              <w:t>21.7%</w:t>
            </w:r>
          </w:p>
        </w:tc>
        <w:tc>
          <w:tcPr>
            <w:tcW w:type="dxa" w:w="1560"/>
          </w:tcPr>
          <w:p>
            <w:pPr>
              <w:spacing w:line="240" w:lineRule="auto"/>
              <w:jc w:val="right"/>
            </w:pPr>
            <w:r/>
            <w:r>
              <w:rPr>
                <w:rFonts w:ascii="Garamond" w:hAnsi="Garamond"/>
                <w:sz w:val="17"/>
              </w:rPr>
              <w:t>17.9%</w:t>
            </w:r>
          </w:p>
        </w:tc>
      </w:tr>
      <w:tr>
        <w:tc>
          <w:tcPr>
            <w:tcW w:type="dxa" w:w="1560"/>
          </w:tcPr>
          <w:p>
            <w:pPr>
              <w:spacing w:line="240" w:lineRule="auto"/>
            </w:pPr>
            <w:r/>
            <w:r>
              <w:rPr>
                <w:rFonts w:ascii="Garamond" w:hAnsi="Garamond"/>
                <w:sz w:val="17"/>
              </w:rPr>
              <w:t>153.00</w:t>
            </w:r>
          </w:p>
        </w:tc>
        <w:tc>
          <w:tcPr>
            <w:tcW w:type="dxa" w:w="1560"/>
          </w:tcPr>
          <w:p>
            <w:pPr>
              <w:spacing w:line="240" w:lineRule="auto"/>
              <w:jc w:val="right"/>
            </w:pPr>
            <w:r/>
            <w:r>
              <w:rPr>
                <w:rFonts w:ascii="Garamond" w:hAnsi="Garamond"/>
                <w:sz w:val="17"/>
              </w:rPr>
              <w:t>23</w:t>
            </w:r>
          </w:p>
        </w:tc>
        <w:tc>
          <w:tcPr>
            <w:tcW w:type="dxa" w:w="1560"/>
          </w:tcPr>
          <w:p>
            <w:pPr>
              <w:spacing w:line="240" w:lineRule="auto"/>
            </w:pPr>
            <w:r/>
            <w:r>
              <w:rPr>
                <w:rFonts w:ascii="Garamond" w:hAnsi="Garamond"/>
                <w:sz w:val="17"/>
              </w:rPr>
              <w:t>American Homes 4 Rent</w:t>
            </w:r>
          </w:p>
        </w:tc>
        <w:tc>
          <w:tcPr>
            <w:tcW w:type="dxa" w:w="1560"/>
          </w:tcPr>
          <w:p>
            <w:pPr>
              <w:spacing w:line="240" w:lineRule="auto"/>
              <w:jc w:val="right"/>
            </w:pPr>
            <w:r/>
            <w:r>
              <w:rPr>
                <w:rFonts w:ascii="Garamond" w:hAnsi="Garamond"/>
                <w:sz w:val="17"/>
              </w:rPr>
              <w:t>$74,842</w:t>
            </w:r>
          </w:p>
        </w:tc>
        <w:tc>
          <w:tcPr>
            <w:tcW w:type="dxa" w:w="1560"/>
          </w:tcPr>
          <w:p>
            <w:pPr>
              <w:spacing w:line="240" w:lineRule="auto"/>
              <w:jc w:val="right"/>
            </w:pPr>
            <w:r/>
            <w:r>
              <w:rPr>
                <w:rFonts w:ascii="Garamond" w:hAnsi="Garamond"/>
                <w:sz w:val="17"/>
              </w:rPr>
              <w:t>19.4%</w:t>
            </w:r>
          </w:p>
        </w:tc>
        <w:tc>
          <w:tcPr>
            <w:tcW w:type="dxa" w:w="1560"/>
          </w:tcPr>
          <w:p>
            <w:pPr>
              <w:spacing w:line="240" w:lineRule="auto"/>
              <w:jc w:val="right"/>
            </w:pPr>
            <w:r/>
            <w:r>
              <w:rPr>
                <w:rFonts w:ascii="Garamond" w:hAnsi="Garamond"/>
                <w:sz w:val="17"/>
              </w:rPr>
              <w:t>7.1%</w:t>
            </w:r>
          </w:p>
        </w:tc>
      </w:tr>
      <w:tr>
        <w:tc>
          <w:tcPr>
            <w:tcW w:type="dxa" w:w="1560"/>
          </w:tcPr>
          <w:p>
            <w:pPr>
              <w:spacing w:line="240" w:lineRule="auto"/>
            </w:pPr>
            <w:r/>
            <w:r>
              <w:rPr>
                <w:rFonts w:ascii="Garamond" w:hAnsi="Garamond"/>
                <w:sz w:val="17"/>
              </w:rPr>
              <w:t>182.01</w:t>
            </w:r>
          </w:p>
        </w:tc>
        <w:tc>
          <w:tcPr>
            <w:tcW w:type="dxa" w:w="1560"/>
          </w:tcPr>
          <w:p>
            <w:pPr>
              <w:spacing w:line="240" w:lineRule="auto"/>
              <w:jc w:val="right"/>
            </w:pPr>
            <w:r/>
            <w:r>
              <w:rPr>
                <w:rFonts w:ascii="Garamond" w:hAnsi="Garamond"/>
                <w:sz w:val="17"/>
              </w:rPr>
              <w:t>17</w:t>
            </w:r>
          </w:p>
        </w:tc>
        <w:tc>
          <w:tcPr>
            <w:tcW w:type="dxa" w:w="1560"/>
          </w:tcPr>
          <w:p>
            <w:pPr>
              <w:spacing w:line="240" w:lineRule="auto"/>
            </w:pPr>
            <w:r/>
            <w:r>
              <w:rPr>
                <w:rFonts w:ascii="Garamond" w:hAnsi="Garamond"/>
                <w:sz w:val="17"/>
              </w:rPr>
              <w:t>Tricon Residential</w:t>
            </w:r>
          </w:p>
        </w:tc>
        <w:tc>
          <w:tcPr>
            <w:tcW w:type="dxa" w:w="1560"/>
          </w:tcPr>
          <w:p>
            <w:pPr>
              <w:spacing w:line="240" w:lineRule="auto"/>
              <w:jc w:val="right"/>
            </w:pPr>
            <w:r/>
            <w:r>
              <w:rPr>
                <w:rFonts w:ascii="Garamond" w:hAnsi="Garamond"/>
                <w:sz w:val="17"/>
              </w:rPr>
              <w:t>$153,750</w:t>
            </w:r>
          </w:p>
        </w:tc>
        <w:tc>
          <w:tcPr>
            <w:tcW w:type="dxa" w:w="1560"/>
          </w:tcPr>
          <w:p>
            <w:pPr>
              <w:spacing w:line="240" w:lineRule="auto"/>
              <w:jc w:val="right"/>
            </w:pPr>
            <w:r/>
            <w:r>
              <w:rPr>
                <w:rFonts w:ascii="Garamond" w:hAnsi="Garamond"/>
                <w:sz w:val="17"/>
              </w:rPr>
              <w:t>30.1%</w:t>
            </w:r>
          </w:p>
        </w:tc>
        <w:tc>
          <w:tcPr>
            <w:tcW w:type="dxa" w:w="1560"/>
          </w:tcPr>
          <w:p>
            <w:pPr>
              <w:spacing w:line="240" w:lineRule="auto"/>
              <w:jc w:val="right"/>
            </w:pPr>
            <w:r/>
            <w:r>
              <w:rPr>
                <w:rFonts w:ascii="Garamond" w:hAnsi="Garamond"/>
                <w:sz w:val="17"/>
              </w:rPr>
              <w:t>2.2%</w:t>
            </w:r>
          </w:p>
        </w:tc>
      </w:tr>
      <w:tr>
        <w:tc>
          <w:tcPr>
            <w:tcW w:type="dxa" w:w="1560"/>
          </w:tcPr>
          <w:p>
            <w:pPr>
              <w:spacing w:line="240" w:lineRule="auto"/>
            </w:pPr>
            <w:r/>
            <w:r>
              <w:rPr>
                <w:rFonts w:ascii="Garamond" w:hAnsi="Garamond"/>
                <w:sz w:val="17"/>
              </w:rPr>
              <w:t>191.19</w:t>
            </w:r>
          </w:p>
        </w:tc>
        <w:tc>
          <w:tcPr>
            <w:tcW w:type="dxa" w:w="1560"/>
          </w:tcPr>
          <w:p>
            <w:pPr>
              <w:spacing w:line="240" w:lineRule="auto"/>
              <w:jc w:val="right"/>
            </w:pPr>
            <w:r/>
            <w:r>
              <w:rPr>
                <w:rFonts w:ascii="Garamond" w:hAnsi="Garamond"/>
                <w:sz w:val="17"/>
              </w:rPr>
              <w:t>14</w:t>
            </w:r>
          </w:p>
        </w:tc>
        <w:tc>
          <w:tcPr>
            <w:tcW w:type="dxa" w:w="1560"/>
          </w:tcPr>
          <w:p>
            <w:pPr>
              <w:spacing w:line="240" w:lineRule="auto"/>
            </w:pPr>
            <w:r/>
            <w:r>
              <w:rPr>
                <w:rFonts w:ascii="Garamond" w:hAnsi="Garamond"/>
                <w:sz w:val="17"/>
              </w:rPr>
              <w:t>American Homes 4 Rent</w:t>
            </w:r>
          </w:p>
        </w:tc>
        <w:tc>
          <w:tcPr>
            <w:tcW w:type="dxa" w:w="1560"/>
          </w:tcPr>
          <w:p>
            <w:pPr>
              <w:spacing w:line="240" w:lineRule="auto"/>
              <w:jc w:val="right"/>
            </w:pPr>
            <w:r/>
            <w:r>
              <w:rPr>
                <w:rFonts w:ascii="Garamond" w:hAnsi="Garamond"/>
                <w:sz w:val="17"/>
              </w:rPr>
              <w:t>$118,056</w:t>
            </w:r>
          </w:p>
        </w:tc>
        <w:tc>
          <w:tcPr>
            <w:tcW w:type="dxa" w:w="1560"/>
          </w:tcPr>
          <w:p>
            <w:pPr>
              <w:spacing w:line="240" w:lineRule="auto"/>
              <w:jc w:val="right"/>
            </w:pPr>
            <w:r/>
            <w:r>
              <w:rPr>
                <w:rFonts w:ascii="Garamond" w:hAnsi="Garamond"/>
                <w:sz w:val="17"/>
              </w:rPr>
              <w:t>17.3%</w:t>
            </w:r>
          </w:p>
        </w:tc>
        <w:tc>
          <w:tcPr>
            <w:tcW w:type="dxa" w:w="1560"/>
          </w:tcPr>
          <w:p>
            <w:pPr>
              <w:spacing w:line="240" w:lineRule="auto"/>
              <w:jc w:val="right"/>
            </w:pPr>
            <w:r/>
            <w:r>
              <w:rPr>
                <w:rFonts w:ascii="Garamond" w:hAnsi="Garamond"/>
                <w:sz w:val="17"/>
              </w:rPr>
              <w:t>18.3%</w:t>
            </w:r>
          </w:p>
        </w:tc>
      </w:tr>
      <w:tr>
        <w:tc>
          <w:tcPr>
            <w:tcW w:type="dxa" w:w="1560"/>
          </w:tcPr>
          <w:p>
            <w:pPr>
              <w:spacing w:line="240" w:lineRule="auto"/>
            </w:pPr>
            <w:r/>
            <w:r>
              <w:rPr>
                <w:rFonts w:ascii="Garamond" w:hAnsi="Garamond"/>
                <w:sz w:val="17"/>
              </w:rPr>
              <w:t>114.00</w:t>
            </w:r>
          </w:p>
        </w:tc>
        <w:tc>
          <w:tcPr>
            <w:tcW w:type="dxa" w:w="1560"/>
          </w:tcPr>
          <w:p>
            <w:pPr>
              <w:spacing w:line="240" w:lineRule="auto"/>
              <w:jc w:val="right"/>
            </w:pPr>
            <w:r/>
            <w:r>
              <w:rPr>
                <w:rFonts w:ascii="Garamond" w:hAnsi="Garamond"/>
                <w:sz w:val="17"/>
              </w:rPr>
              <w:t>7</w:t>
            </w:r>
          </w:p>
        </w:tc>
        <w:tc>
          <w:tcPr>
            <w:tcW w:type="dxa" w:w="1560"/>
          </w:tcPr>
          <w:p>
            <w:pPr>
              <w:spacing w:line="240" w:lineRule="auto"/>
            </w:pPr>
            <w:r/>
            <w:r>
              <w:rPr>
                <w:rFonts w:ascii="Garamond" w:hAnsi="Garamond"/>
                <w:sz w:val="17"/>
              </w:rPr>
              <w:t>American Homes 4 Rent</w:t>
            </w:r>
          </w:p>
        </w:tc>
        <w:tc>
          <w:tcPr>
            <w:tcW w:type="dxa" w:w="1560"/>
          </w:tcPr>
          <w:p>
            <w:pPr>
              <w:spacing w:line="240" w:lineRule="auto"/>
              <w:jc w:val="right"/>
            </w:pPr>
            <w:r/>
            <w:r>
              <w:rPr>
                <w:rFonts w:ascii="Garamond" w:hAnsi="Garamond"/>
                <w:sz w:val="17"/>
              </w:rPr>
              <w:t>$107,254</w:t>
            </w:r>
          </w:p>
        </w:tc>
        <w:tc>
          <w:tcPr>
            <w:tcW w:type="dxa" w:w="1560"/>
          </w:tcPr>
          <w:p>
            <w:pPr>
              <w:spacing w:line="240" w:lineRule="auto"/>
              <w:jc w:val="right"/>
            </w:pPr>
            <w:r/>
            <w:r>
              <w:rPr>
                <w:rFonts w:ascii="Garamond" w:hAnsi="Garamond"/>
                <w:sz w:val="17"/>
              </w:rPr>
              <w:t>44.3%</w:t>
            </w:r>
          </w:p>
        </w:tc>
        <w:tc>
          <w:tcPr>
            <w:tcW w:type="dxa" w:w="1560"/>
          </w:tcPr>
          <w:p>
            <w:pPr>
              <w:spacing w:line="240" w:lineRule="auto"/>
              <w:jc w:val="right"/>
            </w:pPr>
            <w:r/>
            <w:r>
              <w:rPr>
                <w:rFonts w:ascii="Garamond" w:hAnsi="Garamond"/>
                <w:sz w:val="17"/>
              </w:rPr>
              <w:t>21.2%</w:t>
            </w:r>
          </w:p>
        </w:tc>
      </w:tr>
      <w:tr>
        <w:tc>
          <w:tcPr>
            <w:tcW w:type="dxa" w:w="1560"/>
          </w:tcPr>
          <w:p>
            <w:pPr>
              <w:spacing w:line="240" w:lineRule="auto"/>
            </w:pPr>
            <w:r/>
            <w:r>
              <w:rPr>
                <w:rFonts w:ascii="Garamond" w:hAnsi="Garamond"/>
                <w:sz w:val="17"/>
              </w:rPr>
              <w:t>127.02</w:t>
            </w:r>
          </w:p>
        </w:tc>
        <w:tc>
          <w:tcPr>
            <w:tcW w:type="dxa" w:w="1560"/>
          </w:tcPr>
          <w:p>
            <w:pPr>
              <w:spacing w:line="240" w:lineRule="auto"/>
              <w:jc w:val="right"/>
            </w:pPr>
            <w:r/>
            <w:r>
              <w:rPr>
                <w:rFonts w:ascii="Garamond" w:hAnsi="Garamond"/>
                <w:sz w:val="17"/>
              </w:rPr>
              <w:t>6</w:t>
            </w:r>
          </w:p>
        </w:tc>
        <w:tc>
          <w:tcPr>
            <w:tcW w:type="dxa" w:w="1560"/>
          </w:tcPr>
          <w:p>
            <w:pPr>
              <w:spacing w:line="240" w:lineRule="auto"/>
            </w:pPr>
            <w:r/>
            <w:r>
              <w:rPr>
                <w:rFonts w:ascii="Garamond" w:hAnsi="Garamond"/>
                <w:sz w:val="17"/>
              </w:rPr>
              <w:t>Rithm Capital</w:t>
            </w:r>
          </w:p>
        </w:tc>
        <w:tc>
          <w:tcPr>
            <w:tcW w:type="dxa" w:w="1560"/>
          </w:tcPr>
          <w:p>
            <w:pPr>
              <w:spacing w:line="240" w:lineRule="auto"/>
              <w:jc w:val="right"/>
            </w:pPr>
            <w:r/>
            <w:r>
              <w:rPr>
                <w:rFonts w:ascii="Garamond" w:hAnsi="Garamond"/>
                <w:sz w:val="17"/>
              </w:rPr>
              <w:t>$57,109</w:t>
            </w:r>
          </w:p>
        </w:tc>
        <w:tc>
          <w:tcPr>
            <w:tcW w:type="dxa" w:w="1560"/>
          </w:tcPr>
          <w:p>
            <w:pPr>
              <w:spacing w:line="240" w:lineRule="auto"/>
              <w:jc w:val="right"/>
            </w:pPr>
            <w:r/>
            <w:r>
              <w:rPr>
                <w:rFonts w:ascii="Garamond" w:hAnsi="Garamond"/>
                <w:sz w:val="17"/>
              </w:rPr>
              <w:t>34.4%</w:t>
            </w:r>
          </w:p>
        </w:tc>
        <w:tc>
          <w:tcPr>
            <w:tcW w:type="dxa" w:w="1560"/>
          </w:tcPr>
          <w:p>
            <w:pPr>
              <w:spacing w:line="240" w:lineRule="auto"/>
              <w:jc w:val="right"/>
            </w:pPr>
            <w:r/>
            <w:r>
              <w:rPr>
                <w:rFonts w:ascii="Garamond" w:hAnsi="Garamond"/>
                <w:sz w:val="17"/>
              </w:rPr>
              <w:t>83.0%</w:t>
            </w:r>
          </w:p>
        </w:tc>
      </w:tr>
    </w:tbl>
    <w:p>
      <w:pPr>
        <w:spacing w:after="0"/>
      </w:pPr>
    </w:p>
    <w:p>
      <w:pPr>
        <w:spacing w:line="480" w:lineRule="auto" w:before="0" w:after="0"/>
        <w:ind w:firstLine="720"/>
      </w:pPr>
      <w:r>
        <w:rPr>
          <w:rFonts w:ascii="Garamond" w:hAnsi="Garamond"/>
          <w:i/>
        </w:rPr>
        <w:t>Source: the June 19, 2026 operator-level parcel classification (3,494 parcels of the named national operators, of which 618 are classed as built under the operator and 108 as pipeline), joined by parcel to the 2020 to 2024 American Community Survey tract profiles, https://api.census.gov/data/2024/acs/acs5. The 726 build-to-rent and pipeline parcels fall in 37 tracts; the ten largest hold 91 percent. Local build-to-rent owners (Normandy, Ole South partnerships) and the fund-plus-builder communities not yet held by an operator are outside this classification. Replication file in the online data appendix.</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http://schemas.openxmlformats.org/wordprocessingml/2006/main">
  <w:footnote w:type="separator" w:id="-1">
    <w:p>
      <w:r>
        <w:rPr>
          <w:rFonts w:ascii="Garamond" w:hAnsi="Garamond"/>
          <w:sz w:val="20"/>
        </w:rPr>
        <w:separator/>
      </w:r>
    </w:p>
  </w:footnote>
  <w:footnote w:type="continuationSeparator" w:id="0">
    <w:p>
      <w:r>
        <w:rPr>
          <w:rFonts w:ascii="Garamond" w:hAnsi="Garamond"/>
          <w:sz w:val="20"/>
        </w:rPr>
        <w:continuationSeparator/>
      </w:r>
    </w:p>
  </w:footnote>
  <w:footnote w:id="1">
    <w:p>
      <w:pPr>
        <w:pStyle w:val="FootnoteText"/>
      </w:pPr>
      <w:r>
        <w:rPr>
          <w:rStyle w:val="FootnoteReference"/>
          <w:rFonts w:ascii="Garamond" w:hAnsi="Garamond"/>
          <w:sz w:val="20"/>
        </w:rPr>
        <w:footnoteRef/>
      </w:r>
      <w:r>
        <w:rPr>
          <w:rFonts w:ascii="Garamond" w:hAnsi="Garamond"/>
          <w:sz w:val="20"/>
        </w:rPr>
        <w:t xml:space="preserve"> Special Warranty Deed, Century Communities of Tennessee, LLC to VB TAH, LLC, Davidson County, Tenn. Reg. of Deeds, Instrument No. 20251230-0103700 (deed dated Dec. 12, 2025; recorded Dec. 30, 2025), https://www.davidsonportal.com/gis/file.php?file=202512300103700 (105 townhome parcels plus one common-area parcel; 59 units built at conveyance; $24,500,000).</w:t>
      </w:r>
    </w:p>
  </w:footnote>
  <w:footnote w:id="2">
    <w:p>
      <w:pPr>
        <w:pStyle w:val="FootnoteText"/>
      </w:pPr>
      <w:r>
        <w:rPr>
          <w:rStyle w:val="FootnoteReference"/>
          <w:rFonts w:ascii="Garamond" w:hAnsi="Garamond"/>
          <w:sz w:val="20"/>
        </w:rPr>
        <w:footnoteRef/>
      </w:r>
      <w:r>
        <w:rPr>
          <w:rFonts w:ascii="Garamond" w:hAnsi="Garamond"/>
          <w:sz w:val="20"/>
        </w:rPr>
        <w:t xml:space="preserve"> Cong. Rsch. Serv., R47332, Ownership of the U.S. Rental Housing Stock by Investor Type: In Brief (Dec. 13, 2022), https://www.congress.gov/crs-product/R47332.</w:t>
      </w:r>
    </w:p>
  </w:footnote>
  <w:footnote w:id="3">
    <w:p>
      <w:pPr>
        <w:pStyle w:val="FootnoteText"/>
      </w:pPr>
      <w:r>
        <w:rPr>
          <w:rStyle w:val="FootnoteReference"/>
          <w:rFonts w:ascii="Garamond" w:hAnsi="Garamond"/>
          <w:sz w:val="20"/>
        </w:rPr>
        <w:footnoteRef/>
      </w:r>
      <w:r>
        <w:rPr>
          <w:rFonts w:ascii="Garamond" w:hAnsi="Garamond"/>
          <w:sz w:val="20"/>
        </w:rPr>
        <w:t xml:space="preserve"> U.S. Gov't Accountability Off., GAO-24-106643, Rental Housing: Information on Institutional Investment in Single-Family Rental Homes (May 2024), https://www.gao.gov/products/gao-24-106643.</w:t>
      </w:r>
    </w:p>
  </w:footnote>
  <w:footnote w:id="4">
    <w:p>
      <w:pPr>
        <w:pStyle w:val="FootnoteText"/>
      </w:pPr>
      <w:r>
        <w:rPr>
          <w:rStyle w:val="FootnoteReference"/>
          <w:rFonts w:ascii="Garamond" w:hAnsi="Garamond"/>
          <w:sz w:val="20"/>
        </w:rPr>
        <w:footnoteRef/>
      </w:r>
      <w:r>
        <w:rPr>
          <w:rFonts w:ascii="Garamond" w:hAnsi="Garamond"/>
          <w:sz w:val="20"/>
        </w:rPr>
        <w:t xml:space="preserve"> Laurie Goodman &amp; Amalie Zinn, Urban Inst., What Is the Build-to-Rent Sector, and Who Does It Serve? (June 2023), https://www.urban.org/research/publication/what-build-rent-sector-and-who-does-it-serve.</w:t>
      </w:r>
    </w:p>
  </w:footnote>
  <w:footnote w:id="5">
    <w:p>
      <w:pPr>
        <w:pStyle w:val="FootnoteText"/>
      </w:pPr>
      <w:r>
        <w:rPr>
          <w:rStyle w:val="FootnoteReference"/>
          <w:rFonts w:ascii="Garamond" w:hAnsi="Garamond"/>
          <w:sz w:val="20"/>
        </w:rPr>
        <w:footnoteRef/>
      </w:r>
      <w:r>
        <w:rPr>
          <w:rFonts w:ascii="Garamond" w:hAnsi="Garamond"/>
          <w:sz w:val="20"/>
        </w:rPr>
        <w:t xml:space="preserve"> Robert Dietz, Single-Family Built-for-Rent Construction Falls Back, NAHB Eye On Housing (Feb. 20, 2025), https://eyeonhousing.org/2025/02/single-family-built-for-rent-construction-falls-back/ (four-quarter share 8 percent against a 2.7 percent 1992–2012 average); Goodman &amp; Zinn, supra note 4, at 4 (roughly 350,000 standing units; NAHB's roughly five percent built-for-sale-then-rented addition). See also Am. Econ. Liberties Project, Fact Sheet: How Build-To-Rent Homes Limit Single-Family Home Supply and Squeeze Affordability (Feb. 2026), http://www.economicliberties.us/wp-content/uploads/2026/02/Build-To-Rent-Fact-Sheet-2.25.26.pdf.</w:t>
      </w:r>
    </w:p>
  </w:footnote>
  <w:footnote w:id="6">
    <w:p>
      <w:pPr>
        <w:pStyle w:val="FootnoteText"/>
      </w:pPr>
      <w:r>
        <w:rPr>
          <w:rStyle w:val="FootnoteReference"/>
          <w:rFonts w:ascii="Garamond" w:hAnsi="Garamond"/>
          <w:sz w:val="20"/>
        </w:rPr>
        <w:footnoteRef/>
      </w:r>
      <w:r>
        <w:rPr>
          <w:rFonts w:ascii="Garamond" w:hAnsi="Garamond"/>
          <w:sz w:val="20"/>
        </w:rPr>
        <w:t xml:space="preserve"> 21st Century ROAD to Housing Act, Pub. L. No. 119-101, § 1001 (2026) (H.R. 6644, 119th Cong.; became law July 11, 2026, without the President's signature), enrolled text at https://www.congress.gov/119/bills/hr6644/BILLS-119hr6644enr.pdf. The House passed H.R. 6644 by 390 to 9 in February 2026, the Senate passed its substitute 89 to 10 on March 12, 2026, and the two chambers agreed to the final text in June 2026, the House 358 to 32 and the Senate 85 to 5. H.R. 6644, All Actions, https://www.congress.gov/bill/119th-congress/house-bill/6644/all-actions.</w:t>
      </w:r>
    </w:p>
  </w:footnote>
  <w:footnote w:id="7">
    <w:p>
      <w:pPr>
        <w:pStyle w:val="FootnoteText"/>
      </w:pPr>
      <w:r>
        <w:rPr>
          <w:rStyle w:val="FootnoteReference"/>
          <w:rFonts w:ascii="Garamond" w:hAnsi="Garamond"/>
          <w:sz w:val="20"/>
        </w:rPr>
        <w:footnoteRef/>
      </w:r>
      <w:r>
        <w:rPr>
          <w:rFonts w:ascii="Garamond" w:hAnsi="Garamond"/>
          <w:sz w:val="20"/>
        </w:rPr>
        <w:t xml:space="preserve"> Id. § 1001(a)(2)(B).</w:t>
      </w:r>
    </w:p>
  </w:footnote>
  <w:footnote w:id="8">
    <w:p>
      <w:pPr>
        <w:pStyle w:val="FootnoteText"/>
      </w:pPr>
      <w:r>
        <w:rPr>
          <w:rStyle w:val="FootnoteReference"/>
          <w:rFonts w:ascii="Garamond" w:hAnsi="Garamond"/>
          <w:sz w:val="20"/>
        </w:rPr>
        <w:footnoteRef/>
      </w:r>
      <w:r>
        <w:rPr>
          <w:rFonts w:ascii="Garamond" w:hAnsi="Garamond"/>
          <w:sz w:val="20"/>
        </w:rPr>
        <w:t xml:space="preserve"> Part I of this series (framework universe 205,933 parcels; 16,615 entity-owned; approximately 3,940 named-operator homes, per the July 22, 2026 canonical rollup).</w:t>
      </w:r>
    </w:p>
  </w:footnote>
  <w:footnote w:id="9">
    <w:p>
      <w:pPr>
        <w:pStyle w:val="FootnoteText"/>
      </w:pPr>
      <w:r>
        <w:rPr>
          <w:rStyle w:val="FootnoteReference"/>
          <w:rFonts w:ascii="Garamond" w:hAnsi="Garamond"/>
          <w:sz w:val="20"/>
        </w:rPr>
        <w:footnoteRef/>
      </w:r>
      <w:r>
        <w:rPr>
          <w:rFonts w:ascii="Garamond" w:hAnsi="Garamond"/>
          <w:sz w:val="20"/>
        </w:rPr>
        <w:t xml:space="preserve"> N.Y. State Senate, Legislative Resolution J2647 (2021) (commemorating the 75th anniversary of Levittown; Levitt &amp; Sons built 17,447 single-family homes in central Nassau County between 1947 and 1951), https://www.nysenate.gov/legislation/bills/2021/J2647; Suburban Legend: William Levitt, Time (archive), https://time.com/archive/6598189/suburban-legend-william-levitt/.</w:t>
      </w:r>
    </w:p>
  </w:footnote>
  <w:footnote w:id="10">
    <w:p>
      <w:pPr>
        <w:pStyle w:val="FootnoteText"/>
      </w:pPr>
      <w:r>
        <w:rPr>
          <w:rStyle w:val="FootnoteReference"/>
          <w:rFonts w:ascii="Garamond" w:hAnsi="Garamond"/>
          <w:sz w:val="20"/>
        </w:rPr>
        <w:footnoteRef/>
      </w:r>
      <w:r>
        <w:rPr>
          <w:rFonts w:ascii="Garamond" w:hAnsi="Garamond"/>
          <w:sz w:val="20"/>
        </w:rPr>
        <w:t xml:space="preserve"> Gopal Ahluwalia, Kermit Baker &amp; Kent W. Colton, Concentration in the Homebuilding Industry: Trends, Strategies, and Prospects, Harv. Joint Ctr. for Hous. Stud. (Apr. 2022), https://www.jchs.harvard.edu/sites/default/files/research/files/harvard_jchs_homebuilding_industry_concentration_ahluwalia_2022.pdf.</w:t>
      </w:r>
    </w:p>
  </w:footnote>
  <w:footnote w:id="11">
    <w:p>
      <w:pPr>
        <w:pStyle w:val="FootnoteText"/>
      </w:pPr>
      <w:r>
        <w:rPr>
          <w:rStyle w:val="FootnoteReference"/>
          <w:rFonts w:ascii="Garamond" w:hAnsi="Garamond"/>
          <w:sz w:val="20"/>
        </w:rPr>
        <w:footnoteRef/>
      </w:r>
      <w:r>
        <w:rPr>
          <w:rFonts w:ascii="Garamond" w:hAnsi="Garamond"/>
          <w:sz w:val="20"/>
        </w:rPr>
        <w:t xml:space="preserve"> CRS R47332, supra note 2; GAO-24-106643, supra note 3.</w:t>
      </w:r>
    </w:p>
  </w:footnote>
  <w:footnote w:id="12">
    <w:p>
      <w:pPr>
        <w:pStyle w:val="FootnoteText"/>
      </w:pPr>
      <w:r>
        <w:rPr>
          <w:rStyle w:val="FootnoteReference"/>
          <w:rFonts w:ascii="Garamond" w:hAnsi="Garamond"/>
          <w:sz w:val="20"/>
        </w:rPr>
        <w:footnoteRef/>
      </w:r>
      <w:r>
        <w:rPr>
          <w:rFonts w:ascii="Garamond" w:hAnsi="Garamond"/>
          <w:sz w:val="20"/>
        </w:rPr>
        <w:t xml:space="preserve"> GAO-24-106643, supra note 3, at 8–16 (no single investor owned more than 1,000 single-family rental homes in late 2011; institutional investors owned roughly 450,000 by 2022).</w:t>
      </w:r>
    </w:p>
  </w:footnote>
  <w:footnote w:id="13">
    <w:p>
      <w:pPr>
        <w:pStyle w:val="FootnoteText"/>
      </w:pPr>
      <w:r>
        <w:rPr>
          <w:rStyle w:val="FootnoteReference"/>
          <w:rFonts w:ascii="Garamond" w:hAnsi="Garamond"/>
          <w:sz w:val="20"/>
        </w:rPr>
        <w:footnoteRef/>
      </w:r>
      <w:r>
        <w:rPr>
          <w:rFonts w:ascii="Garamond" w:hAnsi="Garamond"/>
          <w:sz w:val="20"/>
        </w:rPr>
        <w:t xml:space="preserve"> Ahluwalia, Baker &amp; Colton, supra note 10 (builder concentration); Desiree Fields, Rajkumar Kohli &amp; Alex Schafran, The Emerging Economic Geography of Single-Family Rental Securitization 3 tbl.1 (Fed. Rsrv. Bank of S.F. Cmty. Dev. Inv. Ctr., Working Paper No. 2016-02, Jan. 2016), https://www.frbsf.org/community-development/files/wp2016-02.pdf (eight firms, twenty-one securitizations, Nov. 2013 to June 2015); Wolf Richter, The Biggest Single-Family Rental Landlords and Multifamily Landlords in the US: Big Shifts Underway, Wolf Street (Sept. 15, 2025), https://wolfstreet.com/2025/09/15/the-biggest-single-family-rental-landlords-and-multifamily-landlords-in-the-us-big-shifts-underway/.</w:t>
      </w:r>
    </w:p>
  </w:footnote>
  <w:footnote w:id="14">
    <w:p>
      <w:pPr>
        <w:pStyle w:val="FootnoteText"/>
      </w:pPr>
      <w:r>
        <w:rPr>
          <w:rStyle w:val="FootnoteReference"/>
          <w:rFonts w:ascii="Garamond" w:hAnsi="Garamond"/>
          <w:sz w:val="20"/>
        </w:rPr>
        <w:footnoteRef/>
      </w:r>
      <w:r>
        <w:rPr>
          <w:rFonts w:ascii="Garamond" w:hAnsi="Garamond"/>
          <w:sz w:val="20"/>
        </w:rPr>
        <w:t xml:space="preserve"> Dietz, supra note 5 (built-for-rent share of single-family starts); Goodman &amp; Zinn, supra note 4, at 4; RentCafe, The Build-to-Rent Housing Boom: New Single-Family Rentals Reach All-Time High, With Another 45,000 on the Way (2024), https://www.rentcafe.com/blog/rental-market/market-snapshots/build-to-rent-single-family-homes-construction-2024/ (2023 completions led by Phoenix 4,030, Dallas 2,694, Atlanta 1,981, Austin 840, and Charlotte 714). On the builder/land-bank structure behind the pipeline: Will Frank et al., Banking on the Future: Builders and Land Bankers Grow Together, John Burns Rsch. &amp; Consulting (Apr. 24, 2024), https://jbrec.com/insights/buildersinvestors-team-for-land-banking-deals-that-benefit-both/; Don Walker, What Is Land Banking, and How Is It Impacting the Housing Industry?, John Burns Rsch. &amp; Consulting (Mar. 26, 2025), https://jbrec.com/insights/land-banking-grows-as-housing-industrystrategy/.</w:t>
      </w:r>
    </w:p>
  </w:footnote>
  <w:footnote w:id="15">
    <w:p>
      <w:pPr>
        <w:pStyle w:val="FootnoteText"/>
      </w:pPr>
      <w:r>
        <w:rPr>
          <w:rStyle w:val="FootnoteReference"/>
          <w:rFonts w:ascii="Garamond" w:hAnsi="Garamond"/>
          <w:sz w:val="20"/>
        </w:rPr>
        <w:footnoteRef/>
      </w:r>
      <w:r>
        <w:rPr>
          <w:rFonts w:ascii="Garamond" w:hAnsi="Garamond"/>
          <w:sz w:val="20"/>
        </w:rPr>
        <w:t xml:space="preserve"> Goodman &amp; Zinn, supra note 4, at 5–6 (the four-model taxonomy; build-to-rent as a builder disposition channel and a single-family rental supply channel).</w:t>
      </w:r>
    </w:p>
  </w:footnote>
  <w:footnote w:id="16">
    <w:p>
      <w:pPr>
        <w:pStyle w:val="FootnoteText"/>
      </w:pPr>
      <w:r>
        <w:rPr>
          <w:rStyle w:val="FootnoteReference"/>
          <w:rFonts w:ascii="Garamond" w:hAnsi="Garamond"/>
          <w:sz w:val="20"/>
        </w:rPr>
        <w:footnoteRef/>
      </w:r>
      <w:r>
        <w:rPr>
          <w:rFonts w:ascii="Garamond" w:hAnsi="Garamond"/>
          <w:sz w:val="20"/>
        </w:rPr>
        <w:t xml:space="preserve"> Laurel Kilgour, Capital Crunch: How the Fall of Local Finance and the Rise of Shareholder Primacy Warped Single-Family Homebuilding in America, Am. Econ. Liberties Project, at 22 (Nov. 2025), https://www.economicliberties.us/wp-content/uploads/2025/11/20251110-aelp-capitalcrunch-final-1.pdf; Am. Econ. Liberties Project, Fact Sheet: How Wall Street Drives Land Hoarding and Raises Housing Prices, at 2 (Jan. 2026), https://www.economicliberties.us/wp-content/uploads/2026/01/2026-1-13-Land-Hoarding-Fact-Sheet-CLEAN.pdf.</w:t>
      </w:r>
    </w:p>
  </w:footnote>
  <w:footnote w:id="17">
    <w:p>
      <w:pPr>
        <w:pStyle w:val="FootnoteText"/>
      </w:pPr>
      <w:r>
        <w:rPr>
          <w:rStyle w:val="FootnoteReference"/>
          <w:rFonts w:ascii="Garamond" w:hAnsi="Garamond"/>
          <w:sz w:val="20"/>
        </w:rPr>
        <w:footnoteRef/>
      </w:r>
      <w:r>
        <w:rPr>
          <w:rFonts w:ascii="Garamond" w:hAnsi="Garamond"/>
          <w:sz w:val="20"/>
        </w:rPr>
        <w:t xml:space="preserve"> Kilgour, Capital Crunch, supra note 16, at 14 (since the financial crisis only a single-digit percentage of new homes have been starter homes, about half the rate of the early 2000s); Laurel Kilgour, Capital Crunch: Executive Summary, Am. Econ. Liberties Project, at 5 (Oct. 2025), https://www.economicliberties.us/wp-content/uploads/2025/11/20251014-aelp-capitalcrunch-execsum-v3.pdf.</w:t>
      </w:r>
    </w:p>
  </w:footnote>
  <w:footnote w:id="18">
    <w:p>
      <w:pPr>
        <w:pStyle w:val="FootnoteText"/>
      </w:pPr>
      <w:r>
        <w:rPr>
          <w:rStyle w:val="FootnoteReference"/>
          <w:rFonts w:ascii="Garamond" w:hAnsi="Garamond"/>
          <w:sz w:val="20"/>
        </w:rPr>
        <w:footnoteRef/>
      </w:r>
      <w:r>
        <w:rPr>
          <w:rFonts w:ascii="Garamond" w:hAnsi="Garamond"/>
          <w:sz w:val="20"/>
        </w:rPr>
        <w:t xml:space="preserve"> Builder 100 (2026); Pro Builder Top 200 (Jan. 23, 2026). Full 35-row table preserved in the source compilation; Appendix Table III.4 carries the extract.</w:t>
      </w:r>
    </w:p>
  </w:footnote>
  <w:footnote w:id="19">
    <w:p>
      <w:pPr>
        <w:pStyle w:val="FootnoteText"/>
      </w:pPr>
      <w:r>
        <w:rPr>
          <w:rStyle w:val="FootnoteReference"/>
          <w:rFonts w:ascii="Garamond" w:hAnsi="Garamond"/>
          <w:sz w:val="20"/>
        </w:rPr>
        <w:footnoteRef/>
      </w:r>
      <w:r>
        <w:rPr>
          <w:rFonts w:ascii="Garamond" w:hAnsi="Garamond"/>
          <w:sz w:val="20"/>
        </w:rPr>
        <w:t xml:space="preserve"> Richter, supra note 13 (Progress Residential about 94,000 homes); Capright, Single-Family Rental REIT Update 3–8 (July 2025) (first-quarter 2025 portfolios: Invitation Homes 85,261, American Homes 4 Rent 60,531, Tricon 60,000, FirstKey 48,000).</w:t>
      </w:r>
    </w:p>
  </w:footnote>
  <w:footnote w:id="20">
    <w:p>
      <w:pPr>
        <w:pStyle w:val="FootnoteText"/>
      </w:pPr>
      <w:r>
        <w:rPr>
          <w:rStyle w:val="FootnoteReference"/>
          <w:rFonts w:ascii="Garamond" w:hAnsi="Garamond"/>
          <w:sz w:val="20"/>
        </w:rPr>
        <w:footnoteRef/>
      </w:r>
      <w:r>
        <w:rPr>
          <w:rFonts w:ascii="Garamond" w:hAnsi="Garamond"/>
          <w:sz w:val="20"/>
        </w:rPr>
        <w:t xml:space="preserve"> D.R. Horton, Inc., D.R. Horton, Inc., America's Builder, Reports Fiscal 2024 Fourth Quarter and Fiscal Year Earnings (Oct. 29, 2024), https://investor.drhorton.com/~/media/Files/D/D-R-Horton-IR/press-release/q4-and-fy24-earnings-release.pdf ("During fiscal 2024, the Company sold 3,970 single-family rental homes for $1.2 billion compared to 6,175 homes sold for $2.0 billion in fiscal 2023"; 3,140 rental homes in inventory at Sept. 30, 2024).</w:t>
      </w:r>
    </w:p>
  </w:footnote>
  <w:footnote w:id="21">
    <w:p>
      <w:pPr>
        <w:pStyle w:val="FootnoteText"/>
      </w:pPr>
      <w:r>
        <w:rPr>
          <w:rStyle w:val="FootnoteReference"/>
          <w:rFonts w:ascii="Garamond" w:hAnsi="Garamond"/>
          <w:sz w:val="20"/>
        </w:rPr>
        <w:footnoteRef/>
      </w:r>
      <w:r>
        <w:rPr>
          <w:rFonts w:ascii="Garamond" w:hAnsi="Garamond"/>
          <w:sz w:val="20"/>
        </w:rPr>
        <w:t xml:space="preserve"> Lennar Corp., Lennar Announces $4 Billion Single Family Rental Platform with Centerbridge Partners as Lead Investor (Mar. 17, 2021), https://investors.lennar.com/press-releases/2021/03-17-2021-161516110 (Upward America Venture; $1.25 billion initial equity led by Centerbridge with Allianz Real Estate; capacity to acquire more than $4 billion of new single-family homes and townhomes).</w:t>
      </w:r>
    </w:p>
  </w:footnote>
  <w:footnote w:id="22">
    <w:p>
      <w:pPr>
        <w:pStyle w:val="FootnoteText"/>
      </w:pPr>
      <w:r>
        <w:rPr>
          <w:rStyle w:val="FootnoteReference"/>
          <w:rFonts w:ascii="Garamond" w:hAnsi="Garamond"/>
          <w:sz w:val="20"/>
        </w:rPr>
        <w:footnoteRef/>
      </w:r>
      <w:r>
        <w:rPr>
          <w:rFonts w:ascii="Garamond" w:hAnsi="Garamond"/>
          <w:sz w:val="20"/>
        </w:rPr>
        <w:t xml:space="preserve"> AMH, AMH Delivers 10,000th Built Home, Expanding High-Quality Housing Options in the U.S. (July 10, 2024), https://investors.amh.com/events-and-presentations/press-releases/news-details/2024/AMH-Delivers-10000th-Built-Home-Expanding-High-Quality-Housing-Options-in-the-U.S/default.aspx (development program launched in 2017; 2,317 homes completed in 2023; more than 170 communities and 10,000 built homes; land pipeline above 10,000 lots); Builder 100 (2026) (AMH rank 35; 2,322 closings).</w:t>
      </w:r>
    </w:p>
  </w:footnote>
  <w:footnote w:id="23">
    <w:p>
      <w:pPr>
        <w:pStyle w:val="FootnoteText"/>
      </w:pPr>
      <w:r>
        <w:rPr>
          <w:rStyle w:val="FootnoteReference"/>
          <w:rFonts w:ascii="Garamond" w:hAnsi="Garamond"/>
          <w:sz w:val="20"/>
        </w:rPr>
        <w:footnoteRef/>
      </w:r>
      <w:r>
        <w:rPr>
          <w:rFonts w:ascii="Garamond" w:hAnsi="Garamond"/>
          <w:sz w:val="20"/>
        </w:rPr>
        <w:t xml:space="preserve"> Tricon Forms $450M JV with Arizona State Retirement System, Institutional Real Estate, Inc. (2019), https://irei.com/news/tricon-forms-450m-jv-arizona-state-retirement-system/ (ASRS $400 million, Tricon $50 million; Sun Belt build-to-rent and master-planned communities); Tricon, Arizona Pension Plan Invest $500M in SFR Strategy, Multi-Housing News (2022), https://www.multihousingnews.com/tricon-arizona-pension-plan-invest-500m-in-sfr-strategy/ (successor venture, $500 million of equity, Tricon $100 million, about 2,500 homes).</w:t>
      </w:r>
    </w:p>
  </w:footnote>
  <w:footnote w:id="24">
    <w:p>
      <w:pPr>
        <w:pStyle w:val="FootnoteText"/>
      </w:pPr>
      <w:r>
        <w:rPr>
          <w:rStyle w:val="FootnoteReference"/>
          <w:rFonts w:ascii="Garamond" w:hAnsi="Garamond"/>
          <w:sz w:val="20"/>
        </w:rPr>
        <w:footnoteRef/>
      </w:r>
      <w:r>
        <w:rPr>
          <w:rFonts w:ascii="Garamond" w:hAnsi="Garamond"/>
          <w:sz w:val="20"/>
        </w:rPr>
        <w:t xml:space="preserve"> Invitation Homes Inc., Invitation Homes Reports Fourth Quarter and Full Year 2025 Results (Feb. 18, 2026), https://s28.q4cdn.com/264003623/files/doc_earnings/2025/q4/earnings-result/Q4-2025-Press_Release.pdf ("all 368 of our wholly owned acquisitions were newly-constructed homes purchased from various homebuilders for $123 million"; "almost all of our 2,410 wholly owned acquisitions totaling $812 million were bought through our homebuilder relationships").</w:t>
      </w:r>
    </w:p>
  </w:footnote>
  <w:footnote w:id="25">
    <w:p>
      <w:pPr>
        <w:pStyle w:val="FootnoteText"/>
      </w:pPr>
      <w:r>
        <w:rPr>
          <w:rStyle w:val="FootnoteReference"/>
          <w:rFonts w:ascii="Garamond" w:hAnsi="Garamond"/>
          <w:sz w:val="20"/>
        </w:rPr>
        <w:footnoteRef/>
      </w:r>
      <w:r>
        <w:rPr>
          <w:rFonts w:ascii="Garamond" w:hAnsi="Garamond"/>
          <w:sz w:val="20"/>
        </w:rPr>
        <w:t xml:space="preserve"> The homeownership seam is split across the series by design: aggregate context in Part I, the harm-Congress-targeted justification in Part II, and the mechanism here. On the FHFA policy origin of the first wave, GAO-24-106643, supra note 3.</w:t>
      </w:r>
    </w:p>
  </w:footnote>
  <w:footnote w:id="26">
    <w:p>
      <w:pPr>
        <w:pStyle w:val="FootnoteText"/>
      </w:pPr>
      <w:r>
        <w:rPr>
          <w:rStyle w:val="FootnoteReference"/>
          <w:rFonts w:ascii="Garamond" w:hAnsi="Garamond"/>
          <w:sz w:val="20"/>
        </w:rPr>
        <w:footnoteRef/>
      </w:r>
      <w:r>
        <w:rPr>
          <w:rFonts w:ascii="Garamond" w:hAnsi="Garamond"/>
          <w:sz w:val="20"/>
        </w:rPr>
        <w:t xml:space="preserve"> Lauren Lambie-Hanson, Wenli Li &amp; Michael Slonkosky, Fed. Rsrv. Bank of Phila. Working Papers No. 19-01 and 19-45 (2019), https://doi.org/10.21799/frbp.wp.2019.45; Brian Y. An, The Influence of Institutional Single-Family Rental Investors on Homeownership, J. Plan. Educ. &amp; Rsch. (2024), https://doi.org/10.1177/0739456X231176072; Stephen B. Billings &amp; Adam Soliman, The Social Spillovers of Homeownership: Evidence from Institutional Investors, CEP Discussion Paper No. 2123 (Sept. 2025), https://cep.lse.ac.uk/pubs/download/dp2123.pdf.</w:t>
      </w:r>
    </w:p>
  </w:footnote>
  <w:footnote w:id="27">
    <w:p>
      <w:pPr>
        <w:pStyle w:val="FootnoteText"/>
      </w:pPr>
      <w:r>
        <w:rPr>
          <w:rStyle w:val="FootnoteReference"/>
          <w:rFonts w:ascii="Garamond" w:hAnsi="Garamond"/>
          <w:sz w:val="20"/>
        </w:rPr>
        <w:footnoteRef/>
      </w:r>
      <w:r>
        <w:rPr>
          <w:rFonts w:ascii="Garamond" w:hAnsi="Garamond"/>
          <w:sz w:val="20"/>
        </w:rPr>
        <w:t xml:space="preserve"> Pub. L. No. 119-101, § 1001(a)(3), (a)(4), (b)(1), supra note 6. The (a)(2)(B) exception exists because (a)(4) defines purchase to reach construction; without the carve-out, an investor that broke ground on a new rental home would violate the ban at completion.</w:t>
      </w:r>
    </w:p>
  </w:footnote>
  <w:footnote w:id="28">
    <w:p>
      <w:pPr>
        <w:pStyle w:val="FootnoteText"/>
      </w:pPr>
      <w:r>
        <w:rPr>
          <w:rStyle w:val="FootnoteReference"/>
          <w:rFonts w:ascii="Garamond" w:hAnsi="Garamond"/>
          <w:sz w:val="20"/>
        </w:rPr>
        <w:footnoteRef/>
      </w:r>
      <w:r>
        <w:rPr>
          <w:rFonts w:ascii="Garamond" w:hAnsi="Garamond"/>
          <w:sz w:val="20"/>
        </w:rPr>
        <w:t xml:space="preserve"> Id. § 1001(a)(2)(A).</w:t>
      </w:r>
    </w:p>
  </w:footnote>
  <w:footnote w:id="29">
    <w:p>
      <w:pPr>
        <w:pStyle w:val="FootnoteText"/>
      </w:pPr>
      <w:r>
        <w:rPr>
          <w:rStyle w:val="FootnoteReference"/>
          <w:rFonts w:ascii="Garamond" w:hAnsi="Garamond"/>
          <w:sz w:val="20"/>
        </w:rPr>
        <w:footnoteRef/>
      </w:r>
      <w:r>
        <w:rPr>
          <w:rFonts w:ascii="Garamond" w:hAnsi="Garamond"/>
          <w:sz w:val="20"/>
        </w:rPr>
        <w:t xml:space="preserve"> Id. § 1001(a)(2)(B).</w:t>
      </w:r>
    </w:p>
  </w:footnote>
  <w:footnote w:id="30">
    <w:p>
      <w:pPr>
        <w:pStyle w:val="FootnoteText"/>
      </w:pPr>
      <w:r>
        <w:rPr>
          <w:rStyle w:val="FootnoteReference"/>
          <w:rFonts w:ascii="Garamond" w:hAnsi="Garamond"/>
          <w:sz w:val="20"/>
        </w:rPr>
        <w:footnoteRef/>
      </w:r>
      <w:r>
        <w:rPr>
          <w:rFonts w:ascii="Garamond" w:hAnsi="Garamond"/>
          <w:sz w:val="20"/>
        </w:rPr>
        <w:t xml:space="preserve"> Id. § 1001(a)(2)(C)(i)–(ii). The renovate-to-rent analysis, including the conjunctive reading of (C)(i) and (C)(ii), appears in full in Part II, Section VI; the subsection letters are those of the enrolled print.</w:t>
      </w:r>
    </w:p>
  </w:footnote>
  <w:footnote w:id="31">
    <w:p>
      <w:pPr>
        <w:pStyle w:val="FootnoteText"/>
      </w:pPr>
      <w:r>
        <w:rPr>
          <w:rStyle w:val="FootnoteReference"/>
          <w:rFonts w:ascii="Garamond" w:hAnsi="Garamond"/>
          <w:sz w:val="20"/>
        </w:rPr>
        <w:footnoteRef/>
      </w:r>
      <w:r>
        <w:rPr>
          <w:rFonts w:ascii="Garamond" w:hAnsi="Garamond"/>
          <w:sz w:val="20"/>
        </w:rPr>
        <w:t xml:space="preserve"> Id. § 1001(a)(2), (b).</w:t>
      </w:r>
    </w:p>
  </w:footnote>
  <w:footnote w:id="32">
    <w:p>
      <w:pPr>
        <w:pStyle w:val="FootnoteText"/>
      </w:pPr>
      <w:r>
        <w:rPr>
          <w:rStyle w:val="FootnoteReference"/>
          <w:rFonts w:ascii="Garamond" w:hAnsi="Garamond"/>
          <w:sz w:val="20"/>
        </w:rPr>
        <w:footnoteRef/>
      </w:r>
      <w:r>
        <w:rPr>
          <w:rFonts w:ascii="Garamond" w:hAnsi="Garamond"/>
          <w:sz w:val="20"/>
        </w:rPr>
        <w:t xml:space="preserve"> H.B. 2210 / S.B. 2490, 113th Tenn. Gen. Assemb. (2024) (End Hedge Fund Control of Tennessee Homes Act), https://trackbill.com/bill/tennessee-senate-bill-2490/2502819/; S.B. 242 / H.B. 298, 114th Tenn. Gen. Assemb. (2025) (Homes Not Hedge Funds Act), https://www.capitol.tn.gov/Bills/114/Bill/SB0242.pdf. Part II, Section III.B, traces both.</w:t>
      </w:r>
    </w:p>
  </w:footnote>
  <w:footnote w:id="33">
    <w:p>
      <w:pPr>
        <w:pStyle w:val="FootnoteText"/>
      </w:pPr>
      <w:r>
        <w:rPr>
          <w:rStyle w:val="FootnoteReference"/>
          <w:rFonts w:ascii="Garamond" w:hAnsi="Garamond"/>
          <w:sz w:val="20"/>
        </w:rPr>
        <w:footnoteRef/>
      </w:r>
      <w:r>
        <w:rPr>
          <w:rFonts w:ascii="Garamond" w:hAnsi="Garamond"/>
          <w:sz w:val="20"/>
        </w:rPr>
        <w:t xml:space="preserve"> City of Harlem, Ga., Build-to-Rent Community ordinance (defining a build-to-rent community as single-family residences offered for rental only in a professionally managed, amenitized community), https://www.harlemga.org/media/2296.</w:t>
      </w:r>
    </w:p>
  </w:footnote>
  <w:footnote w:id="34">
    <w:p>
      <w:pPr>
        <w:pStyle w:val="FootnoteText"/>
      </w:pPr>
      <w:r>
        <w:rPr>
          <w:rStyle w:val="FootnoteReference"/>
          <w:rFonts w:ascii="Garamond" w:hAnsi="Garamond"/>
          <w:sz w:val="20"/>
        </w:rPr>
        <w:footnoteRef/>
      </w:r>
      <w:r>
        <w:rPr>
          <w:rFonts w:ascii="Garamond" w:hAnsi="Garamond"/>
          <w:sz w:val="20"/>
        </w:rPr>
        <w:t xml:space="preserve"> Census Building Permits Survey, Davidson County, 1-unit series (BPS_NewResidential_Davidson_1990-2025_CLEAN.csv; source https://www2.census.gov/econ/bps/County/).</w:t>
      </w:r>
    </w:p>
  </w:footnote>
  <w:footnote w:id="35">
    <w:p>
      <w:pPr>
        <w:pStyle w:val="FootnoteText"/>
      </w:pPr>
      <w:r>
        <w:rPr>
          <w:rStyle w:val="FootnoteReference"/>
          <w:rFonts w:ascii="Garamond" w:hAnsi="Garamond"/>
          <w:sz w:val="20"/>
        </w:rPr>
        <w:footnoteRef/>
      </w:r>
      <w:r>
        <w:rPr>
          <w:rFonts w:ascii="Garamond" w:hAnsi="Garamond"/>
          <w:sz w:val="20"/>
        </w:rPr>
        <w:t xml:space="preserve"> Eye on Housing, Top Builder Market Share, Nashville-Davidson-Murfreesboro-Franklin, TN (2025), https://eyeonhousing.org/2025/01/top-builder-market-share-nashville/.</w:t>
      </w:r>
    </w:p>
  </w:footnote>
  <w:footnote w:id="36">
    <w:p>
      <w:pPr>
        <w:pStyle w:val="FootnoteText"/>
      </w:pPr>
      <w:r>
        <w:rPr>
          <w:rStyle w:val="FootnoteReference"/>
          <w:rFonts w:ascii="Garamond" w:hAnsi="Garamond"/>
          <w:sz w:val="20"/>
        </w:rPr>
        <w:footnoteRef/>
      </w:r>
      <w:r>
        <w:rPr>
          <w:rFonts w:ascii="Garamond" w:hAnsi="Garamond"/>
          <w:sz w:val="20"/>
        </w:rPr>
        <w:t xml:space="preserve"> Meritage Homes Corp., Meritage Homes Announces Entry into Nashville Market with Acquisition of Phillips Builders (Sept. 4, 2013), https://investors.meritagehomes.com/news-events-presentations/press-releases/detail/141/meritage-homes-announces-entry-into-nashville-market-with; Lennar Corp., Lennar Completes Strategic Combination with CalAtlantic (Feb. 12, 2018), https://investors.lennar.com/press-releases/2018/02-12-2018-203614378; Centex Corp., Current Report (Form 8-K) (Aug. 18, 2009) (completion of the Pulte merger), https://www.sec.gov/Archives/edgar/data/0000018532/000095012309036237/c53076e8vk.htm; A Brand Consolidation Ends Zaring Homes' Checkered History, Builder (Drees acquired Zaring's Cincinnati, Indianapolis, Raleigh, and Nashville divisions in February 2001), https://www.builderonline.com/money/m-a/a-brand-consolidation-ends-zaring-homes-checkered-history_o. Regent Homes of Nashville is an independent local builder and is carried as such in the consolidation table; the Regent Homes that D.R. Horton acquired in 2013 was a Carolinas builder.</w:t>
      </w:r>
    </w:p>
  </w:footnote>
  <w:footnote w:id="37">
    <w:p>
      <w:pPr>
        <w:pStyle w:val="FootnoteText"/>
      </w:pPr>
      <w:r>
        <w:rPr>
          <w:rStyle w:val="FootnoteReference"/>
          <w:rFonts w:ascii="Garamond" w:hAnsi="Garamond"/>
          <w:sz w:val="20"/>
        </w:rPr>
        <w:footnoteRef/>
      </w:r>
      <w:r>
        <w:rPr>
          <w:rFonts w:ascii="Garamond" w:hAnsi="Garamond"/>
          <w:sz w:val="20"/>
        </w:rPr>
        <w:t xml:space="preserve"> Metro Nashville ePermits CasePeople API, https://epermits.nashville.gov/api/permit/1.0/CasePeople (contractor AMH Development Tennessee GC, LLC); Metro Nashville ParcelHistory MapServer Layer 2, https://maps.nashville.gov/arcgis2/rest/services/Parcels/ParcelHistory/MapServer/2 (title entity AMH TN Development, LLC).</w:t>
      </w:r>
    </w:p>
  </w:footnote>
  <w:footnote w:id="38">
    <w:p>
      <w:pPr>
        <w:pStyle w:val="FootnoteText"/>
      </w:pPr>
      <w:r>
        <w:rPr>
          <w:rStyle w:val="FootnoteReference"/>
          <w:rFonts w:ascii="Garamond" w:hAnsi="Garamond"/>
          <w:sz w:val="20"/>
        </w:rPr>
        <w:footnoteRef/>
      </w:r>
      <w:r>
        <w:rPr>
          <w:rFonts w:ascii="Garamond" w:hAnsi="Garamond"/>
          <w:sz w:val="20"/>
        </w:rPr>
        <w:t xml:space="preserve"> Canonical operator rollup, July 22, 2026 (AMH 1,173 framework parcels). Development-entity holdings from the ParcelHistory ownership layer, https://maps.nashville.gov/arcgis2/rest/services/Parcels/ParcelHistory/MapServer/2 (AMH TN Development, LLC 315 parcels ever held; AMH Mountain Springs Development, LLC 189), and the Cadastral Layer 4 queried October 19, 2026, https://maps.nashville.gov/arcgis/rest/services/Cadastral/Cadastral_Layers/MapServer/4/query?where=UPPER(Owner)+LIKE+'%25AMH+TN+DEVELOPMENT%25'&amp;outFields=Owner,LUDesc,ImprAppr&amp;returnGeometry=false&amp;f=json (288 parcels, 278 with improvement value).</w:t>
      </w:r>
    </w:p>
  </w:footnote>
  <w:footnote w:id="39">
    <w:p>
      <w:pPr>
        <w:pStyle w:val="FootnoteText"/>
      </w:pPr>
      <w:r>
        <w:rPr>
          <w:rStyle w:val="FootnoteReference"/>
          <w:rFonts w:ascii="Garamond" w:hAnsi="Garamond"/>
          <w:sz w:val="20"/>
        </w:rPr>
        <w:footnoteRef/>
      </w:r>
      <w:r>
        <w:rPr>
          <w:rFonts w:ascii="Garamond" w:hAnsi="Garamond"/>
          <w:sz w:val="20"/>
        </w:rPr>
        <w:t xml:space="preserve"> Davidson ArcGIS Cadastral MapServer Layer 4, https://maps.nashville.gov/arcgis/rest/services/Cadastral/Cadastral_Layers/MapServer/4 (Davenport Downs 150/150; Mountain Springs Townhouses 147/147; LUDesc and ImprAppr by parcel); build-to-acquisition gap analysis (AMH TN Development 199 parcels and AMH Mountain Springs Development 186 parcels held before construction), method at Cadastral_BTR_Detection_BuildGap_2026-06-15.md.</w:t>
      </w:r>
    </w:p>
  </w:footnote>
  <w:footnote w:id="40">
    <w:p>
      <w:pPr>
        <w:pStyle w:val="FootnoteText"/>
      </w:pPr>
      <w:r>
        <w:rPr>
          <w:rStyle w:val="FootnoteReference"/>
          <w:rFonts w:ascii="Garamond" w:hAnsi="Garamond"/>
          <w:sz w:val="20"/>
        </w:rPr>
        <w:footnoteRef/>
      </w:r>
      <w:r>
        <w:rPr>
          <w:rFonts w:ascii="Garamond" w:hAnsi="Garamond"/>
          <w:sz w:val="20"/>
        </w:rPr>
        <w:t xml:space="preserve"> ePermits CasePeople API, supra note 38 (Ole South Properties as contractor on all 348 Normandy II parcels).</w:t>
      </w:r>
    </w:p>
  </w:footnote>
  <w:footnote w:id="41">
    <w:p>
      <w:pPr>
        <w:pStyle w:val="FootnoteText"/>
      </w:pPr>
      <w:r>
        <w:rPr>
          <w:rStyle w:val="FootnoteReference"/>
          <w:rFonts w:ascii="Garamond" w:hAnsi="Garamond"/>
          <w:sz w:val="20"/>
        </w:rPr>
        <w:footnoteRef/>
      </w:r>
      <w:r>
        <w:rPr>
          <w:rFonts w:ascii="Garamond" w:hAnsi="Garamond"/>
          <w:sz w:val="20"/>
        </w:rPr>
        <w:t xml:space="preserve"> Canonical operator rollup, July 22, 2026 (Normandy Group 302 framework parcels). The Cadastral Layer 4 carried 297 parcels under Normandy II entities on October 19, 2026, 288 with a finished structure; earlier counts of 231, 258, and 284 were taken on other scopes and dates.</w:t>
      </w:r>
    </w:p>
  </w:footnote>
  <w:footnote w:id="42">
    <w:p>
      <w:pPr>
        <w:pStyle w:val="FootnoteText"/>
      </w:pPr>
      <w:r>
        <w:rPr>
          <w:rStyle w:val="FootnoteReference"/>
          <w:rFonts w:ascii="Garamond" w:hAnsi="Garamond"/>
          <w:sz w:val="20"/>
        </w:rPr>
        <w:footnoteRef/>
      </w:r>
      <w:r>
        <w:rPr>
          <w:rFonts w:ascii="Garamond" w:hAnsi="Garamond"/>
          <w:sz w:val="20"/>
        </w:rPr>
        <w:t xml:space="preserve"> Cadastral Layer 4, supra note 40 (Fawn Crossing 254/262).</w:t>
      </w:r>
    </w:p>
  </w:footnote>
  <w:footnote w:id="43">
    <w:p>
      <w:pPr>
        <w:pStyle w:val="FootnoteText"/>
      </w:pPr>
      <w:r>
        <w:rPr>
          <w:rStyle w:val="FootnoteReference"/>
          <w:rFonts w:ascii="Garamond" w:hAnsi="Garamond"/>
          <w:sz w:val="20"/>
        </w:rPr>
        <w:footnoteRef/>
      </w:r>
      <w:r>
        <w:rPr>
          <w:rFonts w:ascii="Garamond" w:hAnsi="Garamond"/>
          <w:sz w:val="20"/>
        </w:rPr>
        <w:t xml:space="preserve"> Id. (Harmon West Meade 0/174); community roster per the July 7–8, 2026 build-to-rent operator master and community crosswalk.</w:t>
      </w:r>
    </w:p>
  </w:footnote>
  <w:footnote w:id="44">
    <w:p>
      <w:pPr>
        <w:pStyle w:val="FootnoteText"/>
      </w:pPr>
      <w:r>
        <w:rPr>
          <w:rStyle w:val="FootnoteReference"/>
          <w:rFonts w:ascii="Garamond" w:hAnsi="Garamond"/>
          <w:sz w:val="20"/>
        </w:rPr>
        <w:footnoteRef/>
      </w:r>
      <w:r>
        <w:rPr>
          <w:rFonts w:ascii="Garamond" w:hAnsi="Garamond"/>
          <w:sz w:val="20"/>
        </w:rPr>
        <w:t xml:space="preserve"> Id.; Plat, Westbrook Pointe, Instrument No. 20251030-0086479 (Oct. 30, 2025), Davidson County Reg. of Deeds; ePermits CasePeople API, supra note 38 (AHVTN, LLC on AHV Communities permits).</w:t>
      </w:r>
    </w:p>
  </w:footnote>
  <w:footnote w:id="45">
    <w:p>
      <w:pPr>
        <w:pStyle w:val="FootnoteText"/>
      </w:pPr>
      <w:r>
        <w:rPr>
          <w:rStyle w:val="FootnoteReference"/>
          <w:rFonts w:ascii="Garamond" w:hAnsi="Garamond"/>
          <w:sz w:val="20"/>
        </w:rPr>
        <w:footnoteRef/>
      </w:r>
      <w:r>
        <w:rPr>
          <w:rFonts w:ascii="Garamond" w:hAnsi="Garamond"/>
          <w:sz w:val="20"/>
        </w:rPr>
        <w:t xml:space="preserve"> ePermits CasePeople API, supra note 38 (Elmington Residential, LLC as contractor and Notice-of-Commencement filer on Carlyle-Elmington, ACPF, and related communities); Special Warranty Deeds, CRP/ECG Charlotte Park, LLC to SFR XII Nashville Owner 1 LP, Instrument Nos. 20210922-0127027, 20211103-0147031, 20211215-0165573 (2021); Deeds, CRP/ECG Old Franklin, LLC to ACPF Spring Path Antioch, LLC, Instrument Nos. 20221028-0116787, 20240125-0004967 (2022–2024), Davidson County Reg. of Deeds.</w:t>
      </w:r>
    </w:p>
  </w:footnote>
  <w:footnote w:id="46">
    <w:p>
      <w:pPr>
        <w:pStyle w:val="FootnoteText"/>
      </w:pPr>
      <w:r>
        <w:rPr>
          <w:rStyle w:val="FootnoteReference"/>
          <w:rFonts w:ascii="Garamond" w:hAnsi="Garamond"/>
          <w:sz w:val="20"/>
        </w:rPr>
        <w:footnoteRef/>
      </w:r>
      <w:r>
        <w:rPr>
          <w:rFonts w:ascii="Garamond" w:hAnsi="Garamond"/>
          <w:sz w:val="20"/>
        </w:rPr>
        <w:t xml:space="preserve"> Cadastral Layer 4, supra note 40 (Zermatt 2/169); community roster, supra note 44.</w:t>
      </w:r>
    </w:p>
  </w:footnote>
  <w:footnote w:id="47">
    <w:p>
      <w:pPr>
        <w:pStyle w:val="FootnoteText"/>
      </w:pPr>
      <w:r>
        <w:rPr>
          <w:rStyle w:val="FootnoteReference"/>
          <w:rFonts w:ascii="Garamond" w:hAnsi="Garamond"/>
          <w:sz w:val="20"/>
        </w:rPr>
        <w:footnoteRef/>
      </w:r>
      <w:r>
        <w:rPr>
          <w:rFonts w:ascii="Garamond" w:hAnsi="Garamond"/>
          <w:sz w:val="20"/>
        </w:rPr>
        <w:t xml:space="preserve"> Cadastral Layer 4, supra note 40 (City Vista 0/181).</w:t>
      </w:r>
    </w:p>
  </w:footnote>
  <w:footnote w:id="48">
    <w:p>
      <w:pPr>
        <w:pStyle w:val="FootnoteText"/>
      </w:pPr>
      <w:r>
        <w:rPr>
          <w:rStyle w:val="FootnoteReference"/>
          <w:rFonts w:ascii="Garamond" w:hAnsi="Garamond"/>
          <w:sz w:val="20"/>
        </w:rPr>
        <w:footnoteRef/>
      </w:r>
      <w:r>
        <w:rPr>
          <w:rFonts w:ascii="Garamond" w:hAnsi="Garamond"/>
          <w:sz w:val="20"/>
        </w:rPr>
        <w:t xml:space="preserve"> Tricon Residential Inc., interim reports (Form 6-K) filed with the U.S. Securities and Exchange Commission, 2021, https://www.sec.gov/cgi-bin/browse-edgar?action=getcompany&amp;company=tricon+residential&amp;type=6-K (Hickory Station and Hillwood Court, 110 homes as of mid-2021, excluded from the single-family rental count until stabilization).</w:t>
      </w:r>
    </w:p>
  </w:footnote>
  <w:footnote w:id="49">
    <w:p>
      <w:pPr>
        <w:pStyle w:val="FootnoteText"/>
      </w:pPr>
      <w:r>
        <w:rPr>
          <w:rStyle w:val="FootnoteReference"/>
          <w:rFonts w:ascii="Garamond" w:hAnsi="Garamond"/>
          <w:sz w:val="20"/>
        </w:rPr>
        <w:footnoteRef/>
      </w:r>
      <w:r>
        <w:rPr>
          <w:rFonts w:ascii="Garamond" w:hAnsi="Garamond"/>
          <w:sz w:val="20"/>
        </w:rPr>
        <w:t xml:space="preserve"> Tricon Capital Acquires 708 Homes in Nashville, REjournals (Dec. 2019), https://rejournals.com/tricon-capital-acquires-708-homes-in-nashville/ (Tricon's TAH-JV1 bought 708 Nashville homes from Invitation Homes for about $210 million; the seller was divesting its Nashville holdings); Invitation Homes, supra note 24 (homebuilder sourcing); Cadastral Layer 4, supra note 40, queried October 19, 2026 (Invitation Homes 7 LP and Invitation Homes 7 Tennessee LP, 10 parcels, all improved); community roster, supra note 44 (Paran Homes at the Orchards and Larkin Springs, 51 lots).</w:t>
      </w:r>
    </w:p>
  </w:footnote>
  <w:footnote w:id="50">
    <w:p>
      <w:pPr>
        <w:pStyle w:val="FootnoteText"/>
      </w:pPr>
      <w:r>
        <w:rPr>
          <w:rStyle w:val="FootnoteReference"/>
          <w:rFonts w:ascii="Garamond" w:hAnsi="Garamond"/>
          <w:sz w:val="20"/>
        </w:rPr>
        <w:footnoteRef/>
      </w:r>
      <w:r>
        <w:rPr>
          <w:rFonts w:ascii="Garamond" w:hAnsi="Garamond"/>
          <w:sz w:val="20"/>
        </w:rPr>
        <w:t xml:space="preserve"> Instrument No. 20251230-0103700, supra note 1.</w:t>
      </w:r>
    </w:p>
  </w:footnote>
  <w:footnote w:id="51">
    <w:p>
      <w:pPr>
        <w:pStyle w:val="FootnoteText"/>
      </w:pPr>
      <w:r>
        <w:rPr>
          <w:rStyle w:val="FootnoteReference"/>
          <w:rFonts w:ascii="Garamond" w:hAnsi="Garamond"/>
          <w:sz w:val="20"/>
        </w:rPr>
        <w:footnoteRef/>
      </w:r>
      <w:r>
        <w:rPr>
          <w:rFonts w:ascii="Garamond" w:hAnsi="Garamond"/>
          <w:sz w:val="20"/>
        </w:rPr>
        <w:t xml:space="preserve"> Tessa Communities, https://tessacommunities.com (TWO Resi Build, a subsidiary of TWO Capital Partners, as general contractor).</w:t>
      </w:r>
    </w:p>
  </w:footnote>
  <w:footnote w:id="52">
    <w:p>
      <w:pPr>
        <w:pStyle w:val="FootnoteText"/>
      </w:pPr>
      <w:r>
        <w:rPr>
          <w:rStyle w:val="FootnoteReference"/>
          <w:rFonts w:ascii="Garamond" w:hAnsi="Garamond"/>
          <w:sz w:val="20"/>
        </w:rPr>
        <w:footnoteRef/>
      </w:r>
      <w:r>
        <w:rPr>
          <w:rFonts w:ascii="Garamond" w:hAnsi="Garamond"/>
          <w:sz w:val="20"/>
        </w:rPr>
        <w:t xml:space="preserve"> Deeds to Ava Madison, LLC, Instrument Nos. DB-20220802-0087653 ($750,000) and DB-20220802-0087654 ($1,100,000) (June 30, 2022); Deed of Trust, Ava Madison, LLC to IH Construction Lender, LLC, Instrument No. 20260410-0029370 ($60,717,222) (Apr. 10, 2026), Davidson County Reg. of Deeds, https://www.davidsonportal.com/gis/file.php?file=202208020087653 and https://www.davidsonportal.com/gis/file.php?file=202208020087654 (the two deeds, both dated June 30, 2022 and recorded Aug. 2, 2022, sum to $1,850,000 in the ParcelHistory ownership layer; an earlier draft's $3,350,000 does not appear in the record); U.S. Sec. &amp; Exch. Comm'n EX-21 subsidiary schedules (Invitation Homes entities under the "IH" designation).</w:t>
      </w:r>
    </w:p>
  </w:footnote>
  <w:footnote w:id="53">
    <w:p>
      <w:pPr>
        <w:pStyle w:val="FootnoteText"/>
      </w:pPr>
      <w:r>
        <w:rPr>
          <w:rStyle w:val="FootnoteReference"/>
          <w:rFonts w:ascii="Garamond" w:hAnsi="Garamond"/>
          <w:sz w:val="20"/>
        </w:rPr>
        <w:footnoteRef/>
      </w:r>
      <w:r>
        <w:rPr>
          <w:rFonts w:ascii="Garamond" w:hAnsi="Garamond"/>
          <w:sz w:val="20"/>
        </w:rPr>
        <w:t xml:space="preserve"> Subordination Agreement among ICM Lot Lender A, LLC, NVR, Inc., and Nashville MODA I, LLC, Instrument No. 20251203-0095984 (Nov. 18, 2025), Davidson County Reg. of Deeds (senior lot loan $18,965,000; NVR lot purchase agreement, 193 lots; NVR deposit $3,343,725).</w:t>
      </w:r>
    </w:p>
  </w:footnote>
  <w:footnote w:id="54">
    <w:p>
      <w:pPr>
        <w:pStyle w:val="FootnoteText"/>
      </w:pPr>
      <w:r>
        <w:rPr>
          <w:rStyle w:val="FootnoteReference"/>
          <w:rFonts w:ascii="Garamond" w:hAnsi="Garamond"/>
          <w:sz w:val="20"/>
        </w:rPr>
        <w:footnoteRef/>
      </w:r>
      <w:r>
        <w:rPr>
          <w:rFonts w:ascii="Garamond" w:hAnsi="Garamond"/>
          <w:sz w:val="20"/>
        </w:rPr>
        <w:t xml:space="preserve"> Master option, KLLB AIV, LLC (City Vista I), Instrument No. 20231012-0079931; option, Millrose Properties Tennessee, LLC (City Vista II), Instrument No. 20260408-0028183; BD Capital, LLC tri-party agreement, Instrument No. 20260106-0000851, Davidson County Reg. of Deeds.</w:t>
      </w:r>
    </w:p>
  </w:footnote>
  <w:footnote w:id="55">
    <w:p>
      <w:pPr>
        <w:pStyle w:val="FootnoteText"/>
      </w:pPr>
      <w:r>
        <w:rPr>
          <w:rStyle w:val="FootnoteReference"/>
          <w:rFonts w:ascii="Garamond" w:hAnsi="Garamond"/>
          <w:sz w:val="20"/>
        </w:rPr>
        <w:footnoteRef/>
      </w:r>
      <w:r>
        <w:rPr>
          <w:rFonts w:ascii="Garamond" w:hAnsi="Garamond"/>
          <w:sz w:val="20"/>
        </w:rPr>
        <w:t xml:space="preserve"> Deeds, ECG 49TN, LLC to SFR XII Nashville Owner 1, LP, Instrument No. 20220616-0069037 ($34,130,983) (2022), and Century Communities of TN, LLC to VB TAH, LLC, Instrument No. 20251230-0103700 ($24,500,000) (Dec. 12, 2025), Davidson County Reg. of Deeds.</w:t>
      </w:r>
    </w:p>
  </w:footnote>
  <w:footnote w:id="56">
    <w:p>
      <w:pPr>
        <w:pStyle w:val="FootnoteText"/>
      </w:pPr>
      <w:r>
        <w:rPr>
          <w:rStyle w:val="FootnoteReference"/>
          <w:rFonts w:ascii="Garamond" w:hAnsi="Garamond"/>
          <w:sz w:val="20"/>
        </w:rPr>
        <w:footnoteRef/>
      </w:r>
      <w:r>
        <w:rPr>
          <w:rFonts w:ascii="Garamond" w:hAnsi="Garamond"/>
          <w:sz w:val="20"/>
        </w:rPr>
        <w:t xml:space="preserve"> Tenn. Const. art. II, § 28, https://law.justia.com/constitution/tennessee/article-ii/section-28/ (residential assessment at 25 percent; industrial and commercial at 40 percent).</w:t>
      </w:r>
    </w:p>
  </w:footnote>
  <w:footnote w:id="57">
    <w:p>
      <w:pPr>
        <w:pStyle w:val="FootnoteText"/>
      </w:pPr>
      <w:r>
        <w:rPr>
          <w:rStyle w:val="FootnoteReference"/>
          <w:rFonts w:ascii="Garamond" w:hAnsi="Garamond"/>
          <w:sz w:val="20"/>
        </w:rPr>
        <w:footnoteRef/>
      </w:r>
      <w:r>
        <w:rPr>
          <w:rFonts w:ascii="Garamond" w:hAnsi="Garamond"/>
          <w:sz w:val="20"/>
        </w:rPr>
        <w:t xml:space="preserve"> Tenn. Code Ann. § 67-5-501(11) (2024), https://law.justia.com/codes/tennessee/title-67/chapter-5/part-5/section-67-5-501/; see also id. § 67-5-501(4) (defining industrial and commercial property).</w:t>
      </w:r>
    </w:p>
  </w:footnote>
  <w:footnote w:id="58">
    <w:p>
      <w:pPr>
        <w:pStyle w:val="FootnoteText"/>
      </w:pPr>
      <w:r>
        <w:rPr>
          <w:rStyle w:val="FootnoteReference"/>
          <w:rFonts w:ascii="Garamond" w:hAnsi="Garamond"/>
          <w:sz w:val="20"/>
        </w:rPr>
        <w:footnoteRef/>
      </w:r>
      <w:r>
        <w:rPr>
          <w:rFonts w:ascii="Garamond" w:hAnsi="Garamond"/>
          <w:sz w:val="20"/>
        </w:rPr>
        <w:t xml:space="preserve"> Spring Hill, L.P. v. State Bd. of Equalization, No. M2001-02683-COA-R3-CV, 2003 WL 23099679, at 17–18 (Tenn. Ct. App. Dec. 31, 2003).</w:t>
      </w:r>
    </w:p>
  </w:footnote>
  <w:footnote w:id="59">
    <w:p>
      <w:pPr>
        <w:pStyle w:val="FootnoteText"/>
      </w:pPr>
      <w:r>
        <w:rPr>
          <w:rStyle w:val="FootnoteReference"/>
          <w:rFonts w:ascii="Garamond" w:hAnsi="Garamond"/>
          <w:sz w:val="20"/>
        </w:rPr>
        <w:footnoteRef/>
      </w:r>
      <w:r>
        <w:rPr>
          <w:rFonts w:ascii="Garamond" w:hAnsi="Garamond"/>
          <w:sz w:val="20"/>
        </w:rPr>
        <w:t xml:space="preserve"> Tenn. Op. Att'y Gen. No. 25-016, at 1–2 (Aug. 25, 2025), https://www.tn.gov/content/dam/tn/attorneygeneral/documents/ops/2025/op25-016.pdf.</w:t>
      </w:r>
    </w:p>
  </w:footnote>
  <w:footnote w:id="60">
    <w:p>
      <w:pPr>
        <w:pStyle w:val="FootnoteText"/>
      </w:pPr>
      <w:r>
        <w:rPr>
          <w:rStyle w:val="FootnoteReference"/>
          <w:rFonts w:ascii="Garamond" w:hAnsi="Garamond"/>
          <w:sz w:val="20"/>
        </w:rPr>
        <w:footnoteRef/>
      </w:r>
      <w:r>
        <w:rPr>
          <w:rFonts w:ascii="Garamond" w:hAnsi="Garamond"/>
          <w:sz w:val="20"/>
        </w:rPr>
        <w:t xml:space="preserve"> Tenn. Op. Att'y Gen. No. 01-147 (Sept. 14, 2001), https://www.tn.gov/content/dam/tn/attorneygeneral/documents/ops/2001/op01-147.pdf (establishing a horizontal property regime under the Horizontal Property Act is not a subdivision of property and requires no regional planning commission approval under the subdivision statutes). The opinion construes the 1963 Act, Tenn. Code Ann. §§ 66-27-101 et seq.; regimes created on or after January 1, 2009 fall under the Tennessee Condominium Act of 2008, §§ 66-27-201 et seq.</w:t>
      </w:r>
    </w:p>
  </w:footnote>
  <w:footnote w:id="61">
    <w:p>
      <w:pPr>
        <w:pStyle w:val="FootnoteText"/>
      </w:pPr>
      <w:r>
        <w:rPr>
          <w:rStyle w:val="FootnoteReference"/>
          <w:rFonts w:ascii="Garamond" w:hAnsi="Garamond"/>
          <w:sz w:val="20"/>
        </w:rPr>
        <w:footnoteRef/>
      </w:r>
      <w:r>
        <w:rPr>
          <w:rFonts w:ascii="Garamond" w:hAnsi="Garamond"/>
          <w:sz w:val="20"/>
        </w:rPr>
        <w:t xml:space="preserve"> The series-level review is organized by question; this Part extracts the construction group. See Part I § 4.B and the anchor papers cited there: James Mills, Raven S. Molloy &amp; Rebecca E. Zarutskie, Large-Scale Buy-to-Rent Investors in the Single-Family Housing Market: The Emergence of a New Asset Class?, Fin. &amp; Econ. Discussion Series No. 2015-084 (2015), https://doi.org/10.17016/FEDS.2015.084; GAO-24-106643, supra note 3.</w:t>
      </w:r>
    </w:p>
  </w:footnote>
  <w:footnote w:id="62">
    <w:p>
      <w:pPr>
        <w:pStyle w:val="FootnoteText"/>
      </w:pPr>
      <w:r>
        <w:rPr>
          <w:rStyle w:val="FootnoteReference"/>
          <w:rFonts w:ascii="Garamond" w:hAnsi="Garamond"/>
          <w:sz w:val="20"/>
        </w:rPr>
        <w:footnoteRef/>
      </w:r>
      <w:r>
        <w:rPr>
          <w:rFonts w:ascii="Garamond" w:hAnsi="Garamond"/>
          <w:sz w:val="20"/>
        </w:rPr>
        <w:t xml:space="preserve"> Goodman &amp; Zinn, supra note 4, at 11.</w:t>
      </w:r>
    </w:p>
  </w:footnote>
  <w:footnote w:id="63">
    <w:p>
      <w:pPr>
        <w:pStyle w:val="FootnoteText"/>
      </w:pPr>
      <w:r>
        <w:rPr>
          <w:rStyle w:val="FootnoteReference"/>
          <w:rFonts w:ascii="Garamond" w:hAnsi="Garamond"/>
          <w:sz w:val="20"/>
        </w:rPr>
        <w:footnoteRef/>
      </w:r>
      <w:r>
        <w:rPr>
          <w:rFonts w:ascii="Garamond" w:hAnsi="Garamond"/>
          <w:sz w:val="20"/>
        </w:rPr>
        <w:t xml:space="preserve"> Methods detail in Section 4; classified permit file of record (June 16, 2026); reconciled share series (July 15, 2026).</w:t>
      </w:r>
    </w:p>
  </w:footnote>
  <w:footnote w:id="64">
    <w:p>
      <w:pPr>
        <w:pStyle w:val="FootnoteText"/>
      </w:pPr>
      <w:r>
        <w:rPr>
          <w:rStyle w:val="FootnoteReference"/>
          <w:rFonts w:ascii="Garamond" w:hAnsi="Garamond"/>
          <w:sz w:val="20"/>
        </w:rPr>
        <w:footnoteRef/>
      </w:r>
      <w:r>
        <w:rPr>
          <w:rFonts w:ascii="Garamond" w:hAnsi="Garamond"/>
          <w:sz w:val="20"/>
        </w:rPr>
        <w:t xml:space="preserve"> Mills, Molloy &amp; Zarutskie, supra note 25; CRS R47332, supra note 2; GAO-24-106643, supra note 3, at 8–16.</w:t>
      </w:r>
    </w:p>
  </w:footnote>
  <w:footnote w:id="65">
    <w:p>
      <w:pPr>
        <w:pStyle w:val="FootnoteText"/>
      </w:pPr>
      <w:r>
        <w:rPr>
          <w:rStyle w:val="FootnoteReference"/>
          <w:rFonts w:ascii="Garamond" w:hAnsi="Garamond"/>
          <w:sz w:val="20"/>
        </w:rPr>
        <w:footnoteRef/>
      </w:r>
      <w:r>
        <w:rPr>
          <w:rFonts w:ascii="Garamond" w:hAnsi="Garamond"/>
          <w:sz w:val="20"/>
        </w:rPr>
        <w:t xml:space="preserve"> GAO-24-106643, supra note 3; Goodman &amp; Zinn, supra note 4, at 5–6.</w:t>
      </w:r>
    </w:p>
  </w:footnote>
  <w:footnote w:id="66">
    <w:p>
      <w:pPr>
        <w:pStyle w:val="FootnoteText"/>
      </w:pPr>
      <w:r>
        <w:rPr>
          <w:rStyle w:val="FootnoteReference"/>
          <w:rFonts w:ascii="Garamond" w:hAnsi="Garamond"/>
          <w:sz w:val="20"/>
        </w:rPr>
        <w:footnoteRef/>
      </w:r>
      <w:r>
        <w:rPr>
          <w:rFonts w:ascii="Garamond" w:hAnsi="Garamond"/>
          <w:sz w:val="20"/>
        </w:rPr>
        <w:t xml:space="preserve"> Dietz, supra note 5; RentCafe, supra note 14.</w:t>
      </w:r>
    </w:p>
  </w:footnote>
  <w:footnote w:id="67">
    <w:p>
      <w:pPr>
        <w:pStyle w:val="FootnoteText"/>
      </w:pPr>
      <w:r>
        <w:rPr>
          <w:rStyle w:val="FootnoteReference"/>
          <w:rFonts w:ascii="Garamond" w:hAnsi="Garamond"/>
          <w:sz w:val="20"/>
        </w:rPr>
        <w:footnoteRef/>
      </w:r>
      <w:r>
        <w:rPr>
          <w:rFonts w:ascii="Garamond" w:hAnsi="Garamond"/>
          <w:sz w:val="20"/>
        </w:rPr>
        <w:t xml:space="preserve"> Lambie-Hanson, Li &amp; Slonkosky, An, and Billings &amp; Soliman, supra note 29; GAO-24-106643, supra note 3 (tenant effects unclear because data are limited and there is no consistent definition); Goodman &amp; Zinn, supra note 4, at 11.</w:t>
      </w:r>
    </w:p>
  </w:footnote>
  <w:footnote w:id="68">
    <w:p>
      <w:pPr>
        <w:pStyle w:val="FootnoteText"/>
      </w:pPr>
      <w:r>
        <w:rPr>
          <w:rStyle w:val="FootnoteReference"/>
          <w:rFonts w:ascii="Garamond" w:hAnsi="Garamond"/>
          <w:sz w:val="20"/>
        </w:rPr>
        <w:footnoteRef/>
      </w:r>
      <w:r>
        <w:rPr>
          <w:rFonts w:ascii="Garamond" w:hAnsi="Garamond"/>
          <w:sz w:val="20"/>
        </w:rPr>
        <w:t xml:space="preserve"> Metro Nashville ePermits API, CARN case type, https://epermits.nashville.gov/api/permit/1.0/Case; Metro Nashville ParcelHistory MapServer Layer 4 (permit history), https://maps.nashville.gov/arcgis2/rest/services/Parcels/ParcelHistory/MapServer/4.</w:t>
      </w:r>
    </w:p>
  </w:footnote>
  <w:footnote w:id="69">
    <w:p>
      <w:pPr>
        <w:pStyle w:val="FootnoteText"/>
      </w:pPr>
      <w:r>
        <w:rPr>
          <w:rStyle w:val="FootnoteReference"/>
          <w:rFonts w:ascii="Garamond" w:hAnsi="Garamond"/>
          <w:sz w:val="20"/>
        </w:rPr>
        <w:footnoteRef/>
      </w:r>
      <w:r>
        <w:rPr>
          <w:rFonts w:ascii="Garamond" w:hAnsi="Garamond"/>
          <w:sz w:val="20"/>
        </w:rPr>
        <w:t xml:space="preserve"> Census Building Permits Survey, supra note 35; the denominator comparison figure documents the two series' relationship (Davidson_Census_BPS_vs_InHouse_Permits.pdf).</w:t>
      </w:r>
    </w:p>
  </w:footnote>
  <w:footnote w:id="70">
    <w:p>
      <w:pPr>
        <w:pStyle w:val="FootnoteText"/>
      </w:pPr>
      <w:r>
        <w:rPr>
          <w:rStyle w:val="FootnoteReference"/>
          <w:rFonts w:ascii="Garamond" w:hAnsi="Garamond"/>
          <w:sz w:val="20"/>
        </w:rPr>
        <w:footnoteRef/>
      </w:r>
      <w:r>
        <w:rPr>
          <w:rFonts w:ascii="Garamond" w:hAnsi="Garamond"/>
          <w:sz w:val="20"/>
        </w:rPr>
        <w:t xml:space="preserve"> ParcelHistory ownership layer, https://maps.nashville.gov/arcgis2/rest/services/Parcels/ParcelHistory/MapServer/2.</w:t>
      </w:r>
    </w:p>
  </w:footnote>
  <w:footnote w:id="71">
    <w:p>
      <w:pPr>
        <w:pStyle w:val="FootnoteText"/>
      </w:pPr>
      <w:r>
        <w:rPr>
          <w:rStyle w:val="FootnoteReference"/>
          <w:rFonts w:ascii="Garamond" w:hAnsi="Garamond"/>
          <w:sz w:val="20"/>
        </w:rPr>
        <w:footnoteRef/>
      </w:r>
      <w:r>
        <w:rPr>
          <w:rFonts w:ascii="Garamond" w:hAnsi="Garamond"/>
          <w:sz w:val="20"/>
        </w:rPr>
        <w:t xml:space="preserve"> Cadastral Layer 4, supra note 40; assessment history, https://maps.nashville.gov/arcgis2/rest/services/Parcels/ParcelHistory/MapServer/6; SEC EDGAR 10-Ks.</w:t>
      </w:r>
    </w:p>
  </w:footnote>
  <w:footnote w:id="72">
    <w:p>
      <w:pPr>
        <w:pStyle w:val="FootnoteText"/>
      </w:pPr>
      <w:r>
        <w:rPr>
          <w:rStyle w:val="FootnoteReference"/>
          <w:rFonts w:ascii="Garamond" w:hAnsi="Garamond"/>
          <w:sz w:val="20"/>
        </w:rPr>
        <w:footnoteRef/>
      </w:r>
      <w:r>
        <w:rPr>
          <w:rFonts w:ascii="Garamond" w:hAnsi="Garamond"/>
          <w:sz w:val="20"/>
        </w:rPr>
        <w:t xml:space="preserve"> Reconciled series and method, July 15, 2026 (BTR_Share_RECONCILED_2026-07-15.csv): permit-to-parcel joins covering 96.0 percent of 2006–2025 permits; owner-of-record as-of joined per parcel from the enriched ownership history (1,641,434 events); operator attribution restricted to the curated operator master. Sanity checks pass: zero strict permits before 2013; the first strict operator is Normandy (2013); AMH Development strict permits begin in 2018 and peak in 2019; Starwood appears only through forward-flow, never strict.</w:t>
      </w:r>
    </w:p>
  </w:footnote>
  <w:footnote w:id="73">
    <w:p>
      <w:pPr>
        <w:pStyle w:val="FootnoteText"/>
      </w:pPr>
      <w:r>
        <w:rPr>
          <w:rStyle w:val="FootnoteReference"/>
          <w:rFonts w:ascii="Garamond" w:hAnsi="Garamond"/>
          <w:sz w:val="20"/>
        </w:rPr>
        <w:footnoteRef/>
      </w:r>
      <w:r>
        <w:rPr>
          <w:rFonts w:ascii="Garamond" w:hAnsi="Garamond"/>
          <w:sz w:val="20"/>
        </w:rPr>
        <w:t xml:space="preserve"> Id. §§ 1, 4 (the superseded figures and why each fails to reproduce; both retired from the paper).</w:t>
      </w:r>
    </w:p>
  </w:footnote>
  <w:footnote w:id="74">
    <w:p>
      <w:pPr>
        <w:pStyle w:val="FootnoteText"/>
      </w:pPr>
      <w:r>
        <w:rPr>
          <w:rStyle w:val="FootnoteReference"/>
          <w:rFonts w:ascii="Garamond" w:hAnsi="Garamond"/>
          <w:sz w:val="20"/>
        </w:rPr>
        <w:footnoteRef/>
      </w:r>
      <w:r>
        <w:rPr>
          <w:rFonts w:ascii="Garamond" w:hAnsi="Garamond"/>
          <w:sz w:val="20"/>
        </w:rPr>
        <w:t xml:space="preserve"> Cadastral_BTR_Detection_BuildGap_2026-06-15.md, reproducing live queries against Cadastral Layer 4, supra note 40; universe MASTER_Current_Parcels_FINAL_2026-05-28.csv.</w:t>
      </w:r>
    </w:p>
  </w:footnote>
  <w:footnote w:id="75">
    <w:p>
      <w:pPr>
        <w:pStyle w:val="FootnoteText"/>
      </w:pPr>
      <w:r>
        <w:rPr>
          <w:rStyle w:val="FootnoteReference"/>
          <w:rFonts w:ascii="Garamond" w:hAnsi="Garamond"/>
          <w:sz w:val="20"/>
        </w:rPr>
        <w:footnoteRef/>
      </w:r>
      <w:r>
        <w:rPr>
          <w:rFonts w:ascii="Garamond" w:hAnsi="Garamond"/>
          <w:sz w:val="20"/>
        </w:rPr>
        <w:t xml:space="preserve"> Author's spatial join of the Subdivision Boundaries layer, https://maps.nashville.gov/arcgis/rest/services/Cadastral/Cadastral_Layers/MapServer/3, institutional parcels, and plat events from ParcelHistory Layer 3; the per-subdivision ownership shares are as of the May 21, 2026 join and are replication files in the online data appendix.</w:t>
      </w:r>
    </w:p>
  </w:footnote>
  <w:footnote w:id="76">
    <w:p>
      <w:pPr>
        <w:pStyle w:val="FootnoteText"/>
      </w:pPr>
      <w:r>
        <w:rPr>
          <w:rStyle w:val="FootnoteReference"/>
          <w:rFonts w:ascii="Garamond" w:hAnsi="Garamond"/>
          <w:sz w:val="20"/>
        </w:rPr>
        <w:footnoteRef/>
      </w:r>
      <w:r>
        <w:rPr>
          <w:rFonts w:ascii="Garamond" w:hAnsi="Garamond"/>
          <w:sz w:val="20"/>
        </w:rPr>
        <w:t xml:space="preserve"> Public-builder share computed July 3, 2026 from the consolidated permit record and the series' builder dictionary (child brand to parent and category): 69,033 permits with a resolved builder, of which national public builders 17,457 (25.3 percent), local builders 43,877 (63.6 percent), regional builders 5,477 (7.9 percent), national private builders 938, non-profits 669, owner-builders 336, and institutional build-to-rent operators 279. The five largest public parents (NVR 6,211; Beazer 4,911; Pulte 2,680; D.R. Horton 2,018; Meritage 1,227) sum to 17,047, 24.7 percent. Consolidation follows the merger record at note 37 (NVR/Ryan Homes; Drees/Zaring; Pulte/Centex; Meritage/Phillips; Lennar/CalAtlantic). An earlier figure of 20.1 percent, computed on a different denominator, is superseded by this file; replication file in the online data appendix.</w:t>
      </w:r>
    </w:p>
  </w:footnote>
  <w:footnote w:id="77">
    <w:p>
      <w:pPr>
        <w:pStyle w:val="FootnoteText"/>
      </w:pPr>
      <w:r>
        <w:rPr>
          <w:rStyle w:val="FootnoteReference"/>
          <w:rFonts w:ascii="Garamond" w:hAnsi="Garamond"/>
          <w:sz w:val="20"/>
        </w:rPr>
        <w:footnoteRef/>
      </w:r>
      <w:r>
        <w:rPr>
          <w:rFonts w:ascii="Garamond" w:hAnsi="Garamond"/>
          <w:sz w:val="20"/>
        </w:rPr>
        <w:t xml:space="preserve"> Assessment class series 1971–2026, ParcelHistory Layer 6, supra note 64; Spring Hill, supra note 59; Tenn. Op. Att'y Gen. No. 25-016, supra note 60.</w:t>
      </w:r>
    </w:p>
  </w:footnote>
  <w:footnote w:id="78">
    <w:p>
      <w:pPr>
        <w:pStyle w:val="FootnoteText"/>
      </w:pPr>
      <w:r>
        <w:rPr>
          <w:rStyle w:val="FootnoteReference"/>
          <w:rFonts w:ascii="Garamond" w:hAnsi="Garamond"/>
          <w:sz w:val="20"/>
        </w:rPr>
        <w:footnoteRef/>
      </w:r>
      <w:r>
        <w:rPr>
          <w:rFonts w:ascii="Garamond" w:hAnsi="Garamond"/>
          <w:sz w:val="20"/>
        </w:rPr>
        <w:t xml:space="preserve"> Reconciled series, supra note 65, § 5 (limitation 1: merchant-built communities under contract to funds do not enter either numerator until the fund's deed records; rerun against a refreshed ownership pull before final publication).</w:t>
      </w:r>
    </w:p>
  </w:footnote>
  <w:footnote w:id="79">
    <w:p>
      <w:pPr>
        <w:pStyle w:val="FootnoteText"/>
      </w:pPr>
      <w:r>
        <w:rPr>
          <w:rStyle w:val="FootnoteReference"/>
          <w:rFonts w:ascii="Garamond" w:hAnsi="Garamond"/>
          <w:sz w:val="20"/>
        </w:rPr>
        <w:footnoteRef/>
      </w:r>
      <w:r>
        <w:rPr>
          <w:rFonts w:ascii="Garamond" w:hAnsi="Garamond"/>
          <w:sz w:val="20"/>
        </w:rPr>
        <w:t xml:space="preserve"> Id. § 5 (limitation 2: 4.0 percent of 2006–2025 permits never matched a parcel key). EGH Land Development's 96 permits of 2025 are excluded from the strict numerator pending classification of EGH as a rental operator; including them would raise the 2025 strict share from 7.27 to 10.8 percent (295 of 2,739).</w:t>
      </w:r>
    </w:p>
  </w:footnote>
  <w:footnote w:id="80">
    <w:p>
      <w:pPr>
        <w:pStyle w:val="FootnoteText"/>
      </w:pPr>
      <w:r>
        <w:rPr>
          <w:rStyle w:val="FootnoteReference"/>
          <w:rFonts w:ascii="Garamond" w:hAnsi="Garamond"/>
          <w:sz w:val="20"/>
        </w:rPr>
        <w:footnoteRef/>
      </w:r>
      <w:r>
        <w:rPr>
          <w:rFonts w:ascii="Garamond" w:hAnsi="Garamond"/>
          <w:sz w:val="20"/>
        </w:rPr>
        <w:t xml:space="preserve"> Cadastral_BTR_Detection_BuildGap_2026-06-15.md, supra note 67.</w:t>
      </w:r>
    </w:p>
  </w:footnote>
  <w:footnote w:id="81">
    <w:p>
      <w:pPr>
        <w:pStyle w:val="FootnoteText"/>
      </w:pPr>
      <w:r>
        <w:rPr>
          <w:rStyle w:val="FootnoteReference"/>
          <w:rFonts w:ascii="Garamond" w:hAnsi="Garamond"/>
          <w:sz w:val="20"/>
        </w:rPr>
        <w:footnoteRef/>
      </w:r>
      <w:r>
        <w:rPr>
          <w:rFonts w:ascii="Garamond" w:hAnsi="Garamond"/>
          <w:sz w:val="20"/>
        </w:rPr>
        <w:t xml:space="preserve"> Reconciled series, supra note 65, with the Census BPS addendum (July 15, 2026): 2025 strict 199 of 2,739 BPS 1-unit permits, 7.27 percent; ePermits validation 199 of 2,768, 7.19 percent. Annual series at Appendix Table III.1.</w:t>
      </w:r>
    </w:p>
  </w:footnote>
  <w:footnote w:id="82">
    <w:p>
      <w:pPr>
        <w:pStyle w:val="FootnoteText"/>
      </w:pPr>
      <w:r>
        <w:rPr>
          <w:rStyle w:val="FootnoteReference"/>
          <w:rFonts w:ascii="Garamond" w:hAnsi="Garamond"/>
          <w:sz w:val="20"/>
        </w:rPr>
        <w:footnoteRef/>
      </w:r>
      <w:r>
        <w:rPr>
          <w:rFonts w:ascii="Garamond" w:hAnsi="Garamond"/>
          <w:sz w:val="20"/>
        </w:rPr>
        <w:t xml:space="preserve"> Id. (pooled 2013–2025 strict 3.63 percent on BPS; 3.68 percent on ePermits; inclusive 4.45 percent); national comparison per Dietz, supra note 5.</w:t>
      </w:r>
    </w:p>
  </w:footnote>
  <w:footnote w:id="83">
    <w:p>
      <w:pPr>
        <w:pStyle w:val="FootnoteText"/>
      </w:pPr>
      <w:r>
        <w:rPr>
          <w:rStyle w:val="FootnoteReference"/>
          <w:rFonts w:ascii="Garamond" w:hAnsi="Garamond"/>
          <w:sz w:val="20"/>
        </w:rPr>
        <w:footnoteRef/>
      </w:r>
      <w:r>
        <w:rPr>
          <w:rFonts w:ascii="Garamond" w:hAnsi="Garamond"/>
          <w:sz w:val="20"/>
        </w:rPr>
        <w:t xml:space="preserve"> Plats_With_Developers spatial join, supra note 68, §§ 2–3 (AMH BTR subdivision table).</w:t>
      </w:r>
    </w:p>
  </w:footnote>
  <w:footnote w:id="84">
    <w:p>
      <w:pPr>
        <w:pStyle w:val="FootnoteText"/>
      </w:pPr>
      <w:r>
        <w:rPr>
          <w:rStyle w:val="FootnoteReference"/>
          <w:rFonts w:ascii="Garamond" w:hAnsi="Garamond"/>
          <w:sz w:val="20"/>
        </w:rPr>
        <w:footnoteRef/>
      </w:r>
      <w:r>
        <w:rPr>
          <w:rFonts w:ascii="Garamond" w:hAnsi="Garamond"/>
          <w:sz w:val="20"/>
        </w:rPr>
        <w:t xml:space="preserve"> Cadastral_BTR_Detection_BuildGap_2026-06-15.md, supra note 67.</w:t>
      </w:r>
    </w:p>
  </w:footnote>
  <w:footnote w:id="85">
    <w:p>
      <w:pPr>
        <w:pStyle w:val="FootnoteText"/>
      </w:pPr>
      <w:r>
        <w:rPr>
          <w:rStyle w:val="FootnoteReference"/>
          <w:rFonts w:ascii="Garamond" w:hAnsi="Garamond"/>
          <w:sz w:val="20"/>
        </w:rPr>
        <w:footnoteRef/>
      </w:r>
      <w:r>
        <w:rPr>
          <w:rFonts w:ascii="Garamond" w:hAnsi="Garamond"/>
          <w:sz w:val="20"/>
        </w:rPr>
        <w:t xml:space="preserve"> Plats_With_Developers spatial join, supra note 68 (64,075 plat-developer rows; 2,307 subdivisions with institutional parcels; Pattern B rankings); operator parcel counts per the canonical rollup, July 22, 2026 (Progress 1,222; Amherst 657).</w:t>
      </w:r>
    </w:p>
  </w:footnote>
  <w:footnote w:id="86">
    <w:p>
      <w:pPr>
        <w:pStyle w:val="FootnoteText"/>
      </w:pPr>
      <w:r>
        <w:rPr>
          <w:rStyle w:val="FootnoteReference"/>
          <w:rFonts w:ascii="Garamond" w:hAnsi="Garamond"/>
          <w:sz w:val="20"/>
        </w:rPr>
        <w:footnoteRef/>
      </w:r>
      <w:r>
        <w:rPr>
          <w:rFonts w:ascii="Garamond" w:hAnsi="Garamond"/>
          <w:sz w:val="20"/>
        </w:rPr>
        <w:t xml:space="preserve"> Canonical operator rollup, July 22, 2026, supra note 42.</w:t>
      </w:r>
    </w:p>
  </w:footnote>
  <w:footnote w:id="87">
    <w:p>
      <w:pPr>
        <w:pStyle w:val="FootnoteText"/>
      </w:pPr>
      <w:r>
        <w:rPr>
          <w:rStyle w:val="FootnoteReference"/>
          <w:rFonts w:ascii="Garamond" w:hAnsi="Garamond"/>
          <w:sz w:val="20"/>
        </w:rPr>
        <w:footnoteRef/>
      </w:r>
      <w:r>
        <w:rPr>
          <w:rFonts w:ascii="Garamond" w:hAnsi="Garamond"/>
          <w:sz w:val="20"/>
        </w:rPr>
        <w:t xml:space="preserve"> Plats_With_Developers spatial join, supra note 68; subdivision narrative outline (May 21, 2026).</w:t>
      </w:r>
    </w:p>
  </w:footnote>
  <w:footnote w:id="88">
    <w:p>
      <w:pPr>
        <w:pStyle w:val="FootnoteText"/>
      </w:pPr>
      <w:r>
        <w:rPr>
          <w:rStyle w:val="FootnoteReference"/>
          <w:rFonts w:ascii="Garamond" w:hAnsi="Garamond"/>
          <w:sz w:val="20"/>
        </w:rPr>
        <w:footnoteRef/>
      </w:r>
      <w:r>
        <w:rPr>
          <w:rFonts w:ascii="Garamond" w:hAnsi="Garamond"/>
          <w:sz w:val="20"/>
        </w:rPr>
        <w:t xml:space="preserve"> Author's four-tier classification of 35,843 institutional builder permits, 1976–2025 (Consolidation_Story_Data_2026-05-21/). On the national consolidation background: Ahluwalia, Baker &amp; Colton, supra note 10; Danielle Nguyen, Home Builder M&amp;A Explodes in 2024, John Burns Rsch. &amp; Consulting (Mar. 1, 2024), https://jbrec.com/insights/home-builder-ma-explodes-in-2024/.</w:t>
      </w:r>
    </w:p>
  </w:footnote>
  <w:footnote w:id="89">
    <w:p>
      <w:pPr>
        <w:pStyle w:val="FootnoteText"/>
      </w:pPr>
      <w:r>
        <w:rPr>
          <w:rStyle w:val="FootnoteReference"/>
          <w:rFonts w:ascii="Garamond" w:hAnsi="Garamond"/>
          <w:sz w:val="20"/>
        </w:rPr>
        <w:footnoteRef/>
      </w:r>
      <w:r>
        <w:rPr>
          <w:rFonts w:ascii="Garamond" w:hAnsi="Garamond"/>
          <w:sz w:val="20"/>
        </w:rPr>
        <w:t xml:space="preserve"> Consolidated builder table, supra note 69.</w:t>
      </w:r>
    </w:p>
  </w:footnote>
  <w:footnote w:id="90">
    <w:p>
      <w:pPr>
        <w:pStyle w:val="FootnoteText"/>
      </w:pPr>
      <w:r>
        <w:rPr>
          <w:rStyle w:val="FootnoteReference"/>
          <w:rFonts w:ascii="Garamond" w:hAnsi="Garamond"/>
          <w:sz w:val="20"/>
        </w:rPr>
        <w:footnoteRef/>
      </w:r>
      <w:r>
        <w:rPr>
          <w:rFonts w:ascii="Garamond" w:hAnsi="Garamond"/>
          <w:sz w:val="20"/>
        </w:rPr>
        <w:t xml:space="preserve"> Subdivisions_Enriched_BFR_Flagged_2026-07-08.geojson (73 of 15,555 subdivisions) and BFR_Subdivision_Lots_Enriched.geojson (1,537 lots, per-lot operator tags, hand-curated); delivery-model taxonomy with per-community owner-builder pairs per BTR_Davidson_Findings_2026-06-08.md.</w:t>
      </w:r>
    </w:p>
  </w:footnote>
  <w:footnote w:id="91">
    <w:p>
      <w:pPr>
        <w:pStyle w:val="FootnoteText"/>
      </w:pPr>
      <w:r>
        <w:rPr>
          <w:rStyle w:val="FootnoteReference"/>
          <w:rFonts w:ascii="Garamond" w:hAnsi="Garamond"/>
          <w:sz w:val="20"/>
        </w:rPr>
        <w:footnoteRef/>
      </w:r>
      <w:r>
        <w:rPr>
          <w:rFonts w:ascii="Garamond" w:hAnsi="Garamond"/>
          <w:sz w:val="20"/>
        </w:rPr>
        <w:t xml:space="preserve"> Bulk-instrument rule outputs, supra note 67 (Porchlight East Hill, 42 homes, $25,016,333, 2024; ACPF Spring Path Antioch, 10 homes, $23,088,000, 2024).</w:t>
      </w:r>
    </w:p>
  </w:footnote>
  <w:footnote w:id="92">
    <w:p>
      <w:pPr>
        <w:pStyle w:val="FootnoteText"/>
      </w:pPr>
      <w:r>
        <w:rPr>
          <w:rStyle w:val="FootnoteReference"/>
          <w:rFonts w:ascii="Garamond" w:hAnsi="Garamond"/>
          <w:sz w:val="20"/>
        </w:rPr>
        <w:footnoteRef/>
      </w:r>
      <w:r>
        <w:rPr>
          <w:rFonts w:ascii="Garamond" w:hAnsi="Garamond"/>
          <w:sz w:val="20"/>
        </w:rPr>
        <w:t xml:space="preserve"> Deeds, supra note 53; Quitclaim Deed (replat into 203 parcels), Instrument No. 20230428-0031530 (recorded Apr. 28, 2023), https://www.davidsonportal.com/gis/file.php?file=202304280031530; Cadastral Layer 4, supra note 40, queried October 19, 2026 (Ava Madison, LLC, 199 parcels, none improved).</w:t>
      </w:r>
    </w:p>
  </w:footnote>
  <w:footnote w:id="93">
    <w:p>
      <w:pPr>
        <w:pStyle w:val="FootnoteText"/>
      </w:pPr>
      <w:r>
        <w:rPr>
          <w:rStyle w:val="FootnoteReference"/>
          <w:rFonts w:ascii="Garamond" w:hAnsi="Garamond"/>
          <w:sz w:val="20"/>
        </w:rPr>
        <w:footnoteRef/>
      </w:r>
      <w:r>
        <w:rPr>
          <w:rFonts w:ascii="Garamond" w:hAnsi="Garamond"/>
          <w:sz w:val="20"/>
        </w:rPr>
        <w:t xml:space="preserve"> Cadastral Layer 4, supra note 40 (LUDesc and ImprAppr by parcel; approximately 960 built of the mapped parcels; more than 2,200 vacant platted lots).</w:t>
      </w:r>
    </w:p>
  </w:footnote>
  <w:footnote w:id="94">
    <w:p>
      <w:pPr>
        <w:pStyle w:val="FootnoteText"/>
      </w:pPr>
      <w:r>
        <w:rPr>
          <w:rStyle w:val="FootnoteReference"/>
          <w:rFonts w:ascii="Garamond" w:hAnsi="Garamond"/>
          <w:sz w:val="20"/>
        </w:rPr>
        <w:footnoteRef/>
      </w:r>
      <w:r>
        <w:rPr>
          <w:rFonts w:ascii="Garamond" w:hAnsi="Garamond"/>
          <w:sz w:val="20"/>
        </w:rPr>
        <w:t xml:space="preserve"> Id. (AMH completed communities in ZIP 37013; Normandy Fawn Crossing and Timber Trails).</w:t>
      </w:r>
    </w:p>
  </w:footnote>
  <w:footnote w:id="95">
    <w:p>
      <w:pPr>
        <w:pStyle w:val="FootnoteText"/>
      </w:pPr>
      <w:r>
        <w:rPr>
          <w:rStyle w:val="FootnoteReference"/>
          <w:rFonts w:ascii="Garamond" w:hAnsi="Garamond"/>
          <w:sz w:val="20"/>
        </w:rPr>
        <w:footnoteRef/>
      </w:r>
      <w:r>
        <w:rPr>
          <w:rFonts w:ascii="Garamond" w:hAnsi="Garamond"/>
          <w:sz w:val="20"/>
        </w:rPr>
        <w:t xml:space="preserve"> Author's join of the June 19, 2026 operator-level parcel classification to the 2020 to 2024 American Community Survey tract profiles, https://api.census.gov/data/2024/acs/acs5; Appendix Table III.6. The classification covers the named national operators' parcels (3,494), of which 618 are classed as built under the operator and 108 as pipeline.</w:t>
      </w:r>
    </w:p>
  </w:footnote>
  <w:footnote w:id="96">
    <w:p>
      <w:pPr>
        <w:pStyle w:val="FootnoteText"/>
      </w:pPr>
      <w:r>
        <w:rPr>
          <w:rStyle w:val="FootnoteReference"/>
          <w:rFonts w:ascii="Garamond" w:hAnsi="Garamond"/>
          <w:sz w:val="20"/>
        </w:rPr>
        <w:footnoteRef/>
      </w:r>
      <w:r>
        <w:rPr>
          <w:rFonts w:ascii="Garamond" w:hAnsi="Garamond"/>
          <w:sz w:val="20"/>
        </w:rPr>
        <w:t xml:space="preserve"> GEOJSON_GROUNDED_Rollup_2026-07-14.csv (curated versus framework parcel counts per operator, July 14, 2026).</w:t>
      </w:r>
    </w:p>
  </w:footnote>
  <w:footnote w:id="97">
    <w:p>
      <w:pPr>
        <w:pStyle w:val="FootnoteText"/>
      </w:pPr>
      <w:r>
        <w:rPr>
          <w:rStyle w:val="FootnoteReference"/>
          <w:rFonts w:ascii="Garamond" w:hAnsi="Garamond"/>
          <w:sz w:val="20"/>
        </w:rPr>
        <w:footnoteRef/>
      </w:r>
      <w:r>
        <w:rPr>
          <w:rFonts w:ascii="Garamond" w:hAnsi="Garamond"/>
          <w:sz w:val="20"/>
        </w:rPr>
        <w:t xml:space="preserve"> Author's residential-to-commercial transition analysis of the assessment class series 1971–2026, ParcelHistory Layer 6, supra note 64; tables at RtoC_ClassFlips_ByOperator_2026-07-14.csv; legal analysis in Section 3.C (Spring Hill, supra note 59; Tenn. Op. Att'y Gen. No. 25-016, supra note 60).</w:t>
      </w:r>
    </w:p>
  </w:footnote>
  <w:footnote w:id="98">
    <w:p>
      <w:pPr>
        <w:pStyle w:val="FootnoteText"/>
      </w:pPr>
      <w:r>
        <w:rPr>
          <w:rStyle w:val="FootnoteReference"/>
          <w:rFonts w:ascii="Garamond" w:hAnsi="Garamond"/>
          <w:sz w:val="20"/>
        </w:rPr>
        <w:footnoteRef/>
      </w:r>
      <w:r>
        <w:rPr>
          <w:rFonts w:ascii="Garamond" w:hAnsi="Garamond"/>
          <w:sz w:val="20"/>
        </w:rPr>
        <w:t xml:space="preserve"> Id. Added assessed value equals 2025 total appraised value times the 15-point ratio gap (40 percent less 25 percent). Annual tax effect at the rates the Metro Council adopted after the 2025 reappraisal, $2.814 per $100 of assessed value in the Urban Services District and $2.782 in the General Services District: Deadline Date Looms for Property Tax Appeal, Nashville Post, https://nashvillepost.com/politics/metro/deadline-date-looms-for-property-tax-appeal/article_c4faf264-a483-4cbd-9f1d-858a8ed2eb44.html. $4.79 million times 2.814 percent is about $134,800.</w:t>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aramond" w:hAnsi="Garamond" w:eastAsia="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Garamond" w:hAnsi="Garamond" w:eastAsia="Garamond"/>
      <w:b/>
      <w:bCs/>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Garamond" w:hAnsi="Garamond" w:eastAsia="Garamond"/>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Garamond" w:hAnsi="Garamond" w:eastAsia="Garamond"/>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Garamond" w:hAnsi="Garamond" w:eastAsia="Garamond"/>
      <w:b/>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