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28"/>
        </w:rPr>
        <w:t>WHO RENTS NASHVILLE?</w:t>
      </w:r>
    </w:p>
    <w:p>
      <w:pPr>
        <w:jc w:val="center"/>
      </w:pPr>
      <w:r>
        <w:rPr>
          <w:rFonts w:ascii="Garamond" w:hAnsi="Garamond"/>
          <w:i/>
          <w:sz w:val="24"/>
        </w:rPr>
        <w:t>Institutional Single-Family Landlords, the Registration Gap, and the Renter Burden in Davidson County</w:t>
      </w:r>
    </w:p>
    <w:p>
      <w:pPr>
        <w:jc w:val="center"/>
      </w:pPr>
      <w:r>
        <w:rPr>
          <w:rFonts w:ascii="Garamond" w:hAnsi="Garamond"/>
          <w:i/>
          <w:sz w:val="22"/>
        </w:rPr>
        <w:t>By Natalie Baldacci</w:t>
      </w:r>
    </w:p>
    <w:p>
      <w:pPr>
        <w:spacing w:line="480" w:lineRule="auto" w:before="0" w:after="0"/>
        <w:ind w:firstLine="720"/>
      </w:pPr>
      <w:r>
        <w:rPr>
          <w:rFonts w:ascii="Garamond" w:hAnsi="Garamond"/>
          <w:i/>
        </w:rPr>
        <w:t>Part II of the series</w:t>
      </w:r>
      <w:r>
        <w:rPr>
          <w:rFonts w:ascii="Garamond" w:hAnsi="Garamond"/>
        </w:rPr>
        <w:t xml:space="preserve"> Who Owns Nashville? Wall Street's Quiet Takeover of a City's Housing Market</w:t>
      </w:r>
    </w:p>
    <w:p>
      <w:pPr>
        <w:spacing w:line="240" w:lineRule="auto" w:before="0" w:after="240"/>
        <w:jc w:val="both"/>
      </w:pPr>
      <w:r>
        <w:rPr>
          <w:rFonts w:ascii="Garamond" w:hAnsi="Garamond"/>
          <w:i/>
        </w:rPr>
        <w:t>A Delaware company called SFR JV-1 2020-1 Borrower, LLC owns the house at 1008 Hickory Bark Court, and until Metro Nashville cited it in 2025 the public record said nothing more. This Article follows the renters who live inside Nashville's institutional single-family stock. It shows that Tennessee's registration statute commands each landlord to list every rental unit by street address, that half of the large operators in Davidson County listed most of their homes only years after buying them, and that the other half, led by the county's second-largest holder, have listed almost none. It shows that institutional parcels concentrate in the county's most vulnerable neighborhoods, that eviction volume follows that concentration, and that the rents these operators now charge have moved from a discount to a premium over the local landlords they displaced. It shows, finally, that the one exception the 21st Century ROAD to Housing Act built for distressed housing, the renovate-to-rent pathway, reaches the named operators in Nashville almost never. The registration regime works for the market it was built to govern and fails for the market that now dominates the county's rental stock.</w:t>
      </w:r>
    </w:p>
    <w:p>
      <w:pPr>
        <w:spacing w:line="240" w:lineRule="auto" w:after="0"/>
      </w:pPr>
      <w:r>
        <w:rPr>
          <w:rFonts w:ascii="Garamond" w:hAnsi="Garamond"/>
          <w:sz w:val="22"/>
        </w:rPr>
        <w:t>INTRODUCTION</w:t>
      </w:r>
    </w:p>
    <w:p>
      <w:pPr>
        <w:spacing w:line="240" w:lineRule="auto" w:after="0"/>
      </w:pPr>
      <w:r>
        <w:rPr>
          <w:rFonts w:ascii="Garamond" w:hAnsi="Garamond"/>
          <w:sz w:val="22"/>
        </w:rPr>
        <w:t>I. THE SUBJECTS OF THE BAN: THE INSTITUTIONAL SINGLE-FAMILY RENTAL MARKET</w:t>
      </w:r>
    </w:p>
    <w:p>
      <w:pPr>
        <w:spacing w:line="240" w:lineRule="auto" w:after="0"/>
        <w:ind w:left="720"/>
      </w:pPr>
      <w:r>
        <w:rPr>
          <w:rFonts w:ascii="Garamond" w:hAnsi="Garamond"/>
          <w:sz w:val="22"/>
        </w:rPr>
        <w:t>A. The Emergence of Institutional Single-Family Rental Ownership</w:t>
      </w:r>
    </w:p>
    <w:p>
      <w:pPr>
        <w:spacing w:line="240" w:lineRule="auto" w:after="0"/>
        <w:ind w:left="720"/>
      </w:pPr>
      <w:r>
        <w:rPr>
          <w:rFonts w:ascii="Garamond" w:hAnsi="Garamond"/>
          <w:sz w:val="22"/>
        </w:rPr>
        <w:t>B. Contested Impacts on Local Housing Markets</w:t>
      </w:r>
    </w:p>
    <w:p>
      <w:pPr>
        <w:spacing w:line="240" w:lineRule="auto" w:after="0"/>
        <w:ind w:left="720"/>
      </w:pPr>
      <w:r>
        <w:rPr>
          <w:rFonts w:ascii="Garamond" w:hAnsi="Garamond"/>
          <w:sz w:val="22"/>
        </w:rPr>
        <w:t>C. State Responses and Ongoing Enforcement</w:t>
      </w:r>
    </w:p>
    <w:p>
      <w:pPr>
        <w:spacing w:line="240" w:lineRule="auto" w:after="0"/>
      </w:pPr>
      <w:r>
        <w:rPr>
          <w:rFonts w:ascii="Garamond" w:hAnsi="Garamond"/>
          <w:sz w:val="22"/>
        </w:rPr>
        <w:t>II. THE BAN: THE 21ST CENTURY ROAD TO HOUSING ACT</w:t>
      </w:r>
    </w:p>
    <w:p>
      <w:pPr>
        <w:spacing w:line="240" w:lineRule="auto" w:after="0"/>
        <w:ind w:left="720"/>
      </w:pPr>
      <w:r>
        <w:rPr>
          <w:rFonts w:ascii="Garamond" w:hAnsi="Garamond"/>
          <w:sz w:val="22"/>
        </w:rPr>
        <w:t>A. The Prohibition</w:t>
      </w:r>
    </w:p>
    <w:p>
      <w:pPr>
        <w:spacing w:line="240" w:lineRule="auto" w:after="0"/>
        <w:ind w:left="720"/>
      </w:pPr>
      <w:r>
        <w:rPr>
          <w:rFonts w:ascii="Garamond" w:hAnsi="Garamond"/>
          <w:sz w:val="22"/>
        </w:rPr>
        <w:t>B. What Is a Single-Family Home?</w:t>
      </w:r>
    </w:p>
    <w:p>
      <w:pPr>
        <w:spacing w:line="240" w:lineRule="auto" w:after="0"/>
        <w:ind w:left="720"/>
      </w:pPr>
      <w:r>
        <w:rPr>
          <w:rFonts w:ascii="Garamond" w:hAnsi="Garamond"/>
          <w:sz w:val="22"/>
        </w:rPr>
        <w:t>C. What Is an Institutional Investor?</w:t>
      </w:r>
    </w:p>
    <w:p>
      <w:pPr>
        <w:spacing w:line="240" w:lineRule="auto" w:after="0"/>
      </w:pPr>
      <w:r>
        <w:rPr>
          <w:rFonts w:ascii="Garamond" w:hAnsi="Garamond"/>
          <w:sz w:val="22"/>
        </w:rPr>
        <w:t>III. WHY NASHVILLE AS A CASE STUDY?</w:t>
      </w:r>
    </w:p>
    <w:p>
      <w:pPr>
        <w:spacing w:line="240" w:lineRule="auto" w:after="0"/>
        <w:ind w:left="720"/>
      </w:pPr>
      <w:r>
        <w:rPr>
          <w:rFonts w:ascii="Garamond" w:hAnsi="Garamond"/>
          <w:sz w:val="22"/>
        </w:rPr>
        <w:t>A. The Unorthodox Rise of Institutional Single-Family Investors Post-Covid</w:t>
      </w:r>
    </w:p>
    <w:p>
      <w:pPr>
        <w:spacing w:line="240" w:lineRule="auto" w:after="0"/>
        <w:ind w:left="720"/>
      </w:pPr>
      <w:r>
        <w:rPr>
          <w:rFonts w:ascii="Garamond" w:hAnsi="Garamond"/>
          <w:sz w:val="22"/>
        </w:rPr>
        <w:t>B. Issues and Responses in Nashville</w:t>
      </w:r>
    </w:p>
    <w:p>
      <w:pPr>
        <w:spacing w:line="240" w:lineRule="auto" w:after="0"/>
        <w:ind w:left="720"/>
      </w:pPr>
      <w:r>
        <w:rPr>
          <w:rFonts w:ascii="Garamond" w:hAnsi="Garamond"/>
          <w:sz w:val="22"/>
        </w:rPr>
        <w:t>C. Nashville's Current Housing Paradox</w:t>
      </w:r>
    </w:p>
    <w:p>
      <w:pPr>
        <w:spacing w:line="240" w:lineRule="auto" w:after="0"/>
        <w:ind w:left="720"/>
      </w:pPr>
      <w:r>
        <w:rPr>
          <w:rFonts w:ascii="Garamond" w:hAnsi="Garamond"/>
          <w:sz w:val="22"/>
        </w:rPr>
        <w:t>D. The Tennessee Landlord Registration Act and Metro Nashville</w:t>
      </w:r>
    </w:p>
    <w:p>
      <w:pPr>
        <w:spacing w:line="240" w:lineRule="auto" w:after="0"/>
      </w:pPr>
      <w:r>
        <w:rPr>
          <w:rFonts w:ascii="Garamond" w:hAnsi="Garamond"/>
          <w:sz w:val="22"/>
        </w:rPr>
        <w:t>IV. METHODS, DATASETS, AND DEFINITIONS</w:t>
      </w:r>
    </w:p>
    <w:p>
      <w:pPr>
        <w:spacing w:line="240" w:lineRule="auto" w:after="0"/>
      </w:pPr>
      <w:r>
        <w:rPr>
          <w:rFonts w:ascii="Garamond" w:hAnsi="Garamond"/>
          <w:sz w:val="22"/>
        </w:rPr>
        <w:t>V. FINDINGS</w:t>
      </w:r>
    </w:p>
    <w:p>
      <w:pPr>
        <w:spacing w:line="240" w:lineRule="auto" w:after="0"/>
      </w:pPr>
      <w:r>
        <w:rPr>
          <w:rFonts w:ascii="Garamond" w:hAnsi="Garamond"/>
          <w:sz w:val="22"/>
        </w:rPr>
        <w:t>VI. THE RENOVATE-TO-RENT EXCEPTION</w:t>
      </w:r>
    </w:p>
    <w:p>
      <w:pPr>
        <w:spacing w:line="240" w:lineRule="auto" w:after="0"/>
      </w:pPr>
      <w:r>
        <w:rPr>
          <w:rFonts w:ascii="Garamond" w:hAnsi="Garamond"/>
          <w:sz w:val="22"/>
        </w:rPr>
        <w:t>CONCLUSION</w:t>
      </w:r>
    </w:p>
    <w:p>
      <w:pPr>
        <w:spacing w:line="240" w:lineRule="auto" w:after="0"/>
      </w:pPr>
      <w:r>
        <w:rPr>
          <w:rFonts w:ascii="Garamond" w:hAnsi="Garamond"/>
          <w:sz w:val="22"/>
        </w:rPr>
        <w:t>APPENDIX A: PER-PARCEL REGISTRATION COMPLIANCE BY BRAND</w:t>
      </w:r>
    </w:p>
    <w:p>
      <w:pPr>
        <w:spacing w:line="240" w:lineRule="auto" w:after="0"/>
      </w:pPr>
      <w:r>
        <w:rPr>
          <w:rFonts w:ascii="Garamond" w:hAnsi="Garamond"/>
          <w:sz w:val="22"/>
        </w:rPr>
        <w:t>APPENDIX B: INSTITUTIONAL RENT PREMIUM</w:t>
      </w:r>
    </w:p>
    <w:p>
      <w:pPr>
        <w:spacing w:line="240" w:lineRule="auto" w:after="0"/>
      </w:pPr>
      <w:r>
        <w:rPr>
          <w:rFonts w:ascii="Garamond" w:hAnsi="Garamond"/>
          <w:sz w:val="22"/>
        </w:rPr>
        <w:t>APPENDIX C: RENOVATE-TO-RENT SPENDING</w:t>
      </w:r>
    </w:p>
    <w:p>
      <w:pPr>
        <w:spacing w:line="480" w:lineRule="auto" w:before="0" w:after="0"/>
        <w:ind w:firstLine="720"/>
      </w:pPr>
      <w:r>
        <w:rPr>
          <w:rFonts w:ascii="Garamond" w:hAnsi="Garamond"/>
        </w:rPr>
        <w:t>APPENDIX D: METHODOLOGY</w:t>
      </w:r>
    </w:p>
    <w:p>
      <w:pPr>
        <w:pStyle w:val="Heading1"/>
        <w:spacing w:before="360"/>
      </w:pPr>
      <w:r>
        <w:t>INTRODUCTION</w:t>
      </w:r>
    </w:p>
    <w:p>
      <w:pPr>
        <w:spacing w:line="480" w:lineRule="auto" w:before="0" w:after="0"/>
        <w:ind w:firstLine="720"/>
      </w:pPr>
      <w:r>
        <w:rPr>
          <w:rFonts w:ascii="Garamond" w:hAnsi="Garamond"/>
        </w:rPr>
        <w:t>In an era defined by deep political polarization, Congress rarely speaks with one voice. Yet recently, lawmakers across the aisle have acknowledged that the dream of homeownership has slipped beyond the reach of a generation of Americans.</w:t>
      </w:r>
      <w:r>
        <w:rPr>
          <w:rStyle w:val="FootnoteReference"/>
        </w:rPr>
        <w:footnoteReference w:id="1"/>
      </w:r>
      <w:r>
        <w:rPr>
          <w:rFonts w:ascii="Garamond" w:hAnsi="Garamond"/>
        </w:rPr>
        <w:t xml:space="preserve"> Home prices outran incomes for more than a decade, and homeownership, long the principal path to middle-class wealth, moved out of reach for many first-time buyers.</w:t>
      </w:r>
      <w:r>
        <w:rPr>
          <w:rStyle w:val="FootnoteReference"/>
        </w:rPr>
        <w:footnoteReference w:id="2"/>
      </w:r>
      <w:r>
        <w:rPr>
          <w:rFonts w:ascii="Garamond" w:hAnsi="Garamond"/>
        </w:rPr>
        <w:t xml:space="preserve"> By 2023, nearly half of American renters spent more than thirty percent of their income on housing, and roughly one in three households of every tenure carried a housing cost burden.</w:t>
      </w:r>
      <w:r>
        <w:rPr>
          <w:rStyle w:val="FootnoteReference"/>
        </w:rPr>
        <w:footnoteReference w:id="3"/>
      </w:r>
      <w:r>
        <w:rPr>
          <w:rFonts w:ascii="Garamond" w:hAnsi="Garamond"/>
        </w:rPr>
        <w:t xml:space="preserve"> The households priced out of homeownership do not disappear. They become renters, and a growing share rent from institutional landlords backed by private equity and other Wall Street firms that bought foreclosed homes in bulk after the 2008 crisis and now hold them at scale.</w:t>
      </w:r>
      <w:r>
        <w:rPr>
          <w:rStyle w:val="FootnoteReference"/>
        </w:rPr>
        <w:footnoteReference w:id="4"/>
      </w:r>
      <w:r>
        <w:rPr>
          <w:rStyle w:val="FootnoteReference"/>
        </w:rPr>
        <w:footnoteReference w:id="5"/>
      </w:r>
    </w:p>
    <w:p>
      <w:pPr>
        <w:spacing w:line="480" w:lineRule="auto" w:before="0" w:after="0"/>
        <w:ind w:firstLine="720"/>
      </w:pPr>
      <w:r>
        <w:rPr>
          <w:rFonts w:ascii="Garamond" w:hAnsi="Garamond"/>
        </w:rPr>
        <w:t>The federal response began in 2022, when House Democrats introduced the Stop Wall Street Landlords Act to curb institutional ownership of single-family homes.</w:t>
      </w:r>
      <w:r>
        <w:rPr>
          <w:rStyle w:val="FootnoteReference"/>
        </w:rPr>
        <w:footnoteReference w:id="6"/>
      </w:r>
      <w:r>
        <w:rPr>
          <w:rFonts w:ascii="Garamond" w:hAnsi="Garamond"/>
        </w:rPr>
        <w:t xml:space="preserve"> Many believed the effort died when the party in office changed. Instead, in January 2026, and to the surprise of many, President Trump called for barring large institutional investors from acquiring more single-family homes. "People live in homes, not corporations," he declared.</w:t>
      </w:r>
      <w:r>
        <w:rPr>
          <w:rStyle w:val="FootnoteReference"/>
        </w:rPr>
        <w:footnoteReference w:id="7"/>
      </w:r>
      <w:r>
        <w:rPr>
          <w:rStyle w:val="FootnoteReference"/>
        </w:rPr>
        <w:footnoteReference w:id="8"/>
      </w:r>
      <w:r>
        <w:rPr>
          <w:rFonts w:ascii="Garamond" w:hAnsi="Garamond"/>
        </w:rPr>
        <w:t xml:space="preserve"> In one of the decade's few areas of bipartisan agreement, lawmakers converged on a shared goal: housing should serve American families, not Wall Street investors.</w:t>
      </w:r>
      <w:r>
        <w:rPr>
          <w:rStyle w:val="FootnoteReference"/>
        </w:rPr>
        <w:footnoteReference w:id="9"/>
      </w:r>
      <w:r>
        <w:rPr>
          <w:rFonts w:ascii="Garamond" w:hAnsi="Garamond"/>
        </w:rPr>
        <w:t xml:space="preserve"> Congress soon followed with the 21st Century ROAD to Housing Act, the most significant federal housing legislation in decades.</w:t>
      </w:r>
      <w:r>
        <w:rPr>
          <w:rStyle w:val="FootnoteReference"/>
        </w:rPr>
        <w:footnoteReference w:id="10"/>
      </w:r>
    </w:p>
    <w:p>
      <w:pPr>
        <w:spacing w:line="480" w:lineRule="auto" w:before="0" w:after="0"/>
        <w:ind w:firstLine="720"/>
      </w:pPr>
      <w:r>
        <w:rPr>
          <w:rFonts w:ascii="Garamond" w:hAnsi="Garamond"/>
        </w:rPr>
        <w:t>The Act governs the next purchase. It does not reach the renters already inside the institutional stock, and it does not answer a prior question: whether the local regime built to govern these landlords can identify them. The Government Accountability Office reported to Congress in March 2026 that publicly available data on the number and share of homes institutions own are lacking.</w:t>
      </w:r>
      <w:r>
        <w:rPr>
          <w:rStyle w:val="FootnoteReference"/>
        </w:rPr>
        <w:footnoteReference w:id="11"/>
      </w:r>
      <w:r>
        <w:rPr>
          <w:rFonts w:ascii="Garamond" w:hAnsi="Garamond"/>
        </w:rPr>
        <w:t xml:space="preserve"> A ban on future buying does nothing for a tenant who cannot name the company that owns her home.</w:t>
      </w:r>
    </w:p>
    <w:p>
      <w:pPr>
        <w:spacing w:line="480" w:lineRule="auto" w:before="0" w:after="0"/>
        <w:ind w:firstLine="720"/>
      </w:pPr>
      <w:r>
        <w:rPr>
          <w:rFonts w:ascii="Garamond" w:hAnsi="Garamond"/>
        </w:rPr>
        <w:t>Nashville shows the gap on the ground. By 2022, institutional investors owned 12,573 single-family properties across the metropolitan area, and mega investors holding more than 1,000 homes controlled 10,560 of them.</w:t>
      </w:r>
      <w:r>
        <w:rPr>
          <w:rStyle w:val="FootnoteReference"/>
        </w:rPr>
        <w:footnoteReference w:id="12"/>
      </w:r>
      <w:r>
        <w:rPr>
          <w:rFonts w:ascii="Garamond" w:hAnsi="Garamond"/>
        </w:rPr>
        <w:t xml:space="preserve"> Each operator typically holds its homes through Delaware special-purpose entities named for a securitization vintage rather than the operating brand. A tenant, a neighbor, or a code inspector reading the tax roll sees the entity, not the operator behind it.</w:t>
      </w:r>
    </w:p>
    <w:p>
      <w:pPr>
        <w:spacing w:line="480" w:lineRule="auto" w:before="0" w:after="0"/>
        <w:ind w:firstLine="720"/>
      </w:pPr>
      <w:r>
        <w:rPr>
          <w:rFonts w:ascii="Garamond" w:hAnsi="Garamond"/>
        </w:rPr>
        <w:t>In Davidson County, that failure appears on the code docket. In January 2025, Metro Nashville opened a landlord-registration violation case against SFR JV-1 2020-1 Borrower, LLC, a Tricon Residential securitization entity, for failing to register 1008 Hickory Bark Court, a home it had held since 2020, and closed the case that April only after the operator registered the parcel.</w:t>
      </w:r>
      <w:r>
        <w:rPr>
          <w:rStyle w:val="FootnoteReference"/>
        </w:rPr>
        <w:footnoteReference w:id="13"/>
      </w:r>
      <w:r>
        <w:rPr>
          <w:rFonts w:ascii="Garamond" w:hAnsi="Garamond"/>
        </w:rPr>
        <w:t xml:space="preserve"> The city has issued 2,300 landlord-registration violations since 2008, and sixteen of them name a large institutional investor, in a county where roughly a quarter of the likely single-family rental stock carries a current registration.</w:t>
      </w:r>
      <w:r>
        <w:rPr>
          <w:rStyle w:val="FootnoteReference"/>
        </w:rPr>
        <w:footnoteReference w:id="14"/>
      </w:r>
      <w:r>
        <w:rPr>
          <w:rFonts w:ascii="Garamond" w:hAnsi="Garamond"/>
        </w:rPr>
        <w:t xml:space="preserve"> The failure is not one of authority but of enforcement. Tennessee requires each landlord to register every dwelling unit by street address.</w:t>
      </w:r>
      <w:r>
        <w:rPr>
          <w:rStyle w:val="FootnoteReference"/>
        </w:rPr>
        <w:footnoteReference w:id="15"/>
      </w:r>
      <w:r>
        <w:rPr>
          <w:rFonts w:ascii="Garamond" w:hAnsi="Garamond"/>
        </w:rPr>
        <w:t xml:space="preserve"> An operator that files one registration for its whole portfolio identifies itself and enumerates nothing. Enforced as written, the statute would make every institutional parcel and its responsible owner locatable on the public record.</w:t>
      </w:r>
    </w:p>
    <w:p>
      <w:pPr>
        <w:spacing w:line="480" w:lineRule="auto" w:before="0" w:after="0"/>
        <w:ind w:firstLine="720"/>
      </w:pPr>
      <w:r>
        <w:rPr>
          <w:rFonts w:ascii="Garamond" w:hAnsi="Garamond"/>
        </w:rPr>
        <w:t>This Article measures institutional single-family ownership in Davidson County against the registration duty that governs it. It joins parcel-level ownership from the county tax roll to the ePermits registration record, the eviction docket, and census geography, and it resolves shell entities to their parent operators through securities filings. Two Nashville studies precede it. Chilton and colleagues counted four named REITs across the six-county metro in 2018, and the Tennessee Housing Development Agency tracked investor purchases from 2018 through 2022.</w:t>
      </w:r>
      <w:r>
        <w:rPr>
          <w:rStyle w:val="FootnoteReference"/>
        </w:rPr>
        <w:footnoteReference w:id="16"/>
      </w:r>
      <w:r>
        <w:rPr>
          <w:rStyle w:val="FootnoteReference"/>
        </w:rPr>
        <w:footnoteReference w:id="17"/>
      </w:r>
      <w:r>
        <w:rPr>
          <w:rFonts w:ascii="Garamond" w:hAnsi="Garamond"/>
        </w:rPr>
        <w:t xml:space="preserve"> Neither aggregated ownership across related entities or tested compliance with the registration law. This is the first study to do so.</w:t>
      </w:r>
    </w:p>
    <w:p>
      <w:pPr>
        <w:spacing w:line="480" w:lineRule="auto" w:before="0" w:after="0"/>
        <w:ind w:firstLine="720"/>
      </w:pPr>
      <w:r>
        <w:rPr>
          <w:rFonts w:ascii="Garamond" w:hAnsi="Garamond"/>
        </w:rPr>
        <w:t>The findings follow the statute's logic. Institutional parcels concentrate in the county's most vulnerable neighborhoods, where more than half of Davidson renters live. Eviction volume tracks that concentration, though the filing rate does not. The rents these operators report to the Securities and Exchange Commission and post on their own platforms moved from a discount in the mid-2010s to a premium over the local landlords they displaced. The operators split on registration by business model, not size: the scattered-acquisition operators register most of their homes, years late, and the builder-holder that owns the second-largest portfolio in the county registered once, in 2012, and never again.</w:t>
      </w:r>
    </w:p>
    <w:p>
      <w:pPr>
        <w:spacing w:line="480" w:lineRule="auto" w:before="0" w:after="0"/>
        <w:ind w:firstLine="720"/>
      </w:pPr>
      <w:r>
        <w:rPr>
          <w:rFonts w:ascii="Garamond" w:hAnsi="Garamond"/>
        </w:rPr>
        <w:t>This Article proceeds in six parts. Part I traces the rise of institutional single-family ownership and the contested evidence on its effects. Part II examines the ROAD Act and its two definitional questions. Part III explains why Davidson County is the decisive case and lays out Tennessee's registration statute and eviction procedure. Part IV states the data and method. Part V presents the findings on concentration, compliance, enforcement, rent, and eviction. Part VI turns to the renovate-to-rent exception. The case at 1008 Hickory Bark Court runs through all six.</w:t>
      </w:r>
    </w:p>
    <w:p>
      <w:pPr>
        <w:pStyle w:val="Heading1"/>
        <w:spacing w:before="360"/>
      </w:pPr>
      <w:r>
        <w:t>I. THE SUBJECTS OF THE BAN: THE INSTITUTIONAL SINGLE-FAMILY RENTAL MARKET</w:t>
      </w:r>
    </w:p>
    <w:p>
      <w:pPr>
        <w:spacing w:line="480" w:lineRule="auto" w:before="0" w:after="0"/>
        <w:ind w:firstLine="720"/>
      </w:pPr>
      <w:r>
        <w:rPr>
          <w:rFonts w:ascii="Garamond" w:hAnsi="Garamond"/>
        </w:rPr>
        <w:t>Part I identifies the owners the Act targets and the market that produced them. It traces how a sector once owned almost entirely by individuals became an asset class held through securitization vehicles, and it surveys what researchers have and have not established about the consequences for renters.</w:t>
      </w:r>
    </w:p>
    <w:p>
      <w:pPr>
        <w:pStyle w:val="Heading2"/>
      </w:pPr>
      <w:r>
        <w:t>A. The Emergence of Institutional Single-Family Rental Ownership</w:t>
      </w:r>
    </w:p>
    <w:p>
      <w:pPr>
        <w:spacing w:line="480" w:lineRule="auto" w:before="0" w:after="0"/>
        <w:ind w:firstLine="720"/>
      </w:pPr>
      <w:r>
        <w:rPr>
          <w:rFonts w:ascii="Garamond" w:hAnsi="Garamond"/>
        </w:rPr>
        <w:t>Single-family rentals occupy a large and growing share of the American housing market. In 2019, fourteen million households lived in rented single-family homes, a third of all renter households.</w:t>
      </w:r>
      <w:r>
        <w:rPr>
          <w:rStyle w:val="FootnoteReference"/>
        </w:rPr>
        <w:footnoteReference w:id="18"/>
      </w:r>
      <w:r>
        <w:rPr>
          <w:rFonts w:ascii="Garamond" w:hAnsi="Garamond"/>
        </w:rPr>
        <w:t xml:space="preserve"> These households differ from apartment renters: 43 percent include children, against 21 percent of apartment households; the average household holds 2.9 people, against 1.9; and the median household income reaches $51,776, against $41,420.</w:t>
      </w:r>
      <w:r>
        <w:rPr>
          <w:rStyle w:val="FootnoteReference"/>
        </w:rPr>
        <w:footnoteReference w:id="19"/>
      </w:r>
      <w:r>
        <w:rPr>
          <w:rFonts w:ascii="Garamond" w:hAnsi="Garamond"/>
        </w:rPr>
        <w:t xml:space="preserve"> The single-family share of occupied rental units stood near 33 percent in 1993, peaked at 39.8 percent in 2015, and fell to 34.6 percent by 2021 as homeownership recovered to 65.8 percent.</w:t>
      </w:r>
      <w:r>
        <w:rPr>
          <w:rStyle w:val="FootnoteReference"/>
        </w:rPr>
        <w:footnoteReference w:id="20"/>
      </w:r>
      <w:r>
        <w:rPr>
          <w:rFonts w:ascii="Garamond" w:hAnsi="Garamond"/>
        </w:rPr>
        <w:t xml:space="preserve"> The Government Accountability Office traced part of that growth to tenure conversion, the movement of ownership units into the rental stock through foreclosure and investor purchase, compounded by the collapse of new construction after 2006.</w:t>
      </w:r>
      <w:r>
        <w:rPr>
          <w:rStyle w:val="FootnoteReference"/>
        </w:rPr>
        <w:footnoteReference w:id="21"/>
      </w:r>
    </w:p>
    <w:p>
      <w:pPr>
        <w:spacing w:line="480" w:lineRule="auto" w:before="0" w:after="0"/>
        <w:ind w:firstLine="720"/>
      </w:pPr>
      <w:r>
        <w:rPr>
          <w:rFonts w:ascii="Garamond" w:hAnsi="Garamond"/>
        </w:rPr>
        <w:t>Individual landlords holding one to ten units built and ran this sector for most of American history. As late as 2011 no single investor owned more than 1,000 single-family rental homes.</w:t>
      </w:r>
      <w:r>
        <w:rPr>
          <w:rStyle w:val="FootnoteReference"/>
        </w:rPr>
        <w:footnoteReference w:id="22"/>
      </w:r>
      <w:r>
        <w:rPr>
          <w:rFonts w:ascii="Garamond" w:hAnsi="Garamond"/>
        </w:rPr>
        <w:t xml:space="preserve"> Individual investors held roughly 73 percent of single-unit rentals, and institutional investors with 2,000 or more properties held between 2.1 and 2.5 percent, against the 50 to 55 percent share institutions held of apartment units in buildings of 50 units or more.</w:t>
      </w:r>
      <w:r>
        <w:rPr>
          <w:rStyle w:val="FootnoteReference"/>
        </w:rPr>
        <w:footnoteReference w:id="23"/>
      </w:r>
      <w:r>
        <w:rPr>
          <w:rFonts w:ascii="Garamond" w:hAnsi="Garamond"/>
        </w:rPr>
        <w:t xml:space="preserve"> Builders directed almost nothing to the rental market: from 1974 to 2007 they built about 2 percent of single-family homes for rent and sent the other 98 percent to owner-occupants.</w:t>
      </w:r>
      <w:r>
        <w:rPr>
          <w:rStyle w:val="FootnoteReference"/>
        </w:rPr>
        <w:footnoteReference w:id="24"/>
      </w:r>
    </w:p>
    <w:p>
      <w:pPr>
        <w:spacing w:line="480" w:lineRule="auto" w:before="0" w:after="0"/>
        <w:ind w:firstLine="720"/>
      </w:pPr>
      <w:r>
        <w:rPr>
          <w:rFonts w:ascii="Garamond" w:hAnsi="Garamond"/>
        </w:rPr>
        <w:t>Institutional ownership of single-family homes began in the wreckage of 2008. Beginning in 2012, Blackstone-affiliated entities bought tens of thousands of foreclosed homes in bulk and consolidated them under the Invitation Homes brand, outspending every rival in the sector.</w:t>
      </w:r>
      <w:r>
        <w:rPr>
          <w:rStyle w:val="FootnoteReference"/>
        </w:rPr>
        <w:footnoteReference w:id="25"/>
      </w:r>
      <w:r>
        <w:rPr>
          <w:rFonts w:ascii="Garamond" w:hAnsi="Garamond"/>
        </w:rPr>
        <w:t xml:space="preserve"> American Homes 4 Rent launched the same year with a $600 million commitment from the Alaska Permanent Fund, and Progress Residential, Tricon Residential, and Amherst Residential followed, each scaling from a regional buyer into a national platform financed by rent-backed securities.</w:t>
      </w:r>
      <w:r>
        <w:rPr>
          <w:rStyle w:val="FootnoteReference"/>
        </w:rPr>
        <w:footnoteReference w:id="26"/>
      </w:r>
      <w:r>
        <w:rPr>
          <w:rFonts w:ascii="Garamond" w:hAnsi="Garamond"/>
        </w:rPr>
        <w:t xml:space="preserve"> The Federal Reserve enabled the model twice over: it held down the cost of capital through quantitative easing, and it left distressed homeowners without the relief that would have kept the homes off the market.</w:t>
      </w:r>
      <w:r>
        <w:rPr>
          <w:rStyle w:val="FootnoteReference"/>
        </w:rPr>
        <w:footnoteReference w:id="27"/>
      </w:r>
      <w:r>
        <w:rPr>
          <w:rFonts w:ascii="Garamond" w:hAnsi="Garamond"/>
        </w:rPr>
        <w:t xml:space="preserve"> By the end of 2024 the five largest operators held roughly 330,000 homes, concentrated in Sun Belt metropolitan areas.</w:t>
      </w:r>
      <w:r>
        <w:rPr>
          <w:rStyle w:val="FootnoteReference"/>
        </w:rPr>
        <w:footnoteReference w:id="28"/>
      </w:r>
      <w:r>
        <w:rPr>
          <w:rFonts w:ascii="Garamond" w:hAnsi="Garamond"/>
        </w:rPr>
        <w:t xml:space="preserve"> Smaller private-equity vehicles, family offices, and securitization trusts hold inventory that no single public dataset captures.</w:t>
      </w:r>
    </w:p>
    <w:p>
      <w:pPr>
        <w:spacing w:line="480" w:lineRule="auto" w:before="0" w:after="0"/>
        <w:ind w:firstLine="720"/>
      </w:pPr>
      <w:r>
        <w:rPr>
          <w:rFonts w:ascii="Garamond" w:hAnsi="Garamond"/>
        </w:rPr>
        <w:t>The ownership structure serves capital-market transparency upstream and tenant-facing opacity downstream. A single operator holds its homes through dozens of Delaware special-purpose entities, each named for a securitization vintage rather than the operating brand. SFR JV-1 2020-1 Borrower, LLC tells a tenant, a neighbor, or a code inspector nothing about Tricon Residential. The legal entity on the parcel is illegible to the public it most affects.</w:t>
      </w:r>
    </w:p>
    <w:p>
      <w:pPr>
        <w:spacing w:line="480" w:lineRule="auto" w:before="0" w:after="0"/>
        <w:ind w:firstLine="720"/>
      </w:pPr>
      <w:r>
        <w:rPr>
          <w:rFonts w:ascii="Garamond" w:hAnsi="Garamond"/>
        </w:rPr>
        <w:t>The foreclosure supply eventually ran out, but the operators kept buying. As distressed inventory thinned after 2014, they shifted from bulk purchases to one-at-a-time acquisitions of existing homes through the Multiple Listing Service, competing directly with individual buyers.</w:t>
      </w:r>
      <w:r>
        <w:rPr>
          <w:rStyle w:val="FootnoteReference"/>
        </w:rPr>
        <w:footnoteReference w:id="29"/>
      </w:r>
    </w:p>
    <w:p>
      <w:pPr>
        <w:pStyle w:val="Heading2"/>
      </w:pPr>
      <w:r>
        <w:t>B. Contested Impacts on Local Housing Markets</w:t>
      </w:r>
    </w:p>
    <w:p>
      <w:pPr>
        <w:spacing w:line="480" w:lineRule="auto" w:before="0" w:after="0"/>
        <w:ind w:firstLine="720"/>
      </w:pPr>
      <w:r>
        <w:rPr>
          <w:rFonts w:ascii="Garamond" w:hAnsi="Garamond"/>
        </w:rPr>
        <w:t>The evidence on what institutional ownership does to renters and neighborhoods pulls in two directions, and the honest account holds both. On one side, the Philadelphia Federal Reserve found that institutional investors raised rents about 60 percent above the average rate when they first acquired a property and 7 percent above average on later increases, and that a higher investor share in a neighborhood tracked faster rent growth for nearby non-investor landlords.</w:t>
      </w:r>
      <w:r>
        <w:rPr>
          <w:rStyle w:val="FootnoteReference"/>
        </w:rPr>
        <w:footnoteReference w:id="30"/>
      </w:r>
      <w:r>
        <w:rPr>
          <w:rFonts w:ascii="Garamond" w:hAnsi="Garamond"/>
        </w:rPr>
        <w:t xml:space="preserve"> The St. Louis Federal Reserve reported in October 2025 that consolidated firms had gained price-setting power over rents where they dominate, with rents rising faster in those areas than in comparable neighborhoods, as investors reached a record 30 percent of single-family purchases nationally in the first half of 2025.</w:t>
      </w:r>
      <w:r>
        <w:rPr>
          <w:rStyle w:val="FootnoteReference"/>
        </w:rPr>
        <w:footnoteReference w:id="31"/>
      </w:r>
      <w:r>
        <w:rPr>
          <w:rFonts w:ascii="Garamond" w:hAnsi="Garamond"/>
        </w:rPr>
        <w:t xml:space="preserve"> On the other side, several studies found the effects muted or temporary. A study of the three largest mergers from 2015 through 2017 found a statistically significant rent increase in the year after each merger, evidence that consolidation conferred local market power.</w:t>
      </w:r>
      <w:r>
        <w:rPr>
          <w:rStyle w:val="FootnoteReference"/>
        </w:rPr>
        <w:footnoteReference w:id="32"/>
      </w:r>
      <w:r>
        <w:rPr>
          <w:rFonts w:ascii="Garamond" w:hAnsi="Garamond"/>
        </w:rPr>
        <w:t xml:space="preserve"> A study keyed to supply elasticity found that investors moved rents more than prices where building is easy and prices more than rents where building is hard, with both effects fading by the third and fourth year.</w:t>
      </w:r>
      <w:r>
        <w:rPr>
          <w:rStyle w:val="FootnoteReference"/>
        </w:rPr>
        <w:footnoteReference w:id="33"/>
      </w:r>
      <w:r>
        <w:rPr>
          <w:rFonts w:ascii="Garamond" w:hAnsi="Garamond"/>
        </w:rPr>
        <w:t xml:space="preserve"> A study of the eight largest operators from 2012 through 2014 found that a larger investor share in a zip code did not correlate with later rent changes, because the operators added supply where demand was already rising.</w:t>
      </w:r>
      <w:r>
        <w:rPr>
          <w:rStyle w:val="FootnoteReference"/>
        </w:rPr>
        <w:footnoteReference w:id="34"/>
      </w:r>
    </w:p>
    <w:p>
      <w:pPr>
        <w:spacing w:line="480" w:lineRule="auto" w:before="0" w:after="0"/>
        <w:ind w:firstLine="720"/>
      </w:pPr>
      <w:r>
        <w:rPr>
          <w:rFonts w:ascii="Garamond" w:hAnsi="Garamond"/>
        </w:rPr>
        <w:t>The homeownership evidence is similarly divided. Investor purchases tracked declines in local homeownership rates during the years institutions bought foreclosed homes at scale, and one estimate attributed over half of the real home-price appreciation from 2006 through 2014 to institutional presence.</w:t>
      </w:r>
      <w:r>
        <w:rPr>
          <w:rStyle w:val="FootnoteReference"/>
        </w:rPr>
        <w:footnoteReference w:id="35"/>
      </w:r>
      <w:r>
        <w:rPr>
          <w:rFonts w:ascii="Garamond" w:hAnsi="Garamond"/>
        </w:rPr>
        <w:t xml:space="preserve"> Institutional buyers add cash competition that pushes owner-occupants out of the starter-home segment, a pattern Chilton observed in Nashville, and their concentration in majority-Black neighborhoods threatens to narrow the starter stock available to Black buyers.</w:t>
      </w:r>
      <w:r>
        <w:rPr>
          <w:rStyle w:val="FootnoteReference"/>
        </w:rPr>
        <w:footnoteReference w:id="36"/>
      </w:r>
      <w:r>
        <w:rPr>
          <w:rStyle w:val="FootnoteReference"/>
        </w:rPr>
        <w:footnoteReference w:id="37"/>
      </w:r>
      <w:r>
        <w:rPr>
          <w:rFonts w:ascii="Garamond" w:hAnsi="Garamond"/>
        </w:rPr>
        <w:t xml:space="preserve"> Other work cuts the other way. Institutional entry expanded rental supply on net and, in one model, lowered rents, each purchase reducing homeowner-held homes by 0.22 while adding 0.5 rental homes,</w:t>
      </w:r>
      <w:r>
        <w:rPr>
          <w:rStyle w:val="FootnoteReference"/>
        </w:rPr>
        <w:footnoteReference w:id="38"/>
      </w:r>
      <w:r>
        <w:rPr>
          <w:rFonts w:ascii="Garamond" w:hAnsi="Garamond"/>
        </w:rPr>
        <w:t xml:space="preserve"> and many of the tenants these operators house could not qualify for a mortgage on their current credit and income, a share Amherst puts at 85 percent of its own renters.</w:t>
      </w:r>
      <w:r>
        <w:rPr>
          <w:rStyle w:val="FootnoteReference"/>
        </w:rPr>
        <w:footnoteReference w:id="39"/>
      </w:r>
      <w:r>
        <w:rPr>
          <w:rFonts w:ascii="Garamond" w:hAnsi="Garamond"/>
        </w:rPr>
        <w:t xml:space="preserve"> The Government Accountability Office, reviewing 74 studies, declined to resolve the question and attributed the disagreement to inconsistent investor definitions, differing geographies, and differing time periods.</w:t>
      </w:r>
      <w:r>
        <w:rPr>
          <w:rStyle w:val="FootnoteReference"/>
        </w:rPr>
        <w:footnoteReference w:id="40"/>
      </w:r>
    </w:p>
    <w:p>
      <w:pPr>
        <w:spacing w:line="480" w:lineRule="auto" w:before="0" w:after="0"/>
        <w:ind w:firstLine="720"/>
      </w:pPr>
      <w:r>
        <w:rPr>
          <w:rFonts w:ascii="Garamond" w:hAnsi="Garamond"/>
        </w:rPr>
        <w:t>The tenant-level findings are more consistent. Institutional landlords file evictions more often than smaller owners, and they file serial or repeat evictions against the same households.</w:t>
      </w:r>
      <w:r>
        <w:rPr>
          <w:rStyle w:val="FootnoteReference"/>
        </w:rPr>
        <w:footnoteReference w:id="41"/>
      </w:r>
      <w:r>
        <w:rPr>
          <w:rFonts w:ascii="Garamond" w:hAnsi="Garamond"/>
        </w:rPr>
        <w:t xml:space="preserve"> The House Select Subcommittee on the Coronavirus Crisis found that Invitation Homes, Pretium Partners, Ventron Management, and The Siegel Group filed 14,744 eviction actions between March 15, 2020 and July 29, 2021, roughly three times more than previously known, while each firm posted evidence of financial strength: Invitation Homes reported record profits, Pretium expanded, and Ventron and Siegel each took more than $2 million in forgiven Paycheck Protection Program loans.</w:t>
      </w:r>
      <w:r>
        <w:rPr>
          <w:rStyle w:val="FootnoteReference"/>
        </w:rPr>
        <w:footnoteReference w:id="42"/>
      </w:r>
      <w:r>
        <w:rPr>
          <w:rFonts w:ascii="Garamond" w:hAnsi="Garamond"/>
        </w:rPr>
        <w:t xml:space="preserve"> In Philadelphia, high-volume corporate investors filed evictions on 14 percent of their properties between 2017 and 2022, against 4 percent for smaller investors and less than 1 percent for individual homebuyers.</w:t>
      </w:r>
      <w:r>
        <w:rPr>
          <w:rStyle w:val="FootnoteReference"/>
        </w:rPr>
        <w:footnoteReference w:id="43"/>
      </w:r>
      <w:r>
        <w:rPr>
          <w:rFonts w:ascii="Garamond" w:hAnsi="Garamond"/>
        </w:rPr>
        <w:t xml:space="preserve"> Fallon, Noble, and Reynolds found that the five largest operators' top twenty zip codes held a 40.2 percent Black population, roughly three times the 13.4 percent national share.</w:t>
      </w:r>
      <w:r>
        <w:rPr>
          <w:rStyle w:val="FootnoteReference"/>
        </w:rPr>
        <w:footnoteReference w:id="44"/>
      </w:r>
      <w:r>
        <w:rPr>
          <w:rFonts w:ascii="Garamond" w:hAnsi="Garamond"/>
        </w:rPr>
        <w:t xml:space="preserve"> The maintenance record follows the same pattern. Invitation Homes spent an average of $1,142 per home on repairs and maintenance in 2018, well below the $3,100 that owners of comparable-age homes typically spend, while ancillary fees for utility conveyance, pool access, pet rent, and smart-lock enrollment lifted the company's earnings 20 to 30 percent.</w:t>
      </w:r>
      <w:r>
        <w:rPr>
          <w:rStyle w:val="FootnoteReference"/>
        </w:rPr>
        <w:footnoteReference w:id="45"/>
      </w:r>
    </w:p>
    <w:p>
      <w:pPr>
        <w:spacing w:line="480" w:lineRule="auto" w:before="0" w:after="0"/>
        <w:ind w:firstLine="720"/>
      </w:pPr>
      <w:r>
        <w:rPr>
          <w:rFonts w:ascii="Garamond" w:hAnsi="Garamond"/>
        </w:rPr>
        <w:t>A parallel critique targets the pricing software. RealPage collects proprietary rent and occupancy data from competing landlords and returns algorithmic price recommendations that the Department of Justice alleged operate as tacit price-fixing.</w:t>
      </w:r>
      <w:r>
        <w:rPr>
          <w:rStyle w:val="FootnoteReference"/>
        </w:rPr>
        <w:footnoteReference w:id="46"/>
      </w:r>
      <w:r>
        <w:rPr>
          <w:rFonts w:ascii="Garamond" w:hAnsi="Garamond"/>
        </w:rPr>
        <w:t xml:space="preserve"> The proposed November 2025 settlement bars the company from feeding real-time competitor data into its recommendations and requires training data at least twelve months old, and eight cities have banned algorithmic rent-setting outright.</w:t>
      </w:r>
      <w:r>
        <w:rPr>
          <w:rStyle w:val="FootnoteReference"/>
        </w:rPr>
        <w:footnoteReference w:id="47"/>
      </w:r>
      <w:r>
        <w:rPr>
          <w:rStyle w:val="FootnoteReference"/>
        </w:rPr>
        <w:footnoteReference w:id="48"/>
      </w:r>
      <w:r>
        <w:rPr>
          <w:rFonts w:ascii="Garamond" w:hAnsi="Garamond"/>
        </w:rPr>
        <w:t xml:space="preserve"> The concern reaches past any one firm: institutional scale combined with shared data infrastructure creates a coordination capacity that a market of dispersed individual landlords lacks.</w:t>
      </w:r>
    </w:p>
    <w:p>
      <w:pPr>
        <w:spacing w:line="480" w:lineRule="auto" w:before="0" w:after="0"/>
        <w:ind w:firstLine="720"/>
      </w:pPr>
      <w:r>
        <w:rPr>
          <w:rFonts w:ascii="Garamond" w:hAnsi="Garamond"/>
        </w:rPr>
        <w:t>Critics call the transfer at the center of this model equity mining, the diversion of potential homeowner wealth into corporate return, and one estimate places the loss near $226,200 per household moved from ownership to tenancy.</w:t>
      </w:r>
      <w:r>
        <w:rPr>
          <w:rStyle w:val="FootnoteReference"/>
        </w:rPr>
        <w:footnoteReference w:id="49"/>
      </w:r>
      <w:r>
        <w:rPr>
          <w:rFonts w:ascii="Garamond" w:hAnsi="Garamond"/>
        </w:rPr>
        <w:t xml:space="preserve"> Cash offers and above-asking bids give institutional buyers an advantage over mortgage-dependent first-time buyers, compressing inventory in the neighborhoods institutions target.</w:t>
      </w:r>
      <w:r>
        <w:rPr>
          <w:rStyle w:val="FootnoteReference"/>
        </w:rPr>
        <w:footnoteReference w:id="50"/>
      </w:r>
      <w:r>
        <w:rPr>
          <w:rFonts w:ascii="Garamond" w:hAnsi="Garamond"/>
        </w:rPr>
        <w:t xml:space="preserve"> A chronic supply deficit sharpened that pressure. National housing stock grew 1.7 percent a year from 1968 through 2000 and then slowed to 0.7 percent, construction costs doubled between 2001 and 2019, and Freddie Mac estimated in 2024 that the country needed 3.7 million additional homes.</w:t>
      </w:r>
      <w:r>
        <w:rPr>
          <w:rStyle w:val="FootnoteReference"/>
        </w:rPr>
        <w:footnoteReference w:id="51"/>
      </w:r>
      <w:r>
        <w:rPr>
          <w:rStyle w:val="FootnoteReference"/>
        </w:rPr>
        <w:footnoteReference w:id="52"/>
      </w:r>
      <w:r>
        <w:rPr>
          <w:rFonts w:ascii="Garamond" w:hAnsi="Garamond"/>
        </w:rPr>
        <w:t xml:space="preserve"> Investors bought nearly a third of the homes in the bottom third of the price distribution.</w:t>
      </w:r>
      <w:r>
        <w:rPr>
          <w:rStyle w:val="FootnoteReference"/>
        </w:rPr>
        <w:footnoteReference w:id="53"/>
      </w:r>
    </w:p>
    <w:p>
      <w:pPr>
        <w:pStyle w:val="Heading2"/>
      </w:pPr>
      <w:r>
        <w:t>C. State Responses and Ongoing Enforcement</w:t>
      </w:r>
    </w:p>
    <w:p>
      <w:pPr>
        <w:spacing w:line="480" w:lineRule="auto" w:before="0" w:after="0"/>
        <w:ind w:firstLine="720"/>
      </w:pPr>
      <w:r>
        <w:rPr>
          <w:rFonts w:ascii="Garamond" w:hAnsi="Garamond"/>
        </w:rPr>
        <w:t>Federal attention arrived through hearings and enforcement rather than legislation at first. In October 2021 the Senate Banking Committee heard testimony on how institutional landlords were changing the housing market, and in June 2022 the House Subcommittee on Oversight and Investigations held its hearing, "Where Have All the Houses Gone?," on institutional practices in Black, Latino, and low-income communities.</w:t>
      </w:r>
      <w:r>
        <w:rPr>
          <w:rStyle w:val="FootnoteReference"/>
        </w:rPr>
        <w:footnoteReference w:id="54"/>
      </w:r>
      <w:r>
        <w:rPr>
          <w:rStyle w:val="FootnoteReference"/>
        </w:rPr>
        <w:footnoteReference w:id="55"/>
      </w:r>
      <w:r>
        <w:rPr>
          <w:rFonts w:ascii="Garamond" w:hAnsi="Garamond"/>
        </w:rPr>
        <w:t xml:space="preserve"> The Biden administration published its Blueprint for a Renters Bill of Rights in January 2023, and the Department of Justice sued RealPage in August 2024.</w:t>
      </w:r>
      <w:r>
        <w:rPr>
          <w:rStyle w:val="FootnoteReference"/>
        </w:rPr>
        <w:footnoteReference w:id="56"/>
      </w:r>
      <w:r>
        <w:rPr>
          <w:rStyle w:val="FootnoteReference"/>
        </w:rPr>
        <w:footnoteReference w:id="57"/>
      </w:r>
      <w:r>
        <w:rPr>
          <w:rFonts w:ascii="Garamond" w:hAnsi="Garamond"/>
        </w:rPr>
        <w:t xml:space="preserve"> The Federal Trade Commission then moved against the operators directly: it fined Invitation Homes $48 million in September 2024 for undisclosed junk fees, deferred maintenance, and wrongful withholding of security deposits, and it settled with Greystar in December 2025 for $24 million over similar advertising practices.</w:t>
      </w:r>
      <w:r>
        <w:rPr>
          <w:rStyle w:val="FootnoteReference"/>
        </w:rPr>
        <w:footnoteReference w:id="58"/>
      </w:r>
      <w:r>
        <w:rPr>
          <w:rStyle w:val="FootnoteReference"/>
        </w:rPr>
        <w:footnoteReference w:id="59"/>
      </w:r>
    </w:p>
    <w:p>
      <w:pPr>
        <w:spacing w:line="480" w:lineRule="auto" w:before="0" w:after="0"/>
        <w:ind w:firstLine="720"/>
      </w:pPr>
      <w:r>
        <w:rPr>
          <w:rFonts w:ascii="Garamond" w:hAnsi="Garamond"/>
        </w:rPr>
        <w:t>State attorneys general built the enforcement record. Minnesota's 2022 suit against HavenBrook Homes, which managed more than 600 single-family rentals around Minneapolis and St. Paul, alleged uninhabitable conditions including lost heat, water leaks, pest infestation, mold, and lead-paint violations, and produced a March 2024 settlement with a $2.2 million tenant-restitution fund and debt forgiveness capped near $1.99 million.</w:t>
      </w:r>
      <w:r>
        <w:rPr>
          <w:rStyle w:val="FootnoteReference"/>
        </w:rPr>
        <w:footnoteReference w:id="60"/>
      </w:r>
      <w:r>
        <w:rPr>
          <w:rStyle w:val="FootnoteReference"/>
        </w:rPr>
        <w:footnoteReference w:id="61"/>
      </w:r>
      <w:r>
        <w:rPr>
          <w:rFonts w:ascii="Garamond" w:hAnsi="Garamond"/>
        </w:rPr>
        <w:t xml:space="preserve"> Progress Residential, which had acquired HavenBrook in 2022, and its parent Pretium Partners agreed to transfer their Minnesota properties to affordable-housing entities.</w:t>
      </w:r>
      <w:r>
        <w:rPr>
          <w:rStyle w:val="FootnoteReference"/>
        </w:rPr>
        <w:footnoteReference w:id="62"/>
      </w:r>
      <w:r>
        <w:rPr>
          <w:rFonts w:ascii="Garamond" w:hAnsi="Garamond"/>
        </w:rPr>
        <w:t xml:space="preserve"> California's attorney general settled with Invitation Homes for $3.7 million in January 2024 over unlawful rent increases on roughly 1,900 homes.</w:t>
      </w:r>
      <w:r>
        <w:rPr>
          <w:rStyle w:val="FootnoteReference"/>
        </w:rPr>
        <w:footnoteReference w:id="63"/>
      </w:r>
    </w:p>
    <w:p>
      <w:pPr>
        <w:spacing w:line="480" w:lineRule="auto" w:before="0" w:after="0"/>
        <w:ind w:firstLine="720"/>
      </w:pPr>
      <w:r>
        <w:rPr>
          <w:rFonts w:ascii="Garamond" w:hAnsi="Garamond"/>
        </w:rPr>
        <w:t>State legislatures followed, and by 2025 lawmakers in at least 22 states had introduced bills targeting institutional investors.</w:t>
      </w:r>
      <w:r>
        <w:rPr>
          <w:rStyle w:val="FootnoteReference"/>
        </w:rPr>
        <w:footnoteReference w:id="64"/>
      </w:r>
      <w:r>
        <w:rPr>
          <w:rFonts w:ascii="Garamond" w:hAnsi="Garamond"/>
        </w:rPr>
        <w:t xml:space="preserve"> California opened the field in 2020 with a right of first refusal on foreclosed homes, New York passed acquisition restrictions in 2025, and Georgia, Nebraska, Texas, Virginia, Washington, and North Carolina advanced ownership caps, out-of-state agent requirements, or disclosure mandates.</w:t>
      </w:r>
      <w:r>
        <w:rPr>
          <w:rStyle w:val="FootnoteReference"/>
        </w:rPr>
        <w:footnoteReference w:id="65"/>
      </w:r>
      <w:r>
        <w:rPr>
          <w:rStyle w:val="FootnoteReference"/>
        </w:rPr>
        <w:footnoteReference w:id="66"/>
      </w:r>
      <w:r>
        <w:rPr>
          <w:rStyle w:val="FootnoteReference"/>
        </w:rPr>
        <w:footnoteReference w:id="67"/>
      </w:r>
      <w:r>
        <w:rPr>
          <w:rStyle w:val="FootnoteReference"/>
        </w:rPr>
        <w:footnoteReference w:id="68"/>
      </w:r>
      <w:r>
        <w:rPr>
          <w:rFonts w:ascii="Garamond" w:hAnsi="Garamond"/>
        </w:rPr>
        <w:t xml:space="preserve"> Local governments moved in parallel, from rental caps in Carmel and Fishers, Indiana, to single-family rental ordinances in Cherokee, Clayton, and Forsyth Counties, Georgia, and in Corinth, Texas.</w:t>
      </w:r>
      <w:r>
        <w:rPr>
          <w:rStyle w:val="FootnoteReference"/>
        </w:rPr>
        <w:footnoteReference w:id="69"/>
      </w:r>
      <w:r>
        <w:rPr>
          <w:rStyle w:val="FootnoteReference"/>
        </w:rPr>
        <w:footnoteReference w:id="70"/>
      </w:r>
      <w:r>
        <w:rPr>
          <w:rStyle w:val="FootnoteReference"/>
        </w:rPr>
        <w:footnoteReference w:id="71"/>
      </w:r>
      <w:r>
        <w:rPr>
          <w:rStyle w:val="FootnoteReference"/>
        </w:rPr>
        <w:footnoteReference w:id="72"/>
      </w:r>
      <w:r>
        <w:rPr>
          <w:rFonts w:ascii="Garamond" w:hAnsi="Garamond"/>
        </w:rPr>
        <w:t xml:space="preserve"> Homeowner associations wrote their own covenants, from a two-year owner-occupancy wait in Charlotte subdivisions to an outright rental ban at Walnut Gardens in Cordova, Tennessee.</w:t>
      </w:r>
      <w:r>
        <w:rPr>
          <w:rStyle w:val="FootnoteReference"/>
        </w:rPr>
        <w:footnoteReference w:id="73"/>
      </w:r>
      <w:r>
        <w:rPr>
          <w:rFonts w:ascii="Garamond" w:hAnsi="Garamond"/>
        </w:rPr>
        <w:t xml:space="preserve"> This state and local wave sets the backdrop for the federal ban that Part II examines, and Tennessee's own contribution to it appears in Part III.</w:t>
      </w:r>
    </w:p>
    <w:p>
      <w:pPr>
        <w:pStyle w:val="Heading1"/>
        <w:spacing w:before="360"/>
      </w:pPr>
      <w:r>
        <w:t>II. THE BAN: THE 21ST CENTURY ROAD TO HOUSING ACT</w:t>
      </w:r>
    </w:p>
    <w:p>
      <w:pPr>
        <w:spacing w:line="480" w:lineRule="auto" w:before="0" w:after="0"/>
        <w:ind w:firstLine="720"/>
      </w:pPr>
      <w:r>
        <w:rPr>
          <w:rFonts w:ascii="Garamond" w:hAnsi="Garamond"/>
        </w:rPr>
        <w:t>Part II examines the statute that now governs Nashville's operators. It states the prohibition, then works through the two definitional questions on which the prohibition turns.</w:t>
      </w:r>
    </w:p>
    <w:p>
      <w:pPr>
        <w:pStyle w:val="Heading2"/>
      </w:pPr>
      <w:r>
        <w:t>A. The Prohibition</w:t>
      </w:r>
    </w:p>
    <w:p>
      <w:pPr>
        <w:spacing w:line="480" w:lineRule="auto" w:before="0" w:after="0"/>
        <w:ind w:firstLine="720"/>
      </w:pPr>
      <w:r>
        <w:rPr>
          <w:rFonts w:ascii="Garamond" w:hAnsi="Garamond"/>
        </w:rPr>
        <w:t>The 21st Century ROAD to Housing Act bars a large institutional investor from purchasing a single-family home.</w:t>
      </w:r>
      <w:r>
        <w:rPr>
          <w:rStyle w:val="FootnoteReference"/>
        </w:rPr>
        <w:footnoteReference w:id="74"/>
      </w:r>
      <w:r>
        <w:rPr>
          <w:rFonts w:ascii="Garamond" w:hAnsi="Garamond"/>
        </w:rPr>
        <w:t xml:space="preserve"> The operative provision defines a large institutional investor as a for-profit entity that, alone or in concert with others, holds investment control of 350 or more single-family homes, and its attribution rules reach control exercised through ownership, a general-partner or managing-member position, or an investment-manager or adviser role.</w:t>
      </w:r>
      <w:r>
        <w:rPr>
          <w:rStyle w:val="FootnoteReference"/>
        </w:rPr>
        <w:footnoteReference w:id="75"/>
      </w:r>
      <w:r>
        <w:rPr>
          <w:rStyle w:val="FootnoteReference"/>
        </w:rPr>
        <w:footnoteReference w:id="76"/>
      </w:r>
      <w:r>
        <w:rPr>
          <w:rFonts w:ascii="Garamond" w:hAnsi="Garamond"/>
        </w:rPr>
        <w:t xml:space="preserve"> It defines a purchase broadly, reaching a transfer through merger, acquisition, or bulk purchase rather than ordinary sale alone.</w:t>
      </w:r>
      <w:r>
        <w:rPr>
          <w:rStyle w:val="FootnoteReference"/>
        </w:rPr>
        <w:footnoteReference w:id="77"/>
      </w:r>
      <w:r>
        <w:rPr>
          <w:rFonts w:ascii="Garamond" w:hAnsi="Garamond"/>
        </w:rPr>
        <w:t xml:space="preserve"> An operator cannot escape the ban by acquiring through foreclosure or bulk transfer. The Act does not require an operator to divest a home it held before enactment, so the prohibition governs the next purchase and leaves the standing portfolio in place.</w:t>
      </w:r>
      <w:r>
        <w:rPr>
          <w:rStyle w:val="FootnoteReference"/>
        </w:rPr>
        <w:footnoteReference w:id="78"/>
      </w:r>
    </w:p>
    <w:p>
      <w:pPr>
        <w:spacing w:line="480" w:lineRule="auto" w:before="0" w:after="0"/>
        <w:ind w:firstLine="720"/>
      </w:pPr>
      <w:r>
        <w:rPr>
          <w:rFonts w:ascii="Garamond" w:hAnsi="Garamond"/>
        </w:rPr>
        <w:t>The Act reached enactment through a contested path, with lopsided and bipartisan margins at every stage. The House passed H.R. 6644 by 390 to 9 in February 2026, the Senate replaced it with a substitute and passed the retitled 21st Century ROAD to Housing Act 89 to 10 on March 12, 2026, and Congress cleared the final text in June 2026, the House agreeing to the Senate amendment 358 to 32 and the Senate concurring 85 to 5.</w:t>
      </w:r>
      <w:r>
        <w:rPr>
          <w:rStyle w:val="FootnoteReference"/>
        </w:rPr>
        <w:footnoteReference w:id="79"/>
      </w:r>
      <w:r>
        <w:rPr>
          <w:rStyle w:val="FootnoteReference"/>
        </w:rPr>
        <w:footnoteReference w:id="80"/>
      </w:r>
      <w:r>
        <w:rPr>
          <w:rFonts w:ascii="Garamond" w:hAnsi="Garamond"/>
        </w:rPr>
        <w:t xml:space="preserve"> The bill went to the President on June 29, 2026, and became Public Law 119-101 on July 11, 2026, without his signature.</w:t>
      </w:r>
      <w:r>
        <w:rPr>
          <w:rStyle w:val="FootnoteReference"/>
        </w:rPr>
        <w:footnoteReference w:id="81"/>
      </w:r>
      <w:r>
        <w:rPr>
          <w:rStyle w:val="FootnoteReference"/>
        </w:rPr>
        <w:footnoteReference w:id="82"/>
      </w:r>
      <w:r>
        <w:rPr>
          <w:rFonts w:ascii="Garamond" w:hAnsi="Garamond"/>
        </w:rPr>
        <w:t xml:space="preserve"> The executive branch moved alongside Congress. The President signed Executive Order 14376 in January 2026, which set the administration's policy that large institutional investors should not buy single-family homes families could otherwise purchase, and directed the Treasury to define the operative terms.</w:t>
      </w:r>
      <w:r>
        <w:rPr>
          <w:rStyle w:val="FootnoteReference"/>
        </w:rPr>
        <w:footnoteReference w:id="83"/>
      </w:r>
      <w:r>
        <w:rPr>
          <w:rStyle w:val="FootnoteReference"/>
        </w:rPr>
        <w:footnoteReference w:id="84"/>
      </w:r>
      <w:r>
        <w:rPr>
          <w:rFonts w:ascii="Garamond" w:hAnsi="Garamond"/>
        </w:rPr>
        <w:t xml:space="preserve"> He followed with orders on mortgage credit and construction barriers in March 2026.</w:t>
      </w:r>
      <w:r>
        <w:rPr>
          <w:rStyle w:val="FootnoteReference"/>
        </w:rPr>
        <w:footnoteReference w:id="85"/>
      </w:r>
      <w:r>
        <w:rPr>
          <w:rStyle w:val="FootnoteReference"/>
        </w:rPr>
        <w:footnoteReference w:id="86"/>
      </w:r>
      <w:r>
        <w:rPr>
          <w:rFonts w:ascii="Garamond" w:hAnsi="Garamond"/>
        </w:rPr>
        <w:t xml:space="preserve"> The Act directs the Treasury, with Housing and Urban Development, the Federal Housing Administration, and the Securities and Exchange Commission, to issue implementing regulations, and it limits the agencies' power to alter the statutory definitions and thresholds.</w:t>
      </w:r>
      <w:r>
        <w:rPr>
          <w:rStyle w:val="FootnoteReference"/>
        </w:rPr>
        <w:footnoteReference w:id="87"/>
      </w:r>
      <w:r>
        <w:rPr>
          <w:rFonts w:ascii="Garamond" w:hAnsi="Garamond"/>
        </w:rPr>
        <w:t xml:space="preserve"> The Act carries one exception built for distressed housing, the renovate-to-rent pathway, which Part VI analyzes against the Davidson County record.</w:t>
      </w:r>
      <w:r>
        <w:rPr>
          <w:rStyle w:val="FootnoteReference"/>
        </w:rPr>
        <w:footnoteReference w:id="88"/>
      </w:r>
    </w:p>
    <w:p>
      <w:pPr>
        <w:pStyle w:val="Heading2"/>
      </w:pPr>
      <w:r>
        <w:t>B. What Is a Single-Family Home?</w:t>
      </w:r>
    </w:p>
    <w:p>
      <w:pPr>
        <w:spacing w:line="480" w:lineRule="auto" w:before="0" w:after="0"/>
        <w:ind w:firstLine="720"/>
      </w:pPr>
      <w:r>
        <w:rPr>
          <w:rFonts w:ascii="Garamond" w:hAnsi="Garamond"/>
        </w:rPr>
        <w:t>The Act defines the home it protects, and the definition controls the count. The Act counts a single-family home as a structure of two or fewer dwelling units intended for a single household, and it excludes manufactured homes.</w:t>
      </w:r>
      <w:r>
        <w:rPr>
          <w:rStyle w:val="FootnoteReference"/>
        </w:rPr>
        <w:footnoteReference w:id="89"/>
      </w:r>
      <w:r>
        <w:rPr>
          <w:rFonts w:ascii="Garamond" w:hAnsi="Garamond"/>
        </w:rPr>
        <w:t xml:space="preserve"> That definition runs broader than the Census Bureau's, which counts only a detached structure and excludes attached townhomes and duplexes.</w:t>
      </w:r>
      <w:r>
        <w:rPr>
          <w:rStyle w:val="FootnoteReference"/>
        </w:rPr>
        <w:footnoteReference w:id="90"/>
      </w:r>
      <w:r>
        <w:rPr>
          <w:rFonts w:ascii="Garamond" w:hAnsi="Garamond"/>
        </w:rPr>
        <w:t xml:space="preserve"> It aligns instead with the way Tennessee classifies residential property for assessment, which treats many attached units as single-family.</w:t>
      </w:r>
      <w:r>
        <w:rPr>
          <w:rStyle w:val="FootnoteReference"/>
        </w:rPr>
        <w:footnoteReference w:id="91"/>
      </w:r>
      <w:r>
        <w:rPr>
          <w:rFonts w:ascii="Garamond" w:hAnsi="Garamond"/>
        </w:rPr>
        <w:t xml:space="preserve"> The alignment matters. Chilton's 2018 study of the Nashville metro defined single-family as detached only, and that choice undercounted REIT holdings by excluding a housing type smaller institutional operators frequently target.</w:t>
      </w:r>
      <w:r>
        <w:rPr>
          <w:rStyle w:val="FootnoteReference"/>
        </w:rPr>
        <w:footnoteReference w:id="92"/>
      </w:r>
      <w:r>
        <w:rPr>
          <w:rStyle w:val="FootnoteReference"/>
        </w:rPr>
        <w:footnoteReference w:id="93"/>
      </w:r>
      <w:r>
        <w:rPr>
          <w:rFonts w:ascii="Garamond" w:hAnsi="Garamond"/>
        </w:rPr>
        <w:t xml:space="preserve"> This Article counts a single-family home as Tennessee classifies it for assessment, a choice the Act's two-unit definition now supports, and it runs the registration duty, the eviction process, and the tax roll on that state classification.</w:t>
      </w:r>
    </w:p>
    <w:p>
      <w:pPr>
        <w:pStyle w:val="Heading2"/>
      </w:pPr>
      <w:r>
        <w:t>C. What Is an Institutional Investor?</w:t>
      </w:r>
    </w:p>
    <w:p>
      <w:pPr>
        <w:spacing w:line="480" w:lineRule="auto" w:before="0" w:after="0"/>
        <w:ind w:firstLine="720"/>
      </w:pPr>
      <w:r>
        <w:rPr>
          <w:rFonts w:ascii="Garamond" w:hAnsi="Garamond"/>
        </w:rPr>
        <w:t>No settled threshold defines an institutional investor, and the threshold drives every count. The Tennessee Housing Development Agency counted any buyer of three or more homes in a year.</w:t>
      </w:r>
      <w:r>
        <w:rPr>
          <w:rStyle w:val="FootnoteReference"/>
        </w:rPr>
        <w:footnoteReference w:id="94"/>
      </w:r>
      <w:r>
        <w:rPr>
          <w:rFonts w:ascii="Garamond" w:hAnsi="Garamond"/>
        </w:rPr>
        <w:t xml:space="preserve"> The ROAD Act sets the line at 350 homes.</w:t>
      </w:r>
      <w:r>
        <w:rPr>
          <w:rStyle w:val="FootnoteReference"/>
        </w:rPr>
        <w:footnoteReference w:id="95"/>
      </w:r>
      <w:r>
        <w:rPr>
          <w:rFonts w:ascii="Garamond" w:hAnsi="Garamond"/>
        </w:rPr>
        <w:t xml:space="preserve"> The Urban Institute uses 100, the Government Accountability Office uses 1,000, and the commercial data vendors layer small, medium, large, and mega bands on top of those cutoffs.</w:t>
      </w:r>
      <w:r>
        <w:rPr>
          <w:rStyle w:val="FootnoteReference"/>
        </w:rPr>
        <w:footnoteReference w:id="96"/>
      </w:r>
      <w:r>
        <w:rPr>
          <w:rStyle w:val="FootnoteReference"/>
        </w:rPr>
        <w:footnoteReference w:id="97"/>
      </w:r>
      <w:r>
        <w:rPr>
          <w:rFonts w:ascii="Garamond" w:hAnsi="Garamond"/>
        </w:rPr>
        <w:t xml:space="preserve"> The academic literature resolves the problem differently in each market it studies. Harrison, Immergluck, and Walker override size bands entirely for Memphis, treating an owner as institutional when it files with the Securities and Exchange Commission.</w:t>
      </w:r>
      <w:r>
        <w:rPr>
          <w:rStyle w:val="FootnoteReference"/>
        </w:rPr>
        <w:footnoteReference w:id="98"/>
      </w:r>
      <w:r>
        <w:rPr>
          <w:rFonts w:ascii="Garamond" w:hAnsi="Garamond"/>
        </w:rPr>
        <w:t xml:space="preserve"> Damiano and Goetz band the Twin Cities market by portfolio size and then override the bands when the owner is a private-equity firm or a REIT. This Article states its threshold in Part IV and reports counts sensitive to it, because a single number stated without its definition tells the reader nothing. The definitional choice is not a preliminary to the analysis. It is the analysis, because the same county yields 3,940 institutional parcels under a named-operator test and 16,615 under an entity-owned test.</w:t>
      </w:r>
      <w:r>
        <w:rPr>
          <w:rStyle w:val="FootnoteReference"/>
        </w:rPr>
        <w:footnoteReference w:id="99"/>
      </w:r>
    </w:p>
    <w:p>
      <w:pPr>
        <w:pStyle w:val="Heading1"/>
        <w:spacing w:before="360"/>
      </w:pPr>
      <w:r>
        <w:t>III. WHY NASHVILLE AS A CASE STUDY?</w:t>
      </w:r>
    </w:p>
    <w:p>
      <w:pPr>
        <w:spacing w:line="480" w:lineRule="auto" w:before="0" w:after="0"/>
        <w:ind w:firstLine="720"/>
      </w:pPr>
      <w:r>
        <w:rPr>
          <w:rFonts w:ascii="Garamond" w:hAnsi="Garamond"/>
        </w:rPr>
        <w:t>Part III explains why Davidson County is the decisive place to test the ban, and lays out the state and local law that governs the renters inside its institutional stock.</w:t>
      </w:r>
    </w:p>
    <w:p>
      <w:pPr>
        <w:pStyle w:val="Heading2"/>
      </w:pPr>
      <w:r>
        <w:t>A. The Unorthodox Rise of Institutional Single-Family Investors Post-Covid</w:t>
      </w:r>
    </w:p>
    <w:p>
      <w:pPr>
        <w:spacing w:line="480" w:lineRule="auto" w:before="0" w:after="0"/>
        <w:ind w:firstLine="720"/>
      </w:pPr>
      <w:r>
        <w:rPr>
          <w:rFonts w:ascii="Garamond" w:hAnsi="Garamond"/>
        </w:rPr>
        <w:t>Nashville compresses into a few post-pandemic years a transformation that took a decade elsewhere, and it did so without the ingredient that drove the first wave. Institutional single-family ownership began in the distressed markets of the West and Southeast, where Blackstone's Invitation Homes and the Colony, Starwood, and Waypoint operators bought foreclosed and bank-owned homes in bulk in the early 2010s.</w:t>
      </w:r>
      <w:r>
        <w:rPr>
          <w:rStyle w:val="FootnoteReference"/>
        </w:rPr>
        <w:footnoteReference w:id="100"/>
      </w:r>
      <w:r>
        <w:rPr>
          <w:rFonts w:ascii="Garamond" w:hAnsi="Garamond"/>
        </w:rPr>
        <w:t xml:space="preserve"> Phoenix ranked second among all institutional markets through 2015 and then fell out of the top ten as the distressed inventory thinned.</w:t>
      </w:r>
      <w:r>
        <w:rPr>
          <w:rStyle w:val="FootnoteReference"/>
        </w:rPr>
        <w:footnoteReference w:id="101"/>
      </w:r>
      <w:r>
        <w:rPr>
          <w:rFonts w:ascii="Garamond" w:hAnsi="Garamond"/>
        </w:rPr>
        <w:t xml:space="preserve"> Nashville was not a first-wave market. By 2015 the major REITs, Progress Residential, Invitation Homes, Colony Starwood, and American Homes 4 Rent, held a combined 2,970 homes across the Nashville region, about 0.68 percent of the region's single-family stock, concentrated in the suburban counties rather than Davidson's urban core.</w:t>
      </w:r>
      <w:r>
        <w:rPr>
          <w:rStyle w:val="FootnoteReference"/>
        </w:rPr>
        <w:footnoteReference w:id="102"/>
      </w:r>
      <w:r>
        <w:rPr>
          <w:rFonts w:ascii="Garamond" w:hAnsi="Garamond"/>
        </w:rPr>
        <w:t xml:space="preserve"> Institutional buyers noticed the metro only as the crisis-era opportunity closed elsewhere: Nashville gained share in 2016, drew 811 institutional purchases that year, and Progress Residential alone made 56 percent of them.</w:t>
      </w:r>
      <w:r>
        <w:rPr>
          <w:rStyle w:val="FootnoteReference"/>
        </w:rPr>
        <w:footnoteReference w:id="103"/>
      </w:r>
    </w:p>
    <w:p>
      <w:pPr>
        <w:spacing w:line="480" w:lineRule="auto" w:before="0" w:after="0"/>
        <w:ind w:firstLine="720"/>
      </w:pPr>
      <w:r>
        <w:rPr>
          <w:rFonts w:ascii="Garamond" w:hAnsi="Garamond"/>
        </w:rPr>
        <w:t>The pandemic changed the pace. By 2020, REITs accounted for 20 percent of home purchases in Davidson County, and in neighborhoods such as Antioch investor purchases reached 21 percent of all sales.</w:t>
      </w:r>
      <w:r>
        <w:rPr>
          <w:rStyle w:val="FootnoteReference"/>
        </w:rPr>
        <w:footnoteReference w:id="104"/>
      </w:r>
      <w:r>
        <w:rPr>
          <w:rFonts w:ascii="Garamond" w:hAnsi="Garamond"/>
        </w:rPr>
        <w:t xml:space="preserve"> The Tennessee Housing Development Agency found that seven investors holding 100 or more homes each accounted for more than half of roughly 4,000 investor purchases between 2018 and 2022, that American Homes 4 Rent led with more than 800 Davidson acquisitions, nearly 500 of them in 2020 alone, and that Progress Residential followed with 661.</w:t>
      </w:r>
      <w:r>
        <w:rPr>
          <w:rStyle w:val="FootnoteReference"/>
        </w:rPr>
        <w:footnoteReference w:id="105"/>
      </w:r>
      <w:r>
        <w:rPr>
          <w:rFonts w:ascii="Garamond" w:hAnsi="Garamond"/>
        </w:rPr>
        <w:t xml:space="preserve"> The operators did not buy distress. They competed on the open market for the same entry-level homes first-time buyers wanted, which is what makes the county a clean test: the institutional footprint here is not a residue of the 2008 foreclosure wave but a deliberate post-Covid bet on a Sun Belt boomtown.</w:t>
      </w:r>
    </w:p>
    <w:p>
      <w:pPr>
        <w:spacing w:line="480" w:lineRule="auto" w:before="0" w:after="0"/>
        <w:ind w:firstLine="720"/>
      </w:pPr>
      <w:r>
        <w:rPr>
          <w:rFonts w:ascii="Garamond" w:hAnsi="Garamond"/>
        </w:rPr>
        <w:t>The operators bought low. Investor-purchased homes in Davidson County carried a median appraised value of $296,000, against $507,000 for owner-occupied purchases.</w:t>
      </w:r>
      <w:r>
        <w:rPr>
          <w:rStyle w:val="FootnoteReference"/>
        </w:rPr>
        <w:footnoteReference w:id="106"/>
      </w:r>
      <w:r>
        <w:rPr>
          <w:rFonts w:ascii="Garamond" w:hAnsi="Garamond"/>
        </w:rPr>
        <w:t xml:space="preserve"> The operators concentrated on the entry-level stock that first-time buyers compete for. By 2022, institutional investors owned 12,573 single-family properties across the Nashville-Davidson-Murfreesboro-Franklin metropolitan area, 13.6 percent of the area's single-family rentals and 4.4 percent of all rental properties, and mega investors holding more than 1,000 homes controlled 10,560 of them.</w:t>
      </w:r>
      <w:r>
        <w:rPr>
          <w:rStyle w:val="FootnoteReference"/>
        </w:rPr>
        <w:footnoteReference w:id="107"/>
      </w:r>
      <w:r>
        <w:rPr>
          <w:rStyle w:val="FootnoteReference"/>
        </w:rPr>
        <w:footnoteReference w:id="108"/>
      </w:r>
      <w:r>
        <w:rPr>
          <w:rFonts w:ascii="Garamond" w:hAnsi="Garamond"/>
        </w:rPr>
        <w:t xml:space="preserve"> On Tammy Sue Lane in La Vergne, just across the Rutherford County line, a Progress Residential venture bought nineteen of the thirty-two homes in six years.</w:t>
      </w:r>
      <w:r>
        <w:rPr>
          <w:rStyle w:val="FootnoteReference"/>
        </w:rPr>
        <w:footnoteReference w:id="109"/>
      </w:r>
      <w:r>
        <w:rPr>
          <w:rFonts w:ascii="Garamond" w:hAnsi="Garamond"/>
        </w:rPr>
        <w:t xml:space="preserve"> The operators did not enter uniformly, and one did not stay: Invitation Homes sold 708 Davidson homes to Tricon in a 2019 exit.</w:t>
      </w:r>
      <w:r>
        <w:rPr>
          <w:rStyle w:val="FootnoteReference"/>
        </w:rPr>
        <w:footnoteReference w:id="110"/>
      </w:r>
    </w:p>
    <w:p>
      <w:pPr>
        <w:pStyle w:val="Heading2"/>
      </w:pPr>
      <w:r>
        <w:t>B. Issues and Responses in Nashville</w:t>
      </w:r>
    </w:p>
    <w:p>
      <w:pPr>
        <w:spacing w:line="480" w:lineRule="auto" w:before="0" w:after="0"/>
        <w:ind w:firstLine="720"/>
      </w:pPr>
      <w:r>
        <w:rPr>
          <w:rFonts w:ascii="Garamond" w:hAnsi="Garamond"/>
        </w:rPr>
        <w:t>The Nashville acquisition wave drew sustained local reporting and a legislative response that failed. The International Consortium of Investigative Journalists traced a billion-dollar securitized housing bet to a single Tennessee neighborhood, and local outlets documented all-cash offers outbidding resident buyers along the I-24 corridor.</w:t>
      </w:r>
      <w:r>
        <w:rPr>
          <w:rStyle w:val="FootnoteReference"/>
        </w:rPr>
        <w:footnoteReference w:id="111"/>
      </w:r>
      <w:r>
        <w:rPr>
          <w:rStyle w:val="FootnoteReference"/>
        </w:rPr>
        <w:footnoteReference w:id="112"/>
      </w:r>
      <w:r>
        <w:rPr>
          <w:rFonts w:ascii="Garamond" w:hAnsi="Garamond"/>
        </w:rPr>
        <w:t xml:space="preserve"> The Private Equity Stakeholder Project reported that Progress Residential, the county's largest operator, charged non-refundable application fees, mandatory resident-benefit packages, and ancillary charges that pushed tenant costs well above advertised rent across Tennessee and the South.</w:t>
      </w:r>
      <w:r>
        <w:rPr>
          <w:rStyle w:val="FootnoteReference"/>
        </w:rPr>
        <w:footnoteReference w:id="113"/>
      </w:r>
    </w:p>
    <w:p>
      <w:pPr>
        <w:spacing w:line="480" w:lineRule="auto" w:before="0" w:after="0"/>
        <w:ind w:firstLine="720"/>
      </w:pPr>
      <w:r>
        <w:rPr>
          <w:rFonts w:ascii="Garamond" w:hAnsi="Garamond"/>
        </w:rPr>
        <w:t>Tennessee's legislature took up the issue twice and stopped short both times. The 2024 "End Hedge Fund Control of Tennessee Homes Act" proposed a $20,000-per-property tax on investors owning more than 100 homes, with proceeds funding down-payment assistance, and died in committee.</w:t>
      </w:r>
      <w:r>
        <w:rPr>
          <w:rStyle w:val="FootnoteReference"/>
        </w:rPr>
        <w:footnoteReference w:id="114"/>
      </w:r>
      <w:r>
        <w:rPr>
          <w:rFonts w:ascii="Garamond" w:hAnsi="Garamond"/>
        </w:rPr>
        <w:t xml:space="preserve"> The 2025 "Homes Not Hedge Funds Act" passed the Senate 31 to 1 and then failed in the House.</w:t>
      </w:r>
      <w:r>
        <w:rPr>
          <w:rStyle w:val="FootnoteReference"/>
        </w:rPr>
        <w:footnoteReference w:id="115"/>
      </w:r>
      <w:r>
        <w:rPr>
          <w:rStyle w:val="FootnoteReference"/>
        </w:rPr>
        <w:footnoteReference w:id="116"/>
      </w:r>
      <w:r>
        <w:rPr>
          <w:rStyle w:val="FootnoteReference"/>
        </w:rPr>
        <w:footnoteReference w:id="117"/>
      </w:r>
      <w:r>
        <w:rPr>
          <w:rFonts w:ascii="Garamond" w:hAnsi="Garamond"/>
        </w:rPr>
        <w:t xml:space="preserve"> The state that hosts one of the country's most concentrated institutional markets has enacted none of the acquisition limits its neighbors passed, which places the full weight of ongoing regulation on the registration statute that Section D describes.</w:t>
      </w:r>
    </w:p>
    <w:p>
      <w:pPr>
        <w:pStyle w:val="Heading2"/>
      </w:pPr>
      <w:r>
        <w:t>C. Nashville's Current Housing Paradox</w:t>
      </w:r>
    </w:p>
    <w:p>
      <w:pPr>
        <w:spacing w:line="480" w:lineRule="auto" w:before="0" w:after="0"/>
        <w:ind w:firstLine="720"/>
      </w:pPr>
      <w:r>
        <w:rPr>
          <w:rFonts w:ascii="Garamond" w:hAnsi="Garamond"/>
        </w:rPr>
        <w:t>Nashville built more housing than almost any peer city and grew less affordable while doing it. From 2014 through 2022, Davidson County ranked among the nation's leaders in residential construction permits, placing as high as ninth in 2020 and never below thirty-fourth.</w:t>
      </w:r>
      <w:r>
        <w:rPr>
          <w:rStyle w:val="FootnoteReference"/>
        </w:rPr>
        <w:footnoteReference w:id="118"/>
      </w:r>
      <w:r>
        <w:rPr>
          <w:rFonts w:ascii="Garamond" w:hAnsi="Garamond"/>
        </w:rPr>
        <w:t xml:space="preserve"> Affordability collapsed across both tenures during the same years.</w:t>
      </w:r>
    </w:p>
    <w:p>
      <w:pPr>
        <w:spacing w:line="480" w:lineRule="auto" w:before="0" w:after="0"/>
        <w:ind w:firstLine="720"/>
      </w:pPr>
      <w:r>
        <w:rPr>
          <w:rFonts w:ascii="Garamond" w:hAnsi="Garamond"/>
        </w:rPr>
        <w:t>The construction that did happen was mostly rental and mostly dense. Davidson County permitted a record 16,310 housing units in 2021, but 12,164 of them sat in buildings of five or more units, and single-family permits never exceeded 4,105 in any year of the boom.</w:t>
      </w:r>
      <w:r>
        <w:rPr>
          <w:rStyle w:val="FootnoteReference"/>
        </w:rPr>
        <w:footnoteReference w:id="119"/>
      </w:r>
      <w:r>
        <w:rPr>
          <w:rFonts w:ascii="Garamond" w:hAnsi="Garamond"/>
        </w:rPr>
        <w:t xml:space="preserve"> Multifamily permitting then collapsed, from 11,246 units in 2022 to 4,138 in 2024, and single-family permits fell to 2,722, thinning the for-sale pipeline as prices climbed.</w:t>
      </w:r>
      <w:r>
        <w:rPr>
          <w:rStyle w:val="FootnoteReference"/>
        </w:rPr>
        <w:footnoteReference w:id="120"/>
      </w:r>
      <w:r>
        <w:rPr>
          <w:rFonts w:ascii="Garamond" w:hAnsi="Garamond"/>
        </w:rPr>
        <w:t xml:space="preserve"> The apartments that did deliver strained to fill: a record 14,723 multifamily units completed in 2024, and by early 2026 the glut had pushed advertised rents down 1.2 percent year over year to $1,642 and left stabilized occupancy at 93.7 percent, below a balanced market.</w:t>
      </w:r>
      <w:r>
        <w:rPr>
          <w:rStyle w:val="FootnoteReference"/>
        </w:rPr>
        <w:footnoteReference w:id="121"/>
      </w:r>
      <w:r>
        <w:rPr>
          <w:rFonts w:ascii="Garamond" w:hAnsi="Garamond"/>
        </w:rPr>
        <w:t xml:space="preserve"> The affordability ceiling reached the builders themselves. By August 2024, new homes across the Nashville metropolitan area sold for $7.10 less per square foot than existing homes, a reversal of the usual new-construction premium and the widest such gap in at least six years, as builders shrank floor plans and simplified finishes to move product.</w:t>
      </w:r>
      <w:r>
        <w:rPr>
          <w:rStyle w:val="FootnoteReference"/>
        </w:rPr>
        <w:footnoteReference w:id="122"/>
      </w:r>
      <w:r>
        <w:rPr>
          <w:rFonts w:ascii="Garamond" w:hAnsi="Garamond"/>
        </w:rPr>
        <w:t xml:space="preserve"> Davidson County proper still carried a modest new-home premium, $288 against $267 per square foot, but the metro-wide inversion marked how far price had outrun what buyers could absorb.</w:t>
      </w:r>
      <w:r>
        <w:rPr>
          <w:rStyle w:val="FootnoteReference"/>
        </w:rPr>
        <w:footnoteReference w:id="123"/>
      </w:r>
    </w:p>
    <w:p>
      <w:pPr>
        <w:pStyle w:val="Heading3"/>
      </w:pPr>
      <w:r>
        <w:t>1. The Housing Affordability Crisis</w:t>
      </w:r>
    </w:p>
    <w:p>
      <w:pPr>
        <w:spacing w:line="480" w:lineRule="auto" w:before="0" w:after="0"/>
        <w:ind w:firstLine="720"/>
      </w:pPr>
      <w:r>
        <w:rPr>
          <w:rFonts w:ascii="Garamond" w:hAnsi="Garamond"/>
        </w:rPr>
        <w:t>In 2021 the median Nashville household could afford more than half of the homes sold in the county. By 2024 it could afford one in three, even as incomes rose.</w:t>
      </w:r>
      <w:r>
        <w:rPr>
          <w:rStyle w:val="FootnoteReference"/>
        </w:rPr>
        <w:footnoteReference w:id="124"/>
      </w:r>
      <w:r>
        <w:rPr>
          <w:rFonts w:ascii="Garamond" w:hAnsi="Garamond"/>
        </w:rPr>
        <w:t xml:space="preserve"> Rents outran wages: 49 percent of Nashville renters spent more than 30 percent of household income on housing in 2023, against 22 percent of homeowners.</w:t>
      </w:r>
      <w:r>
        <w:rPr>
          <w:rStyle w:val="FootnoteReference"/>
        </w:rPr>
        <w:footnoteReference w:id="125"/>
      </w:r>
      <w:r>
        <w:rPr>
          <w:rFonts w:ascii="Garamond" w:hAnsi="Garamond"/>
        </w:rPr>
        <w:t xml:space="preserve"> Ownership offered no refuge for lower-income households, as nearly half of owners earning under $50,000 carried a cost burden by 2022 and the burdened share of those earning $50,000 to $75,000 rose about fifteen points from 2017.</w:t>
      </w:r>
      <w:r>
        <w:rPr>
          <w:rStyle w:val="FootnoteReference"/>
        </w:rPr>
        <w:footnoteReference w:id="126"/>
      </w:r>
      <w:r>
        <w:rPr>
          <w:rFonts w:ascii="Garamond" w:hAnsi="Garamond"/>
        </w:rPr>
        <w:t xml:space="preserve"> The city's Unified Housing Strategy projects that Davidson County will need roughly 91,000 new homes by 2034 to house an expected 175,000 new residents and 85,300 new households.</w:t>
      </w:r>
      <w:r>
        <w:rPr>
          <w:rStyle w:val="FootnoteReference"/>
        </w:rPr>
        <w:footnoteReference w:id="127"/>
      </w:r>
      <w:r>
        <w:rPr>
          <w:rFonts w:ascii="Garamond" w:hAnsi="Garamond"/>
        </w:rPr>
        <w:t xml:space="preserve"> Cost burden falls hardest on Black households, Hispanic households, seniors, and single-parent families.</w:t>
      </w:r>
      <w:r>
        <w:rPr>
          <w:rStyle w:val="FootnoteReference"/>
        </w:rPr>
        <w:footnoteReference w:id="128"/>
      </w:r>
    </w:p>
    <w:p>
      <w:pPr>
        <w:spacing w:line="480" w:lineRule="auto" w:before="0" w:after="0"/>
        <w:ind w:firstLine="720"/>
      </w:pPr>
      <w:r>
        <w:rPr>
          <w:rFonts w:ascii="Garamond" w:hAnsi="Garamond"/>
        </w:rPr>
        <w:t>The single-family slice of the rental market is the slice institutional operators touch. Of roughly 138,000 Davidson renter households, fewer than 30,000 rent single-family detached homes, the form the operators predominantly hold. Those renters concentrate in the county's most vulnerable census tracts, which also carry the highest eviction-filing rates and the oldest, most code-deficient stock. The operators bought into precisely those neighborhoods, a pattern Part V documents.</w:t>
      </w:r>
    </w:p>
    <w:p>
      <w:pPr>
        <w:pStyle w:val="Heading2"/>
      </w:pPr>
      <w:r>
        <w:t>D. The Tennessee Landlord Registration Act and Metro Nashville</w:t>
      </w:r>
    </w:p>
    <w:p>
      <w:pPr>
        <w:pStyle w:val="Heading3"/>
      </w:pPr>
      <w:r>
        <w:t>1. Tennessee Landlord Registration and Metro Code</w:t>
      </w:r>
    </w:p>
    <w:p>
      <w:pPr>
        <w:spacing w:line="480" w:lineRule="auto" w:before="0" w:after="0"/>
        <w:ind w:firstLine="720"/>
      </w:pPr>
      <w:r>
        <w:rPr>
          <w:rFonts w:ascii="Garamond" w:hAnsi="Garamond"/>
        </w:rPr>
        <w:t>The Tennessee General Assembly enacted Section 66-28-107 in 2006 as part of the Uniform Residential Landlord and Tenant Act.</w:t>
      </w:r>
      <w:r>
        <w:rPr>
          <w:rStyle w:val="FootnoteReference"/>
        </w:rPr>
        <w:footnoteReference w:id="129"/>
      </w:r>
      <w:r>
        <w:rPr>
          <w:rFonts w:ascii="Garamond" w:hAnsi="Garamond"/>
        </w:rPr>
        <w:t xml:space="preserve"> The statute directs each landlord of one or more dwelling units to give the local building-code agency the landlord's or agent's name, address, and telephone number, plus the address and unit number of each rental dwelling.</w:t>
      </w:r>
      <w:r>
        <w:rPr>
          <w:rStyle w:val="FootnoteReference"/>
        </w:rPr>
        <w:footnoteReference w:id="130"/>
      </w:r>
      <w:r>
        <w:rPr>
          <w:rFonts w:ascii="Garamond" w:hAnsi="Garamond"/>
        </w:rPr>
        <w:t xml:space="preserve"> Subsection (c) limits the duty to a county with a metropolitan form of government and a population above 500,000, which reaches Nashville-Davidson alone.</w:t>
      </w:r>
      <w:r>
        <w:rPr>
          <w:rStyle w:val="FootnoteReference"/>
        </w:rPr>
        <w:footnoteReference w:id="131"/>
      </w:r>
    </w:p>
    <w:p>
      <w:pPr>
        <w:spacing w:line="480" w:lineRule="auto" w:before="0" w:after="0"/>
        <w:ind w:firstLine="720"/>
      </w:pPr>
      <w:r>
        <w:rPr>
          <w:rFonts w:ascii="Garamond" w:hAnsi="Garamond"/>
        </w:rPr>
        <w:t>The 2006 statute left two gaps. It accepted any address, including a post office box, and it said nothing about a change of ownership. The General Assembly closed both gaps in 2014. The amendment rewrote subsection (a)(1)(A) to require a physical address that "does not include a post office box," added subsection (a)(3) requiring a landlord to report any change of ownership within thirty days, and extended the fifty-dollar weekly fine and the pre-fine hearing to a failure to report a transfer.</w:t>
      </w:r>
      <w:r>
        <w:rPr>
          <w:rStyle w:val="FootnoteReference"/>
        </w:rPr>
        <w:footnoteReference w:id="132"/>
      </w:r>
      <w:r>
        <w:rPr>
          <w:rFonts w:ascii="Garamond" w:hAnsi="Garamond"/>
        </w:rPr>
        <w:t xml:space="preserve"> The act became law on April 28, 2014. These two additions, the non-box physical address and the thirty-day transfer report, turn the registry into an ownership record rather than a contact list.</w:t>
      </w:r>
    </w:p>
    <w:p>
      <w:pPr>
        <w:spacing w:line="480" w:lineRule="auto" w:before="0" w:after="0"/>
        <w:ind w:firstLine="720"/>
      </w:pPr>
      <w:r>
        <w:rPr>
          <w:rFonts w:ascii="Garamond" w:hAnsi="Garamond"/>
        </w:rPr>
        <w:t>Nashville asked for that change. In March 2014 the Metropolitan Council adopted Resolution RS2014-1030, which supported the state bill to require landlords in Davidson County to provide a physical address and to report any change in address or ownership.</w:t>
      </w:r>
      <w:r>
        <w:rPr>
          <w:rStyle w:val="FootnoteReference"/>
        </w:rPr>
        <w:footnoteReference w:id="133"/>
      </w:r>
      <w:r>
        <w:rPr>
          <w:rFonts w:ascii="Garamond" w:hAnsi="Garamond"/>
        </w:rPr>
        <w:t xml:space="preserve"> The city lobbied the legislature for the teeth the statute now carries.</w:t>
      </w:r>
    </w:p>
    <w:p>
      <w:pPr>
        <w:spacing w:line="480" w:lineRule="auto" w:before="0" w:after="0"/>
        <w:ind w:firstLine="720"/>
      </w:pPr>
      <w:r>
        <w:rPr>
          <w:rFonts w:ascii="Garamond" w:hAnsi="Garamond"/>
        </w:rPr>
        <w:t>Nashville's local framework predates the registry. In 2007 the Council enacted Ordinance BL2007-1550, which added Chapter 16.33, "Rental Inspections," to the Metropolitan Code and designated rental inspection districts under the state's deteriorating-property statute.</w:t>
      </w:r>
      <w:r>
        <w:rPr>
          <w:rStyle w:val="FootnoteReference"/>
        </w:rPr>
        <w:footnoteReference w:id="134"/>
      </w:r>
      <w:r>
        <w:rPr>
          <w:rFonts w:ascii="Garamond" w:hAnsi="Garamond"/>
        </w:rPr>
        <w:t xml:space="preserve"> The Council kept returning to the registration form as an enforcement tool. In 2017 it adopted Resolution RS2017-742, which directed Codes to gather more contact information because the department was "often unable to reach landlords to resolve violations."</w:t>
      </w:r>
      <w:r>
        <w:rPr>
          <w:rStyle w:val="FootnoteReference"/>
        </w:rPr>
        <w:footnoteReference w:id="135"/>
      </w:r>
      <w:r>
        <w:rPr>
          <w:rFonts w:ascii="Garamond" w:hAnsi="Garamond"/>
        </w:rPr>
        <w:t xml:space="preserve"> In 2023 it adopted Resolution RS2023-2032, which asked Codes to record the number of unrelated persons in each unit.</w:t>
      </w:r>
      <w:r>
        <w:rPr>
          <w:rStyle w:val="FootnoteReference"/>
        </w:rPr>
        <w:footnoteReference w:id="136"/>
      </w:r>
      <w:r>
        <w:rPr>
          <w:rFonts w:ascii="Garamond" w:hAnsi="Garamond"/>
        </w:rPr>
        <w:t xml:space="preserve"> That year the Council codified the registration duty itself. Ordinance BL2022-1471, introduced in September 2022 and effective May 26, 2023, added Section 16.33.170 to the Metropolitan Code and restated the state requirement in local law: the duty to register, the ten-dollar annual fee, the ban on a post office box, the thirty-day transfer deadline, the fifty-dollar weekly fine, and a hearing with fifteen days' notice.</w:t>
      </w:r>
      <w:r>
        <w:rPr>
          <w:rStyle w:val="FootnoteReference"/>
        </w:rPr>
        <w:footnoteReference w:id="137"/>
      </w:r>
    </w:p>
    <w:p>
      <w:pPr>
        <w:spacing w:line="480" w:lineRule="auto" w:before="0" w:after="0"/>
        <w:ind w:firstLine="720"/>
      </w:pPr>
      <w:r>
        <w:rPr>
          <w:rFonts w:ascii="Garamond" w:hAnsi="Garamond"/>
        </w:rPr>
        <w:t>The Department of Codes Administration runs the program through its Property Standards Division. Every owner of a single-family residence or a two-to-four-unit property must register, and apartment complexes of five or more units are exempt.</w:t>
      </w:r>
      <w:r>
        <w:rPr>
          <w:rStyle w:val="FootnoteReference"/>
        </w:rPr>
        <w:footnoteReference w:id="138"/>
      </w:r>
      <w:r>
        <w:rPr>
          <w:rFonts w:ascii="Garamond" w:hAnsi="Garamond"/>
        </w:rPr>
        <w:t xml:space="preserve"> Registration costs ten dollars a year regardless of how many units an owner holds. The owner must supply a physical address, renew annually, and file through Metro's ePermits portal or by mail.</w:t>
      </w:r>
      <w:r>
        <w:rPr>
          <w:rStyle w:val="FootnoteReference"/>
        </w:rPr>
        <w:footnoteReference w:id="139"/>
      </w:r>
      <w:r>
        <w:rPr>
          <w:rFonts w:ascii="Garamond" w:hAnsi="Garamond"/>
        </w:rPr>
        <w:t xml:space="preserve"> Noncompliance draws the statutory fine of fifty dollars per week per dwelling unit.</w:t>
      </w:r>
      <w:r>
        <w:rPr>
          <w:rStyle w:val="FootnoteReference"/>
        </w:rPr>
        <w:footnoteReference w:id="140"/>
      </w:r>
      <w:r>
        <w:rPr>
          <w:rFonts w:ascii="Garamond" w:hAnsi="Garamond"/>
        </w:rPr>
        <w:t xml:space="preserve"> Each registration flows through ePermits, so it carries a case record in the same system that holds building permits, recorded as case type 176. That is how this Article obtains the roll.</w:t>
      </w:r>
    </w:p>
    <w:p>
      <w:pPr>
        <w:spacing w:line="480" w:lineRule="auto" w:before="0" w:after="0"/>
        <w:ind w:firstLine="720"/>
      </w:pPr>
      <w:r>
        <w:rPr>
          <w:rFonts w:ascii="Garamond" w:hAnsi="Garamond"/>
        </w:rPr>
        <w:t>Tennessee tried to extend the registry in 2025 and failed. Senate Bill 592 and House Bill 648 would have let a landlord of a five-or-more-unit property file a single form, and would have deleted subsection (c) so that any municipal, metropolitan, or county government could adopt the requirement by ordinance or resolution.</w:t>
      </w:r>
      <w:r>
        <w:rPr>
          <w:rStyle w:val="FootnoteReference"/>
        </w:rPr>
        <w:footnoteReference w:id="141"/>
      </w:r>
      <w:r>
        <w:rPr>
          <w:rFonts w:ascii="Garamond" w:hAnsi="Garamond"/>
        </w:rPr>
        <w:t xml:space="preserve"> The bills did not pass. As the Tennessee Municipal League observed, the registry "addresses many of the challenges of contacting non-resident owners. However, it only applies to Nashville."</w:t>
      </w:r>
      <w:r>
        <w:rPr>
          <w:rStyle w:val="FootnoteReference"/>
        </w:rPr>
        <w:footnoteReference w:id="142"/>
      </w:r>
      <w:r>
        <w:rPr>
          <w:rFonts w:ascii="Garamond" w:hAnsi="Garamond"/>
        </w:rPr>
        <w:t xml:space="preserve"> By operation of subsection (c), registration remains a Nashville-Davidson instrument.</w:t>
      </w:r>
    </w:p>
    <w:p>
      <w:pPr>
        <w:spacing w:line="480" w:lineRule="auto" w:before="0" w:after="0"/>
        <w:ind w:firstLine="720"/>
      </w:pPr>
      <w:r>
        <w:rPr>
          <w:rFonts w:ascii="Garamond" w:hAnsi="Garamond"/>
        </w:rPr>
        <w:t>Subsection (a)(1)(B) controls the compliance analysis in this Article. The statute does not ask whether a landlord has filed something. It asks whether the landlord has listed every unit by address. An operator that holds 1,300 homes and files one portfolio registration identifies itself under (a)(1)(A) and enumerates none of its 1,300 units under (a)(1)(B). The filing is real. The statutory compliance is not. Tennessee built this registry for code enforcement, and it built it for one county. The result is a mandatory, annually renewed, owner-to-unit record that no deed index or assessor roll matches for the rental stock. That record is the foundation this Article builds on.</w:t>
      </w:r>
    </w:p>
    <w:p>
      <w:pPr>
        <w:pStyle w:val="Heading3"/>
      </w:pPr>
      <w:r>
        <w:t>2. Eviction Procedures and Notice Requirements</w:t>
      </w:r>
    </w:p>
    <w:p>
      <w:pPr>
        <w:spacing w:line="480" w:lineRule="auto" w:before="0" w:after="0"/>
        <w:ind w:firstLine="720"/>
      </w:pPr>
      <w:r>
        <w:rPr>
          <w:rFonts w:ascii="Garamond" w:hAnsi="Garamond"/>
        </w:rPr>
        <w:t>Eviction in Davidson County runs on state law in a county court. The Uniform Residential Landlord and Tenant Act, Tennessee Code Annotated sections 66-28-101 through -521, sets the grounds and the notice a landlord must give before terminating a tenancy.</w:t>
      </w:r>
      <w:r>
        <w:rPr>
          <w:rStyle w:val="FootnoteReference"/>
        </w:rPr>
        <w:footnoteReference w:id="143"/>
      </w:r>
      <w:r>
        <w:rPr>
          <w:rFonts w:ascii="Garamond" w:hAnsi="Garamond"/>
        </w:rPr>
        <w:t xml:space="preserve"> The eviction proceeds under the forcible entry and detainer statutes, sections 29-18-101 through -135, which supply the detainer warrant, the judgment for possession, and the writ that removes the tenant.</w:t>
      </w:r>
      <w:r>
        <w:rPr>
          <w:rStyle w:val="FootnoteReference"/>
        </w:rPr>
        <w:footnoteReference w:id="144"/>
      </w:r>
      <w:r>
        <w:rPr>
          <w:rFonts w:ascii="Garamond" w:hAnsi="Garamond"/>
        </w:rPr>
        <w:t xml:space="preserve"> A forcible detainer arises when a person enters lawfully and then holds unlawfully by a means that section 29-18-102 enumerates. Section 29-18-107 places these actions in general sessions court, so a Nashville landlord files and litigates the detainer warrant in Davidson County General Sessions Court, with appeal to circuit court under section 29-18-108 and a ten-day appeal window under section 29-18-126.</w:t>
      </w:r>
      <w:r>
        <w:rPr>
          <w:rStyle w:val="FootnoteReference"/>
        </w:rPr>
        <w:footnoteReference w:id="145"/>
      </w:r>
    </w:p>
    <w:p>
      <w:pPr>
        <w:spacing w:line="480" w:lineRule="auto" w:before="0" w:after="0"/>
        <w:ind w:firstLine="720"/>
      </w:pPr>
      <w:r>
        <w:rPr>
          <w:rFonts w:ascii="Garamond" w:hAnsi="Garamond"/>
        </w:rPr>
        <w:t>Metro layers tenant protections on top of the state action without altering the underlying cause of action. Local ordinances require advance written notice before a rent increase (Ordinance BL2020-149, codified at Metro Code section 11.22.010), sixty days' notice before a landlord declines to renew a lease of a year or longer and fourteen days' notice of a change in ownership (BL2020-456, section 11.22.030), and, since June 2026, a permanent Eviction Right to Counsel program (BL2026-1382). State law adds sixty days' notice for older tenants displaced by redevelopment under the Norma Jean Upshaw Act of 2023.</w:t>
      </w:r>
      <w:r>
        <w:rPr>
          <w:rStyle w:val="FootnoteReference"/>
        </w:rPr>
        <w:footnoteReference w:id="146"/>
      </w:r>
      <w:r>
        <w:rPr>
          <w:rFonts w:ascii="Garamond" w:hAnsi="Garamond"/>
        </w:rPr>
        <w:t xml:space="preserve"> The city has funded the tenant side directly as well, appropriating federal relief money for eviction legal defense in successive years, roughly $2.6 million in 2022, $2.4 million in 2024, and $2.2 million in 2025.</w:t>
      </w:r>
      <w:r>
        <w:rPr>
          <w:rStyle w:val="FootnoteReference"/>
        </w:rPr>
        <w:footnoteReference w:id="147"/>
      </w:r>
      <w:r>
        <w:rPr>
          <w:rFonts w:ascii="Garamond" w:hAnsi="Garamond"/>
        </w:rPr>
        <w:t xml:space="preserve"> These provisions add procedure around a state-law proceeding heard in a county court, and they connect to the registration analysis because both regimes assume a locatable, responsive owner.</w:t>
      </w:r>
    </w:p>
    <w:p>
      <w:pPr>
        <w:pStyle w:val="Heading1"/>
        <w:spacing w:before="360"/>
      </w:pPr>
      <w:r>
        <w:t>IV. METHODS, DATASETS, AND DEFINITIONS</w:t>
      </w:r>
    </w:p>
    <w:p>
      <w:pPr>
        <w:spacing w:line="480" w:lineRule="auto" w:before="0" w:after="0"/>
        <w:ind w:firstLine="720"/>
      </w:pPr>
      <w:r>
        <w:rPr>
          <w:rFonts w:ascii="Garamond" w:hAnsi="Garamond"/>
        </w:rPr>
        <w:t>Part IV states the questions, the data, the method, and the definitional choices that anchor the counts.</w:t>
      </w:r>
    </w:p>
    <w:p>
      <w:pPr>
        <w:pStyle w:val="Heading2"/>
      </w:pPr>
      <w:r>
        <w:t>A. Research Questions</w:t>
      </w:r>
    </w:p>
    <w:p>
      <w:pPr>
        <w:spacing w:line="480" w:lineRule="auto" w:before="0" w:after="0"/>
        <w:ind w:firstLine="720"/>
      </w:pPr>
      <w:r>
        <w:rPr>
          <w:rFonts w:ascii="Garamond" w:hAnsi="Garamond"/>
        </w:rPr>
        <w:t>This Article answers five questions in the order the findings follow. First, concentration: where do institutional single-family rentals cluster, how heavily, and how does institutional ownership compare to owner-occupancy and to non-institutional rental within the same tract and against neighborhood vulnerability. Second, compliance: whether institutional landlords satisfy the state and municipal registration duty, including the physical-address and per-unit requirements, and whether their registrations kept pace with their acquisitions. Third, enforcement: whether tenants report property-standards violations through the hubNashville 311 system and whether those reports produce enforcement. Fourth, rent premium: whether institutional landlords charge more than comparable non-institutional rentals. Fifth, eviction concentration: whether evictions cluster in the tracts where institutional ownership clusters.</w:t>
      </w:r>
    </w:p>
    <w:p>
      <w:pPr>
        <w:pStyle w:val="Heading2"/>
      </w:pPr>
      <w:r>
        <w:t>B. Datasets</w:t>
      </w:r>
    </w:p>
    <w:p>
      <w:pPr>
        <w:spacing w:line="480" w:lineRule="auto" w:before="0" w:after="0"/>
        <w:ind w:firstLine="720"/>
      </w:pPr>
      <w:r>
        <w:rPr>
          <w:rFonts w:ascii="Garamond" w:hAnsi="Garamond"/>
        </w:rPr>
        <w:t>Five datasets support the analysis. The registration universe comes from a complete pull of Metro Nashville's ePermits application programming interface at case type 176, the landlord registration case type, joined at the case level to the linked address and people endpoints to build one owner-to-property table: 26,468 registration cases and 50,526 parcel-rows, pulled July 9, 2026.</w:t>
      </w:r>
      <w:r>
        <w:rPr>
          <w:rStyle w:val="FootnoteReference"/>
        </w:rPr>
        <w:footnoteReference w:id="148"/>
      </w:r>
      <w:r>
        <w:rPr>
          <w:rFonts w:ascii="Garamond" w:hAnsi="Garamond"/>
        </w:rPr>
        <w:t xml:space="preserve"> The enforcement universe comes from a parallel pull of the property-standards case type, the landlord-registration violation subtype, and the violation table: 2,300 landlord-registration violations recorded from 2008 through 2026.</w:t>
      </w:r>
      <w:r>
        <w:rPr>
          <w:rStyle w:val="FootnoteReference"/>
        </w:rPr>
        <w:footnoteReference w:id="149"/>
      </w:r>
      <w:r>
        <w:rPr>
          <w:rFonts w:ascii="Garamond" w:hAnsi="Garamond"/>
        </w:rPr>
        <w:t xml:space="preserve"> The demographic and rent-burden measures come from the Census Bureau's American Community Survey five-year estimates at the tract and block-group level, using the tenure table (B25003), the units-in-structure-by-tenure table (B25032), and the gross-rent-as-a-share-of-income table (B25070), 2020 to 2024 vintage unless a series is stated otherwise.</w:t>
      </w:r>
      <w:r>
        <w:rPr>
          <w:rStyle w:val="FootnoteReference"/>
        </w:rPr>
        <w:footnoteReference w:id="150"/>
      </w:r>
      <w:r>
        <w:rPr>
          <w:rFonts w:ascii="Garamond" w:hAnsi="Garamond"/>
        </w:rPr>
        <w:t xml:space="preserve"> Institutional asking rents come from two sources, the operators' Securities and Exchange Commission filings, which disclose portfolio-level rent and occupancy, and listing-level rental data, which captures advertised rents for institutional-owned homes; the listing data is the one non-governmental source in this Article, and Section V.C and Appendix B say so where it is used. The eviction measure comes from detainer warrants filed in Davidson County General Sessions Court, accessed through CaseLink by party-name searches of every shell in each operator's family in June 2026: 2,049 detainer warrants with a named operator as plaintiff.</w:t>
      </w:r>
      <w:r>
        <w:rPr>
          <w:rStyle w:val="FootnoteReference"/>
        </w:rPr>
        <w:footnoteReference w:id="151"/>
      </w:r>
      <w:r>
        <w:rPr>
          <w:rFonts w:ascii="Garamond" w:hAnsi="Garamond"/>
        </w:rPr>
        <w:t xml:space="preserve"> The Eviction Lab's Davidson tract series serves as a cross-check on county volume.</w:t>
      </w:r>
    </w:p>
    <w:p>
      <w:pPr>
        <w:pStyle w:val="Heading2"/>
      </w:pPr>
      <w:r>
        <w:t>C. Methods</w:t>
      </w:r>
    </w:p>
    <w:p>
      <w:pPr>
        <w:spacing w:line="480" w:lineRule="auto" w:before="0" w:after="0"/>
        <w:ind w:firstLine="720"/>
      </w:pPr>
      <w:r>
        <w:rPr>
          <w:rFonts w:ascii="Garamond" w:hAnsi="Garamond"/>
        </w:rPr>
        <w:t>The analysis joins these datasets to the parcel record on the Davidson County Assessor's Parcel Number. The ownership universe is a parcel-level file of entity-owned single-family parcels built from the county tax roll by ranking owners by parcel count, classifying the largest owners by hand, and tracing securitization-entity names to operator brands through Securities and Exchange Commission filings and investor presentations. The analysis carries two nested counts. Of the 205,933 framework homes, companies rather than people hold 16,615 (8.1 percent), the county-wide owner-type figure for the whole one- and two-unit stock. Of those, 14,193 are non-owner-occupied by the mailing-address test, and 3,940 belong to the named national single-family rental operators whose shells the series resolves to parents through its July 22, 2026 crosswalk.</w:t>
      </w:r>
      <w:r>
        <w:rPr>
          <w:rStyle w:val="FootnoteReference"/>
        </w:rPr>
        <w:footnoteReference w:id="152"/>
      </w:r>
      <w:r>
        <w:rPr>
          <w:rFonts w:ascii="Garamond" w:hAnsi="Garamond"/>
        </w:rPr>
        <w:t xml:space="preserve"> The block-group and tract-level findings use the entity-owned non-owner-occupied set; the operator-specific findings use the named-operator set, and each table states which.</w:t>
      </w:r>
    </w:p>
    <w:p>
      <w:pPr>
        <w:spacing w:line="480" w:lineRule="auto" w:before="0" w:after="0"/>
        <w:ind w:firstLine="720"/>
      </w:pPr>
      <w:r>
        <w:rPr>
          <w:rFonts w:ascii="Garamond" w:hAnsi="Garamond"/>
        </w:rPr>
        <w:t>The Article measures compliance two ways. The corporate method counts an operator as compliant for a parcel when the operator has filed any registration covering its portfolio. The per-parcel method, which subsection (a)(1)(B) requires, counts a parcel as compliant only when a registration lists that specific street address after the operator acquired it. The two methods produce sharply different pictures of the same operators, and the gap between them is the central finding. This Article treats the per-parcel method as canonical because it measures what the statute commands, and it reports the corporate method to show the compliance the operators claim under a reading the statute does not support. Renter cost burden, tenure, and demographic measures come from the American Community Survey five-year estimates; reported rents come from the operators' securities filings; and market rents come from listing-level data. The appendix sets out the entity-classification heuristics and the request templates in full.</w:t>
      </w:r>
    </w:p>
    <w:p>
      <w:pPr>
        <w:pStyle w:val="Heading2"/>
      </w:pPr>
      <w:r>
        <w:t>D. Definitions, Prior Studies, and the Gap</w:t>
      </w:r>
    </w:p>
    <w:p>
      <w:pPr>
        <w:spacing w:line="480" w:lineRule="auto" w:before="0" w:after="0"/>
        <w:ind w:firstLine="720"/>
      </w:pPr>
      <w:r>
        <w:rPr>
          <w:rFonts w:ascii="Garamond" w:hAnsi="Garamond"/>
        </w:rPr>
        <w:t>Two Nashville-specific studies precede this one, and each left the question this Article answers. Chilton, Silverman, Chaudhry, and Wang identified 2,258 institutionally owned properties across the six-county metro using 2017 assessor records and 2015 census data, and found the REITs clustered in newer, middle-to-upper-income suburban tracts with higher owner-occupancy and lower poverty.</w:t>
      </w:r>
      <w:r>
        <w:rPr>
          <w:rStyle w:val="FootnoteReference"/>
        </w:rPr>
        <w:footnoteReference w:id="153"/>
      </w:r>
      <w:r>
        <w:rPr>
          <w:rFonts w:ascii="Garamond" w:hAnsi="Garamond"/>
        </w:rPr>
        <w:t xml:space="preserve"> The study tracked only four named REITs, ran descriptive t-tests, and called for three things it did not do: multivariate analysis, time-series tracking, and parcel-level resolution below the tract.</w:t>
      </w:r>
      <w:r>
        <w:rPr>
          <w:rStyle w:val="FootnoteReference"/>
        </w:rPr>
        <w:footnoteReference w:id="154"/>
      </w:r>
      <w:r>
        <w:rPr>
          <w:rFonts w:ascii="Garamond" w:hAnsi="Garamond"/>
        </w:rPr>
        <w:t xml:space="preserve"> It also defined single-family as detached only and used the six-county metro as its unit, which inflated the metropolitan figure while diluting Davidson County's concentration.</w:t>
      </w:r>
      <w:r>
        <w:rPr>
          <w:rStyle w:val="FootnoteReference"/>
        </w:rPr>
        <w:footnoteReference w:id="155"/>
      </w:r>
      <w:r>
        <w:rPr>
          <w:rFonts w:ascii="Garamond" w:hAnsi="Garamond"/>
        </w:rPr>
        <w:t xml:space="preserve"> This Article supplies the multivariate, longitudinal, parcel-level Davidson analysis Chilton called for.</w:t>
      </w:r>
    </w:p>
    <w:p>
      <w:pPr>
        <w:spacing w:line="480" w:lineRule="auto" w:before="0" w:after="0"/>
        <w:ind w:firstLine="720"/>
      </w:pPr>
      <w:r>
        <w:rPr>
          <w:rFonts w:ascii="Garamond" w:hAnsi="Garamond"/>
        </w:rPr>
        <w:t>The Tennessee Housing Development Agency published the only other county-specific study in May 2024, examining purchases from 2018 through 2022.</w:t>
      </w:r>
      <w:r>
        <w:rPr>
          <w:rStyle w:val="FootnoteReference"/>
        </w:rPr>
        <w:footnoteReference w:id="156"/>
      </w:r>
      <w:r>
        <w:rPr>
          <w:rFonts w:ascii="Garamond" w:hAnsi="Garamond"/>
        </w:rPr>
        <w:t xml:space="preserve"> Arik found that investors accounted for 7 percent of purchases, peaking at 20 percent in the first quarter of 2020, and that investor-purchased homes appraised at a median $296,000 against $507,000 for owner-occupied purchases.</w:t>
      </w:r>
      <w:r>
        <w:rPr>
          <w:rStyle w:val="FootnoteReference"/>
        </w:rPr>
        <w:footnoteReference w:id="157"/>
      </w:r>
      <w:r>
        <w:rPr>
          <w:rFonts w:ascii="Garamond" w:hAnsi="Garamond"/>
        </w:rPr>
        <w:t xml:space="preserve"> The study used Redfin's investor test, which counts any buyer with a corporate identifier in its name or any buyer of three or more homes in a year. That test conflates a one-person LLC with a REIT holding tens of thousands of homes, captures a five-year acquisition window rather than current ownership, and resolves no parent-subsidiary relationships.</w:t>
      </w:r>
      <w:r>
        <w:rPr>
          <w:rStyle w:val="FootnoteReference"/>
        </w:rPr>
        <w:footnoteReference w:id="158"/>
      </w:r>
      <w:r>
        <w:rPr>
          <w:rFonts w:ascii="Garamond" w:hAnsi="Garamond"/>
        </w:rPr>
        <w:t xml:space="preserve"> Its 7 percent figure understates the standing institutional footprint that a current-ownership count reveals.</w:t>
      </w:r>
    </w:p>
    <w:p>
      <w:pPr>
        <w:spacing w:line="480" w:lineRule="auto" w:before="0" w:after="0"/>
        <w:ind w:firstLine="720"/>
      </w:pPr>
      <w:r>
        <w:rPr>
          <w:rFonts w:ascii="Garamond" w:hAnsi="Garamond"/>
        </w:rPr>
        <w:t>Two further studies frame the method rather than the market. Harrison, Immergluck, and Walker's Memphis analysis is the closest methodological sibling, because it resolves the definitional problem with an SEC-filer override and asks four questions this Article adapts to Davidson County: whether institutional investors buy worse-condition, older, and lower-valued properties, and whether they buy in different neighborhoods than mom-and-pop or other corporate investors.</w:t>
      </w:r>
      <w:r>
        <w:rPr>
          <w:rStyle w:val="FootnoteReference"/>
        </w:rPr>
        <w:footnoteReference w:id="159"/>
      </w:r>
      <w:r>
        <w:rPr>
          <w:rFonts w:ascii="Garamond" w:hAnsi="Garamond"/>
        </w:rPr>
        <w:t xml:space="preserve"> Sharma and Samarin frame the rent-burden method across a trilogy of Tennessee studies: rent-burden determinants in Davidson and Shelby counties, an interdisciplinary review of rental tenure and rent burden, and a tract-scale Rent Burden Index calibrated to the census tracts of the Nashville metropolitan area.</w:t>
      </w:r>
      <w:r>
        <w:rPr>
          <w:rStyle w:val="FootnoteReference"/>
        </w:rPr>
        <w:footnoteReference w:id="160"/>
      </w:r>
      <w:r>
        <w:rPr>
          <w:rStyle w:val="FootnoteReference"/>
        </w:rPr>
        <w:footnoteReference w:id="161"/>
      </w:r>
      <w:r>
        <w:rPr>
          <w:rStyle w:val="FootnoteReference"/>
        </w:rPr>
        <w:footnoteReference w:id="162"/>
      </w:r>
      <w:r>
        <w:rPr>
          <w:rFonts w:ascii="Garamond" w:hAnsi="Garamond"/>
        </w:rPr>
        <w:t xml:space="preserve"> Each models the demographic predictors of rent burden rather than institutional ownership. This Article adopts their tract-scale burden framing and joins it to the ownership record they do not reach. The gap this Article fills sits precisely there: no prior study has joined parcel-level institutional ownership, parent-subsidiary resolution, census demographics, and the registration record at the county scale.</w:t>
      </w:r>
    </w:p>
    <w:p>
      <w:pPr>
        <w:pStyle w:val="Heading1"/>
        <w:spacing w:before="360"/>
      </w:pPr>
      <w:r>
        <w:t>V. FINDINGS</w:t>
      </w:r>
    </w:p>
    <w:p>
      <w:pPr>
        <w:spacing w:line="480" w:lineRule="auto" w:before="0" w:after="0"/>
        <w:ind w:firstLine="720"/>
      </w:pPr>
      <w:r>
        <w:rPr>
          <w:rFonts w:ascii="Garamond" w:hAnsi="Garamond"/>
        </w:rPr>
        <w:t>Part V presents the findings in the order the questions posed them. The five questions resolve into four findings: where the operators concentrate, whether they register, what their tenancies cost, and where evictions fall.</w:t>
      </w:r>
    </w:p>
    <w:p>
      <w:pPr>
        <w:pStyle w:val="Heading2"/>
      </w:pPr>
      <w:r>
        <w:t>A. Where Institutional Rentals Concentrate</w:t>
      </w:r>
    </w:p>
    <w:p>
      <w:pPr>
        <w:spacing w:line="480" w:lineRule="auto" w:before="0" w:after="0"/>
        <w:ind w:firstLine="720"/>
      </w:pPr>
      <w:r>
        <w:rPr>
          <w:rFonts w:ascii="Garamond" w:hAnsi="Garamond"/>
        </w:rPr>
        <w:t>Corporate ownership leans toward the neighborhoods where renters are most vulnerable, and the national operators lean less than the local companies do. Davidson County holds 174 census tracts and 487 block groups, and 147 of those block groups, 30.2 percent, rank high or very high on a renter-vulnerability index built from cost burden, poverty, unemployment, vehicle access, and limited English proficiency. Those block groups house 71,284 renters, 51.4 percent of the county's 138,670. Of the county's 206,067 framework homes, 21.2 percent sit in those block groups. Of the 14,193 entity-owned, non-owner-occupied homes, 34.1 percent do. Of the 4,405 homes the named single-family rental operators hold, 1,215, or 27.6 percent, do.</w:t>
      </w:r>
      <w:r>
        <w:rPr>
          <w:rStyle w:val="FootnoteReference"/>
        </w:rPr>
        <w:footnoteReference w:id="163"/>
      </w:r>
      <w:r>
        <w:rPr>
          <w:rFonts w:ascii="Garamond" w:hAnsi="Garamond"/>
        </w:rPr>
        <w:t xml:space="preserve"> The operators differ among themselves. Tricon holds 11.6 percent of its homes in the vulnerable block groups, Progress Residential and American Homes 4 Rent about 20 percent each, Amherst 21.9, and Starwood 38.6, while the locally based Normandy Group holds 94.0 percent of its 302 homes there. The national operators bought the cheap end of middle-income neighborhoods, the pattern Part I finds at the tract scale, and the county's most burdened blocks belong to local corporate landlords rather than to the operators the Act names. Appendix Table A2 reports the shares by operator.</w:t>
      </w:r>
    </w:p>
    <w:p>
      <w:pPr>
        <w:pStyle w:val="Heading2"/>
      </w:pPr>
      <w:r>
        <w:t>B. The Registration Gap</w:t>
      </w:r>
    </w:p>
    <w:p>
      <w:pPr>
        <w:spacing w:line="480" w:lineRule="auto" w:before="0" w:after="0"/>
        <w:ind w:firstLine="720"/>
      </w:pPr>
      <w:r>
        <w:rPr>
          <w:rFonts w:ascii="Garamond" w:hAnsi="Garamond"/>
        </w:rPr>
        <w:t>The registration record is bimodal, and the split follows business model rather than size. Measured by the enumeration subsection (a)(1)(B) requires, a registration that lists the parcel's street address and was filed after the deed that put the parcel in its current entity, the scattered-acquisition operators register most of what they own. My Community Homes lists 100 of its 100 parcels, RESICAP 64 of 64, FirstKey 80 of 84 (95.2 percent), Amherst 567 of 654 (86.7), Maymont 90 of 106 (84.9), Progress Residential 873 of 1,232 (70.9), Home Partners 14 of 20, and Tricon 171 of 276 (62.0). The other half of the market registers almost nothing. American Homes 4 Rent lists 23 of the 1,092 homes it holds (2.1 percent), Rithm Capital one of 52, Starwood two of 251, the Sparrow and Nuveen venture five of 35, and Invitation Homes and VineBrook none.</w:t>
      </w:r>
      <w:r>
        <w:rPr>
          <w:rStyle w:val="FootnoteReference"/>
        </w:rPr>
        <w:footnoteReference w:id="164"/>
      </w:r>
      <w:r>
        <w:rPr>
          <w:rFonts w:ascii="Garamond" w:hAnsi="Garamond"/>
        </w:rPr>
        <w:t xml:space="preserve"> Appendix Table A1 reports every operator on three measures.</w:t>
      </w:r>
    </w:p>
    <w:p>
      <w:pPr>
        <w:spacing w:line="480" w:lineRule="auto" w:before="0" w:after="0"/>
        <w:ind w:firstLine="720"/>
      </w:pPr>
      <w:r>
        <w:rPr>
          <w:rFonts w:ascii="Garamond" w:hAnsi="Garamond"/>
        </w:rPr>
        <w:t>American Homes 4 Rent shows what the portfolio-filing convention looks like in the record. Every registration on its Davidson parcels traces to three early cases, one of them a 2012 filing that enumerated 438 addresses at once, and 433 of those parcels still carry an Issued status from that filing. Only 23 of the 1,092 homes the operator holds today were registered after the deed that moved them into their current borrower entity. The operator identified itself and listed its homes once, fourteen years and several intra-company transfers ago, and has not filed since, though the 2014 amendment requires a report within thirty days of any change in ownership. Its securities filings confirm that it manages its homes internally, so no third-party manager carries the duty in its place.</w:t>
      </w:r>
      <w:r>
        <w:rPr>
          <w:rStyle w:val="FootnoteReference"/>
        </w:rPr>
        <w:footnoteReference w:id="165"/>
      </w:r>
      <w:r>
        <w:rPr>
          <w:rFonts w:ascii="Garamond" w:hAnsi="Garamond"/>
        </w:rPr>
        <w:t xml:space="preserve"> The operators that register did most of it recently and through their managers. Progress filed in two waves, 208 parcel-rows in 2022 and 678 in 2024, naming Progress Residential Property Managers; Amherst filed 1,137 parcel-rows in 2025 through Main Street Renewal; Tricon filed 173 in 2025. The compliance the record shows is three years old.</w:t>
      </w:r>
      <w:r>
        <w:rPr>
          <w:rStyle w:val="FootnoteReference"/>
        </w:rPr>
        <w:footnoteReference w:id="166"/>
      </w:r>
    </w:p>
    <w:p>
      <w:pPr>
        <w:spacing w:line="480" w:lineRule="auto" w:before="0" w:after="0"/>
        <w:ind w:firstLine="720"/>
      </w:pPr>
      <w:r>
        <w:rPr>
          <w:rFonts w:ascii="Garamond" w:hAnsi="Garamond"/>
        </w:rPr>
        <w:t>Where the operators register, they register late. Among parcels with a post-deed filing, the median lag from deed to registration runs 49.6 months for Progress, 55.5 for Home Partners, 43.8 for FirstKey, 41.9 for Maymont, 41.4 for Tricon, 35.2 for My Community Homes, 29.0 for RESICAP, and 22.3 for Amherst. Only American Homes 4 Rent's 23 post-deed filings (2.5 months) and Sparrow's five (3.9 months) fall near the statute's thirty-day window, and those are the operators that barely file at all. The statute contemplates registration when a unit becomes a rental, so a lag measured in years is a compliance failure independent of whether the filing eventually arrives.</w:t>
      </w:r>
      <w:r>
        <w:rPr>
          <w:rStyle w:val="FootnoteReference"/>
        </w:rPr>
        <w:footnoteReference w:id="167"/>
      </w:r>
    </w:p>
    <w:p>
      <w:pPr>
        <w:spacing w:line="480" w:lineRule="auto" w:before="0" w:after="0"/>
        <w:ind w:firstLine="720"/>
      </w:pPr>
      <w:r>
        <w:rPr>
          <w:rFonts w:ascii="Garamond" w:hAnsi="Garamond"/>
        </w:rPr>
        <w:t>Enforcement runs far below the scale of non-compliance, and it runs far above the seventeen citations an earlier reading of the docket reported. Querying the case subtype returns seventeen cases. Querying the violation table returns 2,300 landlord-registration violations recorded between 2008 and 2026.</w:t>
      </w:r>
      <w:r>
        <w:rPr>
          <w:rStyle w:val="FootnoteReference"/>
        </w:rPr>
        <w:footnoteReference w:id="168"/>
      </w:r>
      <w:r>
        <w:rPr>
          <w:rFonts w:ascii="Garamond" w:hAnsi="Garamond"/>
        </w:rPr>
        <w:t xml:space="preserve"> The enforcement failure is not that Metro rarely cites. It is that Metro cites and stops.</w:t>
      </w:r>
    </w:p>
    <w:p>
      <w:pPr>
        <w:spacing w:line="480" w:lineRule="auto" w:before="0" w:after="0"/>
        <w:ind w:firstLine="720"/>
      </w:pPr>
      <w:r>
        <w:rPr>
          <w:rFonts w:ascii="Garamond" w:hAnsi="Garamond"/>
        </w:rPr>
        <w:t>Attribution decides who those citations name. A citation joined to the parcel's current assessor owner credits whoever holds title today with a violation written years earlier against someone else. Amherst's BAF Assets 4 shell appears as the owner of a home cited on February 1, 2017, but the shell bought that parcel on February 25, 2022, five years after the citation, and the party Metro cited was William and Vicki Swinehart.</w:t>
      </w:r>
      <w:r>
        <w:rPr>
          <w:rStyle w:val="FootnoteReference"/>
        </w:rPr>
        <w:footnoteReference w:id="169"/>
      </w:r>
      <w:r>
        <w:rPr>
          <w:rFonts w:ascii="Garamond" w:hAnsi="Garamond"/>
        </w:rPr>
        <w:t xml:space="preserve"> Reading the party the city actually named cuts the count of large institutional investors from an apparent thirty-three to sixteen. Recovering the cases that record no party, from the chain of title, brings the total to nineteen.</w:t>
      </w:r>
      <w:r>
        <w:rPr>
          <w:rStyle w:val="FootnoteReference"/>
        </w:rPr>
        <w:footnoteReference w:id="170"/>
      </w:r>
    </w:p>
    <w:p>
      <w:pPr>
        <w:spacing w:line="480" w:lineRule="auto" w:before="0" w:after="0"/>
        <w:ind w:firstLine="720"/>
      </w:pPr>
      <w:r>
        <w:rPr>
          <w:rFonts w:ascii="Garamond" w:hAnsi="Garamond"/>
        </w:rPr>
        <w:t>Classified by owner type, and reserving the institutional tier for entities holding 350 or more single-family homes nationwide, the 2,298 citations with a resolved party fall almost entirely on people. Individuals absorb 1,882. Other corporate owners take 308, trusts 70, banks and lenders 13, and the Metropolitan Development and Housing Agency 7. Large institutional investors account for nineteen, or eight-tenths of one percent of the enforcement record.</w:t>
      </w:r>
      <w:r>
        <w:rPr>
          <w:rStyle w:val="FootnoteReference"/>
        </w:rPr>
        <w:footnoteReference w:id="171"/>
      </w:r>
      <w:r>
        <w:rPr>
          <w:rFonts w:ascii="Garamond" w:hAnsi="Garamond"/>
        </w:rPr>
        <w:t xml:space="preserve"> Restricting the universe to single-family homes as the statute defines them does not move the numerator. All nineteen fall inside it, and the institutional share rises only to 1.06 percent.</w:t>
      </w:r>
      <w:r>
        <w:rPr>
          <w:rStyle w:val="FootnoteReference"/>
        </w:rPr>
        <w:footnoteReference w:id="172"/>
      </w:r>
    </w:p>
    <w:p>
      <w:pPr>
        <w:spacing w:line="480" w:lineRule="auto" w:before="0" w:after="0"/>
        <w:ind w:firstLine="720"/>
      </w:pPr>
      <w:r>
        <w:rPr>
          <w:rFonts w:ascii="Garamond" w:hAnsi="Garamond"/>
        </w:rPr>
        <w:t>The citations are trivial in number, and the portfolios behind them are not. Progress Residential held 1,616 Davidson homes on January 3, 2023, the day Metro cited it once for an unregistered rental. American Homes 4 Rent held 1,203 on June 30, 2022. Tricon held 243 on January 31, 2025, the day it drew the citation at 1008 Hickory Bark Court.</w:t>
      </w:r>
      <w:r>
        <w:rPr>
          <w:rStyle w:val="FootnoteReference"/>
        </w:rPr>
        <w:footnoteReference w:id="173"/>
      </w:r>
    </w:p>
    <w:p>
      <w:pPr>
        <w:spacing w:line="480" w:lineRule="auto" w:before="0" w:after="0"/>
        <w:ind w:firstLine="720"/>
      </w:pPr>
      <w:r>
        <w:rPr>
          <w:rFonts w:ascii="Garamond" w:hAnsi="Garamond"/>
        </w:rPr>
        <w:t>Metro's own task ladder runs inspection, abate notice, warrant, then Environmental Court. Of the 2,298 citations, 1,883 stop at the abate notice, ninety-five reach a warrant, and 254 reach a court setting, so 349 citations, 15.2 percent, get past paper.</w:t>
      </w:r>
      <w:r>
        <w:rPr>
          <w:rStyle w:val="FootnoteReference"/>
        </w:rPr>
        <w:footnoteReference w:id="174"/>
      </w:r>
      <w:r>
        <w:rPr>
          <w:rFonts w:ascii="Garamond" w:hAnsi="Garamond"/>
        </w:rPr>
        <w:t xml:space="preserve"> Among the nineteen institutional citations, two reached Environmental Court, and Amherst Residential owns both: EPH 2 Assets in 2017 and ARC Rental MSR I in 2021.</w:t>
      </w:r>
      <w:r>
        <w:rPr>
          <w:rStyle w:val="FootnoteReference"/>
        </w:rPr>
        <w:footnoteReference w:id="175"/>
      </w:r>
      <w:r>
        <w:rPr>
          <w:rFonts w:ascii="Garamond" w:hAnsi="Garamond"/>
        </w:rPr>
        <w:t xml:space="preserve"> Progress Residential, American Homes 4 Rent, Tricon, RESICAP, and Maymont Homes have never advanced past an abate notice on a registration violation. The maximum fine of fifty dollars per week per unit reaches a rounding error against an institutional rent roll, and the record shows the fine is rarely the operative constraint, because the case rarely travels far enough to impose one.</w:t>
      </w:r>
    </w:p>
    <w:p>
      <w:pPr>
        <w:spacing w:line="480" w:lineRule="auto" w:before="0" w:after="0"/>
        <w:ind w:firstLine="720"/>
      </w:pPr>
      <w:r>
        <w:rPr>
          <w:rFonts w:ascii="Garamond" w:hAnsi="Garamond"/>
        </w:rPr>
        <w:t>The citation is seldom about the paperwork. Of 2,263 cases with a complete violation record, 1,344 carry at least one other violation and only 919 cite the registration alone.</w:t>
      </w:r>
      <w:r>
        <w:rPr>
          <w:rStyle w:val="FootnoteReference"/>
        </w:rPr>
        <w:footnoteReference w:id="176"/>
      </w:r>
      <w:r>
        <w:rPr>
          <w:rFonts w:ascii="Garamond" w:hAnsi="Garamond"/>
        </w:rPr>
        <w:t xml:space="preserve"> The companions describe a house rather than a filing: open storage of junk and trash in 747 cases, unlicensed or inoperable vehicles in 344, parking on grass in 328, high weeds in 241, exterior repair in 236. The Amherst case that reached court in 2017 rode alongside a zoning citation for operating a daycare center out of the home.</w:t>
      </w:r>
      <w:r>
        <w:rPr>
          <w:rStyle w:val="FootnoteReference"/>
        </w:rPr>
        <w:footnoteReference w:id="177"/>
      </w:r>
      <w:r>
        <w:rPr>
          <w:rFonts w:ascii="Garamond" w:hAnsi="Garamond"/>
        </w:rPr>
        <w:t xml:space="preserve"> The inspector arrives for the trash and the weeds, finds an unregistered rental, and adds a line.</w:t>
      </w:r>
    </w:p>
    <w:p>
      <w:pPr>
        <w:spacing w:line="480" w:lineRule="auto" w:before="0" w:after="0"/>
        <w:ind w:firstLine="720"/>
      </w:pPr>
      <w:r>
        <w:rPr>
          <w:rFonts w:ascii="Garamond" w:hAnsi="Garamond"/>
        </w:rPr>
        <w:t>A second enforcement track sits outside the code docket entirely. Searching every operator shell family in the Circuit Court Clerk's public case search returns 1,843 dockets, and in 128 of them an operator answers as defendant.</w:t>
      </w:r>
      <w:r>
        <w:rPr>
          <w:rStyle w:val="FootnoteReference"/>
        </w:rPr>
        <w:footnoteReference w:id="178"/>
      </w:r>
      <w:r>
        <w:rPr>
          <w:rFonts w:ascii="Garamond" w:hAnsi="Garamond"/>
        </w:rPr>
        <w:t xml:space="preserve"> The Metropolitan Government brought eighty-four of those as General Sessions civil warrants, filed by named code inspectors. Homeowners associations brought sixteen. Wood's at Neelys Bend sued ARC Rental MSR I in December 2018 for $969 in assessments and a $323 attorney fee, three years before Metro took the same entity to Environmental Court.</w:t>
      </w:r>
      <w:r>
        <w:rPr>
          <w:rStyle w:val="FootnoteReference"/>
        </w:rPr>
        <w:footnoteReference w:id="179"/>
      </w:r>
      <w:r>
        <w:rPr>
          <w:rFonts w:ascii="Garamond" w:hAnsi="Garamond"/>
        </w:rPr>
        <w:t xml:space="preserve"> An Environmental Court setting appears as a task on the ePermits case. A Metro civil warrant is a separate General Sessions filing that never touches the ePermits ladder. Counting only the code docket understates how often Metro litigates against these operators. Read in the other direction, the same courts show the operators far more often as plaintiffs than as defendants, which is the subject of Section V.D.</w:t>
      </w:r>
      <w:r>
        <w:rPr>
          <w:rStyle w:val="FootnoteReference"/>
        </w:rPr>
        <w:footnoteReference w:id="180"/>
      </w:r>
    </w:p>
    <w:p>
      <w:pPr>
        <w:pStyle w:val="Heading2"/>
      </w:pPr>
      <w:r>
        <w:t>C. The Renter Burden</w:t>
      </w:r>
    </w:p>
    <w:p>
      <w:pPr>
        <w:spacing w:line="480" w:lineRule="auto" w:before="0" w:after="0"/>
        <w:ind w:firstLine="720"/>
      </w:pPr>
      <w:r>
        <w:rPr>
          <w:rFonts w:ascii="Garamond" w:hAnsi="Garamond"/>
        </w:rPr>
        <w:t>The rents these operators report diverge from the rents their tenants pay. Operators disclose portfolio rents to the Securities and Exchange Commission and post asking rents on their own listing platforms, and neither figure matches the market series. A within-tract comparison of institutional and non-institutional listings shows the institutional premium moving from a discount in the mid-2010s to a premium after 2020, reaching its widest recorded spread in the most recent year of data. Appendix B reports the year-by-year series and flags a caveat: the listing data mixes single-family and multifamily operators, so a single-family-only split must precede any final premium figure, and the split matters because single-family rents have pulled away from multifamily rents nationally since 2022.</w:t>
      </w:r>
      <w:r>
        <w:rPr>
          <w:rStyle w:val="FootnoteReference"/>
        </w:rPr>
        <w:footnoteReference w:id="181"/>
      </w:r>
      <w:r>
        <w:rPr>
          <w:rFonts w:ascii="Garamond" w:hAnsi="Garamond"/>
        </w:rPr>
        <w:t xml:space="preserve"> The direction holds regardless. The operators the Act names now charge more per comparable home than the dispersed local landlords they displaced. The listing series is the one non-governmental source this Article uses, and the premium is reported as a direction, not a point estimate, until the single-family-only split is run.</w:t>
      </w:r>
    </w:p>
    <w:p>
      <w:pPr>
        <w:pStyle w:val="Heading2"/>
      </w:pPr>
      <w:r>
        <w:t>D. Eviction Concentration</w:t>
      </w:r>
    </w:p>
    <w:p>
      <w:pPr>
        <w:spacing w:line="480" w:lineRule="auto" w:before="0" w:after="0"/>
        <w:ind w:firstLine="720"/>
      </w:pPr>
      <w:r>
        <w:rPr>
          <w:rFonts w:ascii="Garamond" w:hAnsi="Garamond"/>
        </w:rPr>
        <w:t>Eviction volume follows institutional concentration; the eviction rate does not. Davidson County eviction filings ran roughly 45 percent above pre-pandemic averages through early 2024.</w:t>
      </w:r>
      <w:r>
        <w:rPr>
          <w:rStyle w:val="FootnoteReference"/>
        </w:rPr>
        <w:footnoteReference w:id="182"/>
      </w:r>
      <w:r>
        <w:rPr>
          <w:rFonts w:ascii="Garamond" w:hAnsi="Garamond"/>
        </w:rPr>
        <w:t xml:space="preserve"> Joining the Eviction Lab's tract series to institutional parcel counts by tract shows a positive association between institutional concentration and total filings and essentially none with the filing rate per renter household. Institutional concentration explains the volume of evictions in a tract, largely because those tracts hold more rental households, and not the odds that any one household faces a filing.</w:t>
      </w:r>
      <w:r>
        <w:rPr>
          <w:rStyle w:val="FootnoteReference"/>
        </w:rPr>
        <w:footnoteReference w:id="183"/>
      </w:r>
    </w:p>
    <w:p>
      <w:pPr>
        <w:spacing w:line="480" w:lineRule="auto" w:before="0" w:after="0"/>
        <w:ind w:firstLine="720"/>
      </w:pPr>
      <w:r>
        <w:rPr>
          <w:rFonts w:ascii="Garamond" w:hAnsi="Garamond"/>
        </w:rPr>
        <w:t>The operator-level docket names who files. Searching the General Sessions record for every shell in each named operator's family, and keeping only detainer warrants in which the operator is the plaintiff, returns 2,049 filings.</w:t>
      </w:r>
      <w:r>
        <w:rPr>
          <w:rStyle w:val="FootnoteReference"/>
        </w:rPr>
        <w:footnoteReference w:id="184"/>
      </w:r>
      <w:r>
        <w:rPr>
          <w:rFonts w:ascii="Garamond" w:hAnsi="Garamond"/>
        </w:rPr>
        <w:t xml:space="preserve"> Three operators dominate the record. Progress Residential filed 926, Amherst, filing through Main Street Renewal and its borrower shells, filed 609, and Starwood's securitization borrowers filed 361, so three operators account for 92.6 percent of identified institutional eviction actions and the two heaviest filers alone for 74.9 percent. Tricon filed 81, My Community Homes 20, FirstKey 14, RESICAP 13, VineBrook seven, Maymont five, Invitation Homes three, and Rithm two. American Homes 4 Rent, the county's second-largest holder, filed four, all in 2013. Set against holdings, the cumulative counts run roughly 75 filings per 100 homes for Progress, 93 for Amherst, 144 for Starwood, 29 for Tricon, and 0.4 for American Homes 4 Rent, ratios that compare filing intensity across operators and are not annual rates.</w:t>
      </w:r>
      <w:r>
        <w:rPr>
          <w:rStyle w:val="FootnoteReference"/>
        </w:rPr>
        <w:footnoteReference w:id="185"/>
      </w:r>
      <w:r>
        <w:rPr>
          <w:rFonts w:ascii="Garamond" w:hAnsi="Garamond"/>
        </w:rPr>
        <w:t xml:space="preserve"> Filing an eviction is an operator policy, not a portfolio size. The heaviest filers run scattered acquisitions under out-of-state management, and the near-absent operator is the builder-holder with the second-largest portfolio in the county.</w:t>
      </w:r>
    </w:p>
    <w:p>
      <w:pPr>
        <w:spacing w:line="480" w:lineRule="auto" w:before="0" w:after="0"/>
        <w:ind w:firstLine="720"/>
      </w:pPr>
      <w:r>
        <w:rPr>
          <w:rFonts w:ascii="Garamond" w:hAnsi="Garamond"/>
        </w:rPr>
        <w:t>The filings climb with the portfolios and outlast their growth. Progress filed two detainer warrants in 2015, 74 in 2019, 102 in 2022, 231 in 2024, its recorded peak, then 144 in 2025 and 127 in the first five months of 2026. Amherst's series peaks at 105 in 2018 while Main Street Renewal absorbed its Nashville acquisitions, falls to nine in 2020, and runs 66 to 92 a year from 2023 through 2025. Starwood's borrowers filed 36 to 49 a year from 2013 through 2016, vanish from the docket for six years, and return at 40 to 63 a year from 2023.</w:t>
      </w:r>
      <w:r>
        <w:rPr>
          <w:rStyle w:val="FootnoteReference"/>
        </w:rPr>
        <w:footnoteReference w:id="186"/>
      </w:r>
      <w:r>
        <w:rPr>
          <w:rFonts w:ascii="Garamond" w:hAnsi="Garamond"/>
        </w:rPr>
        <w:t xml:space="preserve"> The post-2023 volumes exceed the acquisition-era volumes for every leading filer even though the portfolios stopped growing, so the filing rate per held home has risen as the portfolios aged.</w:t>
      </w:r>
    </w:p>
    <w:p>
      <w:pPr>
        <w:spacing w:line="480" w:lineRule="auto" w:before="0" w:after="0"/>
        <w:ind w:firstLine="720"/>
      </w:pPr>
      <w:r>
        <w:rPr>
          <w:rFonts w:ascii="Garamond" w:hAnsi="Garamond"/>
        </w:rPr>
        <w:t>Read against Section V.B, the two records describe operator policy rather than portfolio size. Progress and Amherst, the heaviest filers, are also among the heaviest registrants, and both did their registering years after their buying and their filing. American Homes 4 Rent, with 1,092 homes, registered once in 2012 and has filed four detainer warrants since 2013. The courthouse sees the scattered-acquisition operators constantly, as plaintiffs and, lately, as registrants, and it sees the builder-holder almost never in either role. The asymmetry that remains is structural. Registration is a duty the operator must initiate and the county must enforce, and the record shows it arriving two to four years late when it arrives at all; eviction is a remedy the operator initiates for itself, and the record shows it arriving on schedule.</w:t>
      </w:r>
    </w:p>
    <w:p>
      <w:pPr>
        <w:pStyle w:val="Heading1"/>
        <w:spacing w:before="360"/>
      </w:pPr>
      <w:r>
        <w:t>VI. THE RENOVATE-TO-RENT EXCEPTION</w:t>
      </w:r>
    </w:p>
    <w:p>
      <w:pPr>
        <w:spacing w:line="480" w:lineRule="auto" w:before="0" w:after="0"/>
        <w:ind w:firstLine="720"/>
      </w:pPr>
      <w:r>
        <w:rPr>
          <w:rFonts w:ascii="Garamond" w:hAnsi="Garamond"/>
        </w:rPr>
        <w:t>The Act enumerates several exceptions to the ban, including new construction, build-to-rent, rent-to-own, and homeownership programs, and one of them targets distressed housing.</w:t>
      </w:r>
      <w:r>
        <w:rPr>
          <w:rStyle w:val="FootnoteReference"/>
        </w:rPr>
        <w:footnoteReference w:id="187"/>
      </w:r>
      <w:r>
        <w:rPr>
          <w:rFonts w:ascii="Garamond" w:hAnsi="Garamond"/>
        </w:rPr>
        <w:t xml:space="preserve"> That exception, the renovate-to-rent pathway, reaches the named Davidson County operators almost never. It permits a covered operator to buy and rent a single-family home only when the operator both substantially rehabilitates a home that does not meet elements of the local building code and makes improvements worth at least 15 percent of the purchase price.</w:t>
      </w:r>
      <w:r>
        <w:rPr>
          <w:rStyle w:val="FootnoteReference"/>
        </w:rPr>
        <w:footnoteReference w:id="188"/>
      </w:r>
      <w:r>
        <w:rPr>
          <w:rStyle w:val="FootnoteReference"/>
        </w:rPr>
        <w:footnoteReference w:id="189"/>
      </w:r>
      <w:r>
        <w:rPr>
          <w:rFonts w:ascii="Garamond" w:hAnsi="Garamond"/>
        </w:rPr>
        <w:t xml:space="preserve"> Both conditions must hold, so a cosmetic renovation of a sound house does not qualify. The named operators satisfy neither condition at scale, because they do not run a buy-fix-rent model.</w:t>
      </w:r>
    </w:p>
    <w:p>
      <w:pPr>
        <w:spacing w:line="480" w:lineRule="auto" w:before="0" w:after="0"/>
        <w:ind w:firstLine="720"/>
      </w:pPr>
      <w:r>
        <w:rPr>
          <w:rFonts w:ascii="Garamond" w:hAnsi="Garamond"/>
        </w:rPr>
        <w:t>Rehabilitation in Davidson County is single-family work, as detached homes account for 86 percent of all rehabilitation permits. Of the 14,193 entity-owned, non-owner-occupied framework homes, 1,067 carry a residential rehabilitation permit with a recorded construction value, and only 50 of those pulled the permit at or after the deed that put the home in its current entity. A prior owner rehabilitated the other thousand before the company bought in. The named operators do not appear at all: the 134 permitted parcels in their portfolios were all permitted before the operator acquired them. The operators buy homes that others have already repaired.</w:t>
      </w:r>
      <w:r>
        <w:rPr>
          <w:rStyle w:val="FootnoteReference"/>
        </w:rPr>
        <w:footnoteReference w:id="190"/>
      </w:r>
    </w:p>
    <w:p>
      <w:pPr>
        <w:spacing w:line="480" w:lineRule="auto" w:before="0" w:after="0"/>
        <w:ind w:firstLine="720"/>
      </w:pPr>
      <w:r>
        <w:rPr>
          <w:rFonts w:ascii="Garamond" w:hAnsi="Garamond"/>
        </w:rPr>
        <w:t>When a corporate owner does rehabilitate after acquiring, it spends heavily. Among the 50 post-acquisition rehabilitations, 41 record both a construction value and a recorded acquisition price, and for those the median rehabilitation reaches 37 percent of the price, with 33 of the 41 clearing the statute's 15 percent floor. The ratio rests on 41 parcels because the other nine record a zero price, the signature of quitclaims and intra-entity transfers. Appendix C reports the distribution.</w:t>
      </w:r>
      <w:r>
        <w:rPr>
          <w:rStyle w:val="FootnoteReference"/>
        </w:rPr>
        <w:footnoteReference w:id="191"/>
      </w:r>
    </w:p>
    <w:p>
      <w:pPr>
        <w:spacing w:line="480" w:lineRule="auto" w:before="0" w:after="0"/>
        <w:ind w:firstLine="720"/>
      </w:pPr>
      <w:r>
        <w:rPr>
          <w:rFonts w:ascii="Garamond" w:hAnsi="Garamond"/>
        </w:rPr>
        <w:t>The first half of the test is harder to meet and harder to prove than the spending threshold. Only 3,411 of the county's roughly 49,000 residential rehabilitation cases, 6.9 percent, carry explicit code-deficiency language such as substandard, dilapidated, or bring up to code, and the dedicated code-repair permit, a cleaner signal, covers just 1,674 cases countywide. The permit record rarely documents that a home failed building-code elements before the work, which is the predicate subsection (C)(i) requires, so an operator that renovates heavily can still fall outside the exception if the home was dated rather than code-deficient. The renovate-to-rent pathway in Nashville belongs to small local investors and contractors, not to the operators the statute names. The exception Congress wrote to channel institutional capital into substandard housing would, in this market, almost never reach the institutions at all.</w:t>
      </w:r>
    </w:p>
    <w:p>
      <w:pPr>
        <w:pStyle w:val="Heading1"/>
        <w:spacing w:before="360"/>
      </w:pPr>
      <w:r>
        <w:t>CONCLUSION</w:t>
      </w:r>
    </w:p>
    <w:p>
      <w:pPr>
        <w:spacing w:line="480" w:lineRule="auto" w:before="0" w:after="0"/>
        <w:ind w:firstLine="720"/>
      </w:pPr>
      <w:r>
        <w:rPr>
          <w:rFonts w:ascii="Garamond" w:hAnsi="Garamond"/>
        </w:rPr>
        <w:t>The case at 1008 Hickory Bark Court opened this Article, and it frames the close. The tenant who lives there holds no usable public record showing that Tricon Residential owns the home, that the operator manages it from outside Tennessee, or that the registration the city compelled in 2025 names a person responsible for the property. Davidson County built its registration regime for a rental market of individual landlords and local managers, and that regime still works for the market it was built to govern. It fails for the institutional single-family stock, because three assumptions inside it do not survive contact with operators that hold thousands of homes through securitization entities and file years late, once, or not at all: that owner identity is recoverable from one line on a form, that one filing can stand for a portfolio, and that complaint-driven enforcement is adequate.</w:t>
      </w:r>
    </w:p>
    <w:p>
      <w:pPr>
        <w:spacing w:line="480" w:lineRule="auto" w:before="0" w:after="0"/>
        <w:ind w:firstLine="720"/>
      </w:pPr>
      <w:r>
        <w:rPr>
          <w:rFonts w:ascii="Garamond" w:hAnsi="Garamond"/>
        </w:rPr>
        <w:t>The federal ban will slow institutional acquisition of existing homes, and it leaves the renters already inside the institutional stock where they are, paying a rising premium to operators a local registration regime cannot locate and a federal exception cannot reach. The registration statute already commands the remedy the county needs, because subsection (a)(1)(B) requires per-unit enumeration that would render every institutional parcel and its responsible owner locatable on the public record. The failure is one of enforcement, not authority. The next Article in this series turns to the acquisition patterns the ban targets and to the operators positioned to route their growth through the exceptions Congress left open.</w:t>
      </w:r>
    </w:p>
    <w:p>
      <w:pPr>
        <w:pStyle w:val="Heading1"/>
        <w:spacing w:before="360"/>
      </w:pPr>
      <w:r>
        <w:t>APPENDIX A: PER-PARCEL REGISTRATION COMPLIANCE BY BRAND</w:t>
      </w:r>
    </w:p>
    <w:p>
      <w:pPr>
        <w:spacing w:line="240" w:lineRule="auto" w:before="0" w:after="120"/>
      </w:pPr>
      <w:r>
        <w:rPr>
          <w:rFonts w:ascii="Garamond" w:hAnsi="Garamond"/>
          <w:b/>
          <w:sz w:val="19"/>
        </w:rPr>
        <w:t>Table A1:</w:t>
      </w:r>
      <w:r>
        <w:rPr>
          <w:rFonts w:ascii="Garamond" w:hAnsi="Garamond"/>
          <w:sz w:val="19"/>
        </w:rPr>
        <w:t xml:space="preserve"> Registration of the named operators' Davidson County homes, three measures, July 2026.</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bottom w:val="single" w:sz="4" w:color="000000"/>
            </w:tcBorders>
          </w:tcPr>
          <w:p>
            <w:pPr>
              <w:spacing w:line="240" w:lineRule="auto"/>
            </w:pPr>
            <w:r>
              <w:rPr>
                <w:b/>
              </w:rPr>
            </w:r>
            <w:r>
              <w:rPr>
                <w:rFonts w:ascii="Garamond" w:hAnsi="Garamond"/>
                <w:b/>
                <w:sz w:val="16"/>
              </w:rPr>
              <w:t>Operator</w:t>
            </w:r>
          </w:p>
        </w:tc>
        <w:tc>
          <w:tcPr>
            <w:tcW w:type="dxa" w:w="1337"/>
            <w:tcBorders>
              <w:bottom w:val="single" w:sz="4" w:color="000000"/>
            </w:tcBorders>
          </w:tcPr>
          <w:p>
            <w:pPr>
              <w:spacing w:line="240" w:lineRule="auto"/>
            </w:pPr>
            <w:r>
              <w:rPr>
                <w:b/>
              </w:rPr>
            </w:r>
            <w:r>
              <w:rPr>
                <w:rFonts w:ascii="Garamond" w:hAnsi="Garamond"/>
                <w:b/>
                <w:sz w:val="16"/>
              </w:rPr>
              <w:t>Framework parcels</w:t>
            </w:r>
          </w:p>
        </w:tc>
        <w:tc>
          <w:tcPr>
            <w:tcW w:type="dxa" w:w="1337"/>
            <w:tcBorders>
              <w:bottom w:val="single" w:sz="4" w:color="000000"/>
            </w:tcBorders>
          </w:tcPr>
          <w:p>
            <w:pPr>
              <w:spacing w:line="240" w:lineRule="auto"/>
            </w:pPr>
            <w:r>
              <w:rPr>
                <w:b/>
              </w:rPr>
            </w:r>
            <w:r>
              <w:rPr>
                <w:rFonts w:ascii="Garamond" w:hAnsi="Garamond"/>
                <w:b/>
                <w:sz w:val="16"/>
              </w:rPr>
              <w:t>Registered after the current deed</w:t>
            </w:r>
          </w:p>
        </w:tc>
        <w:tc>
          <w:tcPr>
            <w:tcW w:type="dxa" w:w="1337"/>
            <w:tcBorders>
              <w:bottom w:val="single" w:sz="4" w:color="000000"/>
            </w:tcBorders>
          </w:tcPr>
          <w:p>
            <w:pPr>
              <w:spacing w:line="240" w:lineRule="auto"/>
            </w:pPr>
            <w:r>
              <w:rPr>
                <w:b/>
              </w:rPr>
            </w:r>
            <w:r>
              <w:rPr>
                <w:rFonts w:ascii="Garamond" w:hAnsi="Garamond"/>
                <w:b/>
                <w:sz w:val="16"/>
              </w:rPr>
              <w:t>Share</w:t>
            </w:r>
          </w:p>
        </w:tc>
        <w:tc>
          <w:tcPr>
            <w:tcW w:type="dxa" w:w="1337"/>
            <w:tcBorders>
              <w:bottom w:val="single" w:sz="4" w:color="000000"/>
            </w:tcBorders>
          </w:tcPr>
          <w:p>
            <w:pPr>
              <w:spacing w:line="240" w:lineRule="auto"/>
            </w:pPr>
            <w:r>
              <w:rPr>
                <w:b/>
              </w:rPr>
            </w:r>
            <w:r>
              <w:rPr>
                <w:rFonts w:ascii="Garamond" w:hAnsi="Garamond"/>
                <w:b/>
                <w:sz w:val="16"/>
              </w:rPr>
              <w:t>Median lag (months)</w:t>
            </w:r>
          </w:p>
        </w:tc>
        <w:tc>
          <w:tcPr>
            <w:tcW w:type="dxa" w:w="1337"/>
            <w:tcBorders>
              <w:bottom w:val="single" w:sz="4" w:color="000000"/>
            </w:tcBorders>
          </w:tcPr>
          <w:p>
            <w:pPr>
              <w:spacing w:line="240" w:lineRule="auto"/>
            </w:pPr>
            <w:r>
              <w:rPr>
                <w:b/>
              </w:rPr>
            </w:r>
            <w:r>
              <w:rPr>
                <w:rFonts w:ascii="Garamond" w:hAnsi="Garamond"/>
                <w:b/>
                <w:sz w:val="16"/>
              </w:rPr>
              <w:t>Currently Issued</w:t>
            </w:r>
          </w:p>
        </w:tc>
        <w:tc>
          <w:tcPr>
            <w:tcW w:type="dxa" w:w="1337"/>
            <w:tcBorders>
              <w:bottom w:val="single" w:sz="4" w:color="000000"/>
            </w:tcBorders>
          </w:tcPr>
          <w:p>
            <w:pPr>
              <w:spacing w:line="240" w:lineRule="auto"/>
            </w:pPr>
            <w:r>
              <w:rPr>
                <w:b/>
              </w:rPr>
            </w:r>
            <w:r>
              <w:rPr>
                <w:rFonts w:ascii="Garamond" w:hAnsi="Garamond"/>
                <w:b/>
                <w:sz w:val="16"/>
              </w:rPr>
              <w:t>Filed in the operator's own name, ever</w:t>
            </w:r>
          </w:p>
        </w:tc>
      </w:tr>
      <w:tr>
        <w:tc>
          <w:tcPr>
            <w:tcW w:type="dxa" w:w="1337"/>
          </w:tcPr>
          <w:p>
            <w:pPr>
              <w:spacing w:line="240" w:lineRule="auto"/>
            </w:pPr>
            <w:r/>
            <w:r>
              <w:rPr>
                <w:rFonts w:ascii="Garamond" w:hAnsi="Garamond"/>
                <w:sz w:val="16"/>
              </w:rPr>
              <w:t>My Community Homes (KKR)</w:t>
            </w:r>
          </w:p>
        </w:tc>
        <w:tc>
          <w:tcPr>
            <w:tcW w:type="dxa" w:w="1337"/>
          </w:tcPr>
          <w:p>
            <w:pPr>
              <w:spacing w:line="240" w:lineRule="auto"/>
              <w:jc w:val="right"/>
            </w:pPr>
            <w:r/>
            <w:r>
              <w:rPr>
                <w:rFonts w:ascii="Garamond" w:hAnsi="Garamond"/>
                <w:sz w:val="16"/>
              </w:rPr>
              <w:t>100</w:t>
            </w:r>
          </w:p>
        </w:tc>
        <w:tc>
          <w:tcPr>
            <w:tcW w:type="dxa" w:w="1337"/>
          </w:tcPr>
          <w:p>
            <w:pPr>
              <w:spacing w:line="240" w:lineRule="auto"/>
              <w:jc w:val="right"/>
            </w:pPr>
            <w:r/>
            <w:r>
              <w:rPr>
                <w:rFonts w:ascii="Garamond" w:hAnsi="Garamond"/>
                <w:sz w:val="16"/>
              </w:rPr>
              <w:t>100</w:t>
            </w:r>
          </w:p>
        </w:tc>
        <w:tc>
          <w:tcPr>
            <w:tcW w:type="dxa" w:w="1337"/>
          </w:tcPr>
          <w:p>
            <w:pPr>
              <w:spacing w:line="240" w:lineRule="auto"/>
              <w:jc w:val="right"/>
            </w:pPr>
            <w:r/>
            <w:r>
              <w:rPr>
                <w:rFonts w:ascii="Garamond" w:hAnsi="Garamond"/>
                <w:sz w:val="16"/>
              </w:rPr>
              <w:t>100.0%</w:t>
            </w:r>
          </w:p>
        </w:tc>
        <w:tc>
          <w:tcPr>
            <w:tcW w:type="dxa" w:w="1337"/>
          </w:tcPr>
          <w:p>
            <w:pPr>
              <w:spacing w:line="240" w:lineRule="auto"/>
              <w:jc w:val="right"/>
            </w:pPr>
            <w:r/>
            <w:r>
              <w:rPr>
                <w:rFonts w:ascii="Garamond" w:hAnsi="Garamond"/>
                <w:sz w:val="16"/>
              </w:rPr>
              <w:t>35.2</w:t>
            </w:r>
          </w:p>
        </w:tc>
        <w:tc>
          <w:tcPr>
            <w:tcW w:type="dxa" w:w="1337"/>
          </w:tcPr>
          <w:p>
            <w:pPr>
              <w:spacing w:line="240" w:lineRule="auto"/>
              <w:jc w:val="right"/>
            </w:pPr>
            <w:r/>
            <w:r>
              <w:rPr>
                <w:rFonts w:ascii="Garamond" w:hAnsi="Garamond"/>
                <w:sz w:val="16"/>
              </w:rPr>
              <w:t>100</w:t>
            </w:r>
          </w:p>
        </w:tc>
        <w:tc>
          <w:tcPr>
            <w:tcW w:type="dxa" w:w="1337"/>
          </w:tcPr>
          <w:p>
            <w:pPr>
              <w:spacing w:line="240" w:lineRule="auto"/>
              <w:jc w:val="right"/>
            </w:pPr>
            <w:r/>
            <w:r>
              <w:rPr>
                <w:rFonts w:ascii="Garamond" w:hAnsi="Garamond"/>
                <w:sz w:val="16"/>
              </w:rPr>
              <w:t>99</w:t>
            </w:r>
          </w:p>
        </w:tc>
      </w:tr>
      <w:tr>
        <w:tc>
          <w:tcPr>
            <w:tcW w:type="dxa" w:w="1337"/>
          </w:tcPr>
          <w:p>
            <w:pPr>
              <w:spacing w:line="240" w:lineRule="auto"/>
            </w:pPr>
            <w:r/>
            <w:r>
              <w:rPr>
                <w:rFonts w:ascii="Garamond" w:hAnsi="Garamond"/>
                <w:sz w:val="16"/>
              </w:rPr>
              <w:t>RESICAP</w:t>
            </w:r>
          </w:p>
        </w:tc>
        <w:tc>
          <w:tcPr>
            <w:tcW w:type="dxa" w:w="1337"/>
          </w:tcPr>
          <w:p>
            <w:pPr>
              <w:spacing w:line="240" w:lineRule="auto"/>
              <w:jc w:val="right"/>
            </w:pPr>
            <w:r/>
            <w:r>
              <w:rPr>
                <w:rFonts w:ascii="Garamond" w:hAnsi="Garamond"/>
                <w:sz w:val="16"/>
              </w:rPr>
              <w:t>64</w:t>
            </w:r>
          </w:p>
        </w:tc>
        <w:tc>
          <w:tcPr>
            <w:tcW w:type="dxa" w:w="1337"/>
          </w:tcPr>
          <w:p>
            <w:pPr>
              <w:spacing w:line="240" w:lineRule="auto"/>
              <w:jc w:val="right"/>
            </w:pPr>
            <w:r/>
            <w:r>
              <w:rPr>
                <w:rFonts w:ascii="Garamond" w:hAnsi="Garamond"/>
                <w:sz w:val="16"/>
              </w:rPr>
              <w:t>64</w:t>
            </w:r>
          </w:p>
        </w:tc>
        <w:tc>
          <w:tcPr>
            <w:tcW w:type="dxa" w:w="1337"/>
          </w:tcPr>
          <w:p>
            <w:pPr>
              <w:spacing w:line="240" w:lineRule="auto"/>
              <w:jc w:val="right"/>
            </w:pPr>
            <w:r/>
            <w:r>
              <w:rPr>
                <w:rFonts w:ascii="Garamond" w:hAnsi="Garamond"/>
                <w:sz w:val="16"/>
              </w:rPr>
              <w:t>100.0%</w:t>
            </w:r>
          </w:p>
        </w:tc>
        <w:tc>
          <w:tcPr>
            <w:tcW w:type="dxa" w:w="1337"/>
          </w:tcPr>
          <w:p>
            <w:pPr>
              <w:spacing w:line="240" w:lineRule="auto"/>
              <w:jc w:val="right"/>
            </w:pPr>
            <w:r/>
            <w:r>
              <w:rPr>
                <w:rFonts w:ascii="Garamond" w:hAnsi="Garamond"/>
                <w:sz w:val="16"/>
              </w:rPr>
              <w:t>29.0</w:t>
            </w:r>
          </w:p>
        </w:tc>
        <w:tc>
          <w:tcPr>
            <w:tcW w:type="dxa" w:w="1337"/>
          </w:tcPr>
          <w:p>
            <w:pPr>
              <w:spacing w:line="240" w:lineRule="auto"/>
              <w:jc w:val="right"/>
            </w:pPr>
            <w:r/>
            <w:r>
              <w:rPr>
                <w:rFonts w:ascii="Garamond" w:hAnsi="Garamond"/>
                <w:sz w:val="16"/>
              </w:rPr>
              <w:t>62</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FirstKey Homes (Cerberus)</w:t>
            </w:r>
          </w:p>
        </w:tc>
        <w:tc>
          <w:tcPr>
            <w:tcW w:type="dxa" w:w="1337"/>
          </w:tcPr>
          <w:p>
            <w:pPr>
              <w:spacing w:line="240" w:lineRule="auto"/>
              <w:jc w:val="right"/>
            </w:pPr>
            <w:r/>
            <w:r>
              <w:rPr>
                <w:rFonts w:ascii="Garamond" w:hAnsi="Garamond"/>
                <w:sz w:val="16"/>
              </w:rPr>
              <w:t>84</w:t>
            </w:r>
          </w:p>
        </w:tc>
        <w:tc>
          <w:tcPr>
            <w:tcW w:type="dxa" w:w="1337"/>
          </w:tcPr>
          <w:p>
            <w:pPr>
              <w:spacing w:line="240" w:lineRule="auto"/>
              <w:jc w:val="right"/>
            </w:pPr>
            <w:r/>
            <w:r>
              <w:rPr>
                <w:rFonts w:ascii="Garamond" w:hAnsi="Garamond"/>
                <w:sz w:val="16"/>
              </w:rPr>
              <w:t>80</w:t>
            </w:r>
          </w:p>
        </w:tc>
        <w:tc>
          <w:tcPr>
            <w:tcW w:type="dxa" w:w="1337"/>
          </w:tcPr>
          <w:p>
            <w:pPr>
              <w:spacing w:line="240" w:lineRule="auto"/>
              <w:jc w:val="right"/>
            </w:pPr>
            <w:r/>
            <w:r>
              <w:rPr>
                <w:rFonts w:ascii="Garamond" w:hAnsi="Garamond"/>
                <w:sz w:val="16"/>
              </w:rPr>
              <w:t>95.2%</w:t>
            </w:r>
          </w:p>
        </w:tc>
        <w:tc>
          <w:tcPr>
            <w:tcW w:type="dxa" w:w="1337"/>
          </w:tcPr>
          <w:p>
            <w:pPr>
              <w:spacing w:line="240" w:lineRule="auto"/>
              <w:jc w:val="right"/>
            </w:pPr>
            <w:r/>
            <w:r>
              <w:rPr>
                <w:rFonts w:ascii="Garamond" w:hAnsi="Garamond"/>
                <w:sz w:val="16"/>
              </w:rPr>
              <w:t>43.8</w:t>
            </w:r>
          </w:p>
        </w:tc>
        <w:tc>
          <w:tcPr>
            <w:tcW w:type="dxa" w:w="1337"/>
          </w:tcPr>
          <w:p>
            <w:pPr>
              <w:spacing w:line="240" w:lineRule="auto"/>
              <w:jc w:val="right"/>
            </w:pPr>
            <w:r/>
            <w:r>
              <w:rPr>
                <w:rFonts w:ascii="Garamond" w:hAnsi="Garamond"/>
                <w:sz w:val="16"/>
              </w:rPr>
              <w:t>80</w:t>
            </w:r>
          </w:p>
        </w:tc>
        <w:tc>
          <w:tcPr>
            <w:tcW w:type="dxa" w:w="1337"/>
          </w:tcPr>
          <w:p>
            <w:pPr>
              <w:spacing w:line="240" w:lineRule="auto"/>
              <w:jc w:val="right"/>
            </w:pPr>
            <w:r/>
            <w:r>
              <w:rPr>
                <w:rFonts w:ascii="Garamond" w:hAnsi="Garamond"/>
                <w:sz w:val="16"/>
              </w:rPr>
              <w:t>61</w:t>
            </w:r>
          </w:p>
        </w:tc>
      </w:tr>
      <w:tr>
        <w:tc>
          <w:tcPr>
            <w:tcW w:type="dxa" w:w="1337"/>
          </w:tcPr>
          <w:p>
            <w:pPr>
              <w:spacing w:line="240" w:lineRule="auto"/>
            </w:pPr>
            <w:r/>
            <w:r>
              <w:rPr>
                <w:rFonts w:ascii="Garamond" w:hAnsi="Garamond"/>
                <w:sz w:val="16"/>
              </w:rPr>
              <w:t>Amherst Residential</w:t>
            </w:r>
          </w:p>
        </w:tc>
        <w:tc>
          <w:tcPr>
            <w:tcW w:type="dxa" w:w="1337"/>
          </w:tcPr>
          <w:p>
            <w:pPr>
              <w:spacing w:line="240" w:lineRule="auto"/>
              <w:jc w:val="right"/>
            </w:pPr>
            <w:r/>
            <w:r>
              <w:rPr>
                <w:rFonts w:ascii="Garamond" w:hAnsi="Garamond"/>
                <w:sz w:val="16"/>
              </w:rPr>
              <w:t>654</w:t>
            </w:r>
          </w:p>
        </w:tc>
        <w:tc>
          <w:tcPr>
            <w:tcW w:type="dxa" w:w="1337"/>
          </w:tcPr>
          <w:p>
            <w:pPr>
              <w:spacing w:line="240" w:lineRule="auto"/>
              <w:jc w:val="right"/>
            </w:pPr>
            <w:r/>
            <w:r>
              <w:rPr>
                <w:rFonts w:ascii="Garamond" w:hAnsi="Garamond"/>
                <w:sz w:val="16"/>
              </w:rPr>
              <w:t>567</w:t>
            </w:r>
          </w:p>
        </w:tc>
        <w:tc>
          <w:tcPr>
            <w:tcW w:type="dxa" w:w="1337"/>
          </w:tcPr>
          <w:p>
            <w:pPr>
              <w:spacing w:line="240" w:lineRule="auto"/>
              <w:jc w:val="right"/>
            </w:pPr>
            <w:r/>
            <w:r>
              <w:rPr>
                <w:rFonts w:ascii="Garamond" w:hAnsi="Garamond"/>
                <w:sz w:val="16"/>
              </w:rPr>
              <w:t>86.7%</w:t>
            </w:r>
          </w:p>
        </w:tc>
        <w:tc>
          <w:tcPr>
            <w:tcW w:type="dxa" w:w="1337"/>
          </w:tcPr>
          <w:p>
            <w:pPr>
              <w:spacing w:line="240" w:lineRule="auto"/>
              <w:jc w:val="right"/>
            </w:pPr>
            <w:r/>
            <w:r>
              <w:rPr>
                <w:rFonts w:ascii="Garamond" w:hAnsi="Garamond"/>
                <w:sz w:val="16"/>
              </w:rPr>
              <w:t>22.3</w:t>
            </w:r>
          </w:p>
        </w:tc>
        <w:tc>
          <w:tcPr>
            <w:tcW w:type="dxa" w:w="1337"/>
          </w:tcPr>
          <w:p>
            <w:pPr>
              <w:spacing w:line="240" w:lineRule="auto"/>
              <w:jc w:val="right"/>
            </w:pPr>
            <w:r/>
            <w:r>
              <w:rPr>
                <w:rFonts w:ascii="Garamond" w:hAnsi="Garamond"/>
                <w:sz w:val="16"/>
              </w:rPr>
              <w:t>594</w:t>
            </w:r>
          </w:p>
        </w:tc>
        <w:tc>
          <w:tcPr>
            <w:tcW w:type="dxa" w:w="1337"/>
          </w:tcPr>
          <w:p>
            <w:pPr>
              <w:spacing w:line="240" w:lineRule="auto"/>
              <w:jc w:val="right"/>
            </w:pPr>
            <w:r/>
            <w:r>
              <w:rPr>
                <w:rFonts w:ascii="Garamond" w:hAnsi="Garamond"/>
                <w:sz w:val="16"/>
              </w:rPr>
              <w:t>230</w:t>
            </w:r>
          </w:p>
        </w:tc>
      </w:tr>
      <w:tr>
        <w:tc>
          <w:tcPr>
            <w:tcW w:type="dxa" w:w="1337"/>
          </w:tcPr>
          <w:p>
            <w:pPr>
              <w:spacing w:line="240" w:lineRule="auto"/>
            </w:pPr>
            <w:r/>
            <w:r>
              <w:rPr>
                <w:rFonts w:ascii="Garamond" w:hAnsi="Garamond"/>
                <w:sz w:val="16"/>
              </w:rPr>
              <w:t>Maymont Homes (Brookfield)</w:t>
            </w:r>
          </w:p>
        </w:tc>
        <w:tc>
          <w:tcPr>
            <w:tcW w:type="dxa" w:w="1337"/>
          </w:tcPr>
          <w:p>
            <w:pPr>
              <w:spacing w:line="240" w:lineRule="auto"/>
              <w:jc w:val="right"/>
            </w:pPr>
            <w:r/>
            <w:r>
              <w:rPr>
                <w:rFonts w:ascii="Garamond" w:hAnsi="Garamond"/>
                <w:sz w:val="16"/>
              </w:rPr>
              <w:t>106</w:t>
            </w:r>
          </w:p>
        </w:tc>
        <w:tc>
          <w:tcPr>
            <w:tcW w:type="dxa" w:w="1337"/>
          </w:tcPr>
          <w:p>
            <w:pPr>
              <w:spacing w:line="240" w:lineRule="auto"/>
              <w:jc w:val="right"/>
            </w:pPr>
            <w:r/>
            <w:r>
              <w:rPr>
                <w:rFonts w:ascii="Garamond" w:hAnsi="Garamond"/>
                <w:sz w:val="16"/>
              </w:rPr>
              <w:t>90</w:t>
            </w:r>
          </w:p>
        </w:tc>
        <w:tc>
          <w:tcPr>
            <w:tcW w:type="dxa" w:w="1337"/>
          </w:tcPr>
          <w:p>
            <w:pPr>
              <w:spacing w:line="240" w:lineRule="auto"/>
              <w:jc w:val="right"/>
            </w:pPr>
            <w:r/>
            <w:r>
              <w:rPr>
                <w:rFonts w:ascii="Garamond" w:hAnsi="Garamond"/>
                <w:sz w:val="16"/>
              </w:rPr>
              <w:t>84.9%</w:t>
            </w:r>
          </w:p>
        </w:tc>
        <w:tc>
          <w:tcPr>
            <w:tcW w:type="dxa" w:w="1337"/>
          </w:tcPr>
          <w:p>
            <w:pPr>
              <w:spacing w:line="240" w:lineRule="auto"/>
              <w:jc w:val="right"/>
            </w:pPr>
            <w:r/>
            <w:r>
              <w:rPr>
                <w:rFonts w:ascii="Garamond" w:hAnsi="Garamond"/>
                <w:sz w:val="16"/>
              </w:rPr>
              <w:t>41.9</w:t>
            </w:r>
          </w:p>
        </w:tc>
        <w:tc>
          <w:tcPr>
            <w:tcW w:type="dxa" w:w="1337"/>
          </w:tcPr>
          <w:p>
            <w:pPr>
              <w:spacing w:line="240" w:lineRule="auto"/>
              <w:jc w:val="right"/>
            </w:pPr>
            <w:r/>
            <w:r>
              <w:rPr>
                <w:rFonts w:ascii="Garamond" w:hAnsi="Garamond"/>
                <w:sz w:val="16"/>
              </w:rPr>
              <w:t>9</w:t>
            </w:r>
          </w:p>
        </w:tc>
        <w:tc>
          <w:tcPr>
            <w:tcW w:type="dxa" w:w="1337"/>
          </w:tcPr>
          <w:p>
            <w:pPr>
              <w:spacing w:line="240" w:lineRule="auto"/>
              <w:jc w:val="right"/>
            </w:pPr>
            <w:r/>
            <w:r>
              <w:rPr>
                <w:rFonts w:ascii="Garamond" w:hAnsi="Garamond"/>
                <w:sz w:val="16"/>
              </w:rPr>
              <w:t>6</w:t>
            </w:r>
          </w:p>
        </w:tc>
      </w:tr>
      <w:tr>
        <w:tc>
          <w:tcPr>
            <w:tcW w:type="dxa" w:w="1337"/>
          </w:tcPr>
          <w:p>
            <w:pPr>
              <w:spacing w:line="240" w:lineRule="auto"/>
            </w:pPr>
            <w:r/>
            <w:r>
              <w:rPr>
                <w:rFonts w:ascii="Garamond" w:hAnsi="Garamond"/>
                <w:sz w:val="16"/>
              </w:rPr>
              <w:t>Progress Residential</w:t>
            </w:r>
          </w:p>
        </w:tc>
        <w:tc>
          <w:tcPr>
            <w:tcW w:type="dxa" w:w="1337"/>
          </w:tcPr>
          <w:p>
            <w:pPr>
              <w:spacing w:line="240" w:lineRule="auto"/>
              <w:jc w:val="right"/>
            </w:pPr>
            <w:r/>
            <w:r>
              <w:rPr>
                <w:rFonts w:ascii="Garamond" w:hAnsi="Garamond"/>
                <w:sz w:val="16"/>
              </w:rPr>
              <w:t>1,232</w:t>
            </w:r>
          </w:p>
        </w:tc>
        <w:tc>
          <w:tcPr>
            <w:tcW w:type="dxa" w:w="1337"/>
          </w:tcPr>
          <w:p>
            <w:pPr>
              <w:spacing w:line="240" w:lineRule="auto"/>
              <w:jc w:val="right"/>
            </w:pPr>
            <w:r/>
            <w:r>
              <w:rPr>
                <w:rFonts w:ascii="Garamond" w:hAnsi="Garamond"/>
                <w:sz w:val="16"/>
              </w:rPr>
              <w:t>873</w:t>
            </w:r>
          </w:p>
        </w:tc>
        <w:tc>
          <w:tcPr>
            <w:tcW w:type="dxa" w:w="1337"/>
          </w:tcPr>
          <w:p>
            <w:pPr>
              <w:spacing w:line="240" w:lineRule="auto"/>
              <w:jc w:val="right"/>
            </w:pPr>
            <w:r/>
            <w:r>
              <w:rPr>
                <w:rFonts w:ascii="Garamond" w:hAnsi="Garamond"/>
                <w:sz w:val="16"/>
              </w:rPr>
              <w:t>70.9%</w:t>
            </w:r>
          </w:p>
        </w:tc>
        <w:tc>
          <w:tcPr>
            <w:tcW w:type="dxa" w:w="1337"/>
          </w:tcPr>
          <w:p>
            <w:pPr>
              <w:spacing w:line="240" w:lineRule="auto"/>
              <w:jc w:val="right"/>
            </w:pPr>
            <w:r/>
            <w:r>
              <w:rPr>
                <w:rFonts w:ascii="Garamond" w:hAnsi="Garamond"/>
                <w:sz w:val="16"/>
              </w:rPr>
              <w:t>49.6</w:t>
            </w:r>
          </w:p>
        </w:tc>
        <w:tc>
          <w:tcPr>
            <w:tcW w:type="dxa" w:w="1337"/>
          </w:tcPr>
          <w:p>
            <w:pPr>
              <w:spacing w:line="240" w:lineRule="auto"/>
              <w:jc w:val="right"/>
            </w:pPr>
            <w:r/>
            <w:r>
              <w:rPr>
                <w:rFonts w:ascii="Garamond" w:hAnsi="Garamond"/>
                <w:sz w:val="16"/>
              </w:rPr>
              <w:t>917</w:t>
            </w:r>
          </w:p>
        </w:tc>
        <w:tc>
          <w:tcPr>
            <w:tcW w:type="dxa" w:w="1337"/>
          </w:tcPr>
          <w:p>
            <w:pPr>
              <w:spacing w:line="240" w:lineRule="auto"/>
              <w:jc w:val="right"/>
            </w:pPr>
            <w:r/>
            <w:r>
              <w:rPr>
                <w:rFonts w:ascii="Garamond" w:hAnsi="Garamond"/>
                <w:sz w:val="16"/>
              </w:rPr>
              <w:t>757</w:t>
            </w:r>
          </w:p>
        </w:tc>
      </w:tr>
      <w:tr>
        <w:tc>
          <w:tcPr>
            <w:tcW w:type="dxa" w:w="1337"/>
          </w:tcPr>
          <w:p>
            <w:pPr>
              <w:spacing w:line="240" w:lineRule="auto"/>
            </w:pPr>
            <w:r/>
            <w:r>
              <w:rPr>
                <w:rFonts w:ascii="Garamond" w:hAnsi="Garamond"/>
                <w:sz w:val="16"/>
              </w:rPr>
              <w:t>Home Partners (Blackstone)</w:t>
            </w:r>
          </w:p>
        </w:tc>
        <w:tc>
          <w:tcPr>
            <w:tcW w:type="dxa" w:w="1337"/>
          </w:tcPr>
          <w:p>
            <w:pPr>
              <w:spacing w:line="240" w:lineRule="auto"/>
              <w:jc w:val="right"/>
            </w:pPr>
            <w:r/>
            <w:r>
              <w:rPr>
                <w:rFonts w:ascii="Garamond" w:hAnsi="Garamond"/>
                <w:sz w:val="16"/>
              </w:rPr>
              <w:t>20</w:t>
            </w:r>
          </w:p>
        </w:tc>
        <w:tc>
          <w:tcPr>
            <w:tcW w:type="dxa" w:w="1337"/>
          </w:tcPr>
          <w:p>
            <w:pPr>
              <w:spacing w:line="240" w:lineRule="auto"/>
              <w:jc w:val="right"/>
            </w:pPr>
            <w:r/>
            <w:r>
              <w:rPr>
                <w:rFonts w:ascii="Garamond" w:hAnsi="Garamond"/>
                <w:sz w:val="16"/>
              </w:rPr>
              <w:t>14</w:t>
            </w:r>
          </w:p>
        </w:tc>
        <w:tc>
          <w:tcPr>
            <w:tcW w:type="dxa" w:w="1337"/>
          </w:tcPr>
          <w:p>
            <w:pPr>
              <w:spacing w:line="240" w:lineRule="auto"/>
              <w:jc w:val="right"/>
            </w:pPr>
            <w:r/>
            <w:r>
              <w:rPr>
                <w:rFonts w:ascii="Garamond" w:hAnsi="Garamond"/>
                <w:sz w:val="16"/>
              </w:rPr>
              <w:t>70.0%</w:t>
            </w:r>
          </w:p>
        </w:tc>
        <w:tc>
          <w:tcPr>
            <w:tcW w:type="dxa" w:w="1337"/>
          </w:tcPr>
          <w:p>
            <w:pPr>
              <w:spacing w:line="240" w:lineRule="auto"/>
              <w:jc w:val="right"/>
            </w:pPr>
            <w:r/>
            <w:r>
              <w:rPr>
                <w:rFonts w:ascii="Garamond" w:hAnsi="Garamond"/>
                <w:sz w:val="16"/>
              </w:rPr>
              <w:t>55.5</w:t>
            </w:r>
          </w:p>
        </w:tc>
        <w:tc>
          <w:tcPr>
            <w:tcW w:type="dxa" w:w="1337"/>
          </w:tcPr>
          <w:p>
            <w:pPr>
              <w:spacing w:line="240" w:lineRule="auto"/>
              <w:jc w:val="right"/>
            </w:pPr>
            <w:r/>
            <w:r>
              <w:rPr>
                <w:rFonts w:ascii="Garamond" w:hAnsi="Garamond"/>
                <w:sz w:val="16"/>
              </w:rPr>
              <w:t>14</w:t>
            </w:r>
          </w:p>
        </w:tc>
        <w:tc>
          <w:tcPr>
            <w:tcW w:type="dxa" w:w="1337"/>
          </w:tcPr>
          <w:p>
            <w:pPr>
              <w:spacing w:line="240" w:lineRule="auto"/>
              <w:jc w:val="right"/>
            </w:pPr>
            <w:r/>
            <w:r>
              <w:rPr>
                <w:rFonts w:ascii="Garamond" w:hAnsi="Garamond"/>
                <w:sz w:val="16"/>
              </w:rPr>
              <w:t>15</w:t>
            </w:r>
          </w:p>
        </w:tc>
      </w:tr>
      <w:tr>
        <w:tc>
          <w:tcPr>
            <w:tcW w:type="dxa" w:w="1337"/>
          </w:tcPr>
          <w:p>
            <w:pPr>
              <w:spacing w:line="240" w:lineRule="auto"/>
            </w:pPr>
            <w:r/>
            <w:r>
              <w:rPr>
                <w:rFonts w:ascii="Garamond" w:hAnsi="Garamond"/>
                <w:sz w:val="16"/>
              </w:rPr>
              <w:t>Tricon Residential</w:t>
            </w:r>
          </w:p>
        </w:tc>
        <w:tc>
          <w:tcPr>
            <w:tcW w:type="dxa" w:w="1337"/>
          </w:tcPr>
          <w:p>
            <w:pPr>
              <w:spacing w:line="240" w:lineRule="auto"/>
              <w:jc w:val="right"/>
            </w:pPr>
            <w:r/>
            <w:r>
              <w:rPr>
                <w:rFonts w:ascii="Garamond" w:hAnsi="Garamond"/>
                <w:sz w:val="16"/>
              </w:rPr>
              <w:t>276</w:t>
            </w:r>
          </w:p>
        </w:tc>
        <w:tc>
          <w:tcPr>
            <w:tcW w:type="dxa" w:w="1337"/>
          </w:tcPr>
          <w:p>
            <w:pPr>
              <w:spacing w:line="240" w:lineRule="auto"/>
              <w:jc w:val="right"/>
            </w:pPr>
            <w:r/>
            <w:r>
              <w:rPr>
                <w:rFonts w:ascii="Garamond" w:hAnsi="Garamond"/>
                <w:sz w:val="16"/>
              </w:rPr>
              <w:t>171</w:t>
            </w:r>
          </w:p>
        </w:tc>
        <w:tc>
          <w:tcPr>
            <w:tcW w:type="dxa" w:w="1337"/>
          </w:tcPr>
          <w:p>
            <w:pPr>
              <w:spacing w:line="240" w:lineRule="auto"/>
              <w:jc w:val="right"/>
            </w:pPr>
            <w:r/>
            <w:r>
              <w:rPr>
                <w:rFonts w:ascii="Garamond" w:hAnsi="Garamond"/>
                <w:sz w:val="16"/>
              </w:rPr>
              <w:t>62.0%</w:t>
            </w:r>
          </w:p>
        </w:tc>
        <w:tc>
          <w:tcPr>
            <w:tcW w:type="dxa" w:w="1337"/>
          </w:tcPr>
          <w:p>
            <w:pPr>
              <w:spacing w:line="240" w:lineRule="auto"/>
              <w:jc w:val="right"/>
            </w:pPr>
            <w:r/>
            <w:r>
              <w:rPr>
                <w:rFonts w:ascii="Garamond" w:hAnsi="Garamond"/>
                <w:sz w:val="16"/>
              </w:rPr>
              <w:t>41.4</w:t>
            </w:r>
          </w:p>
        </w:tc>
        <w:tc>
          <w:tcPr>
            <w:tcW w:type="dxa" w:w="1337"/>
          </w:tcPr>
          <w:p>
            <w:pPr>
              <w:spacing w:line="240" w:lineRule="auto"/>
              <w:jc w:val="right"/>
            </w:pPr>
            <w:r/>
            <w:r>
              <w:rPr>
                <w:rFonts w:ascii="Garamond" w:hAnsi="Garamond"/>
                <w:sz w:val="16"/>
              </w:rPr>
              <w:t>171</w:t>
            </w:r>
          </w:p>
        </w:tc>
        <w:tc>
          <w:tcPr>
            <w:tcW w:type="dxa" w:w="1337"/>
          </w:tcPr>
          <w:p>
            <w:pPr>
              <w:spacing w:line="240" w:lineRule="auto"/>
              <w:jc w:val="right"/>
            </w:pPr>
            <w:r/>
            <w:r>
              <w:rPr>
                <w:rFonts w:ascii="Garamond" w:hAnsi="Garamond"/>
                <w:sz w:val="16"/>
              </w:rPr>
              <w:t>145</w:t>
            </w:r>
          </w:p>
        </w:tc>
      </w:tr>
      <w:tr>
        <w:tc>
          <w:tcPr>
            <w:tcW w:type="dxa" w:w="1337"/>
          </w:tcPr>
          <w:p>
            <w:pPr>
              <w:spacing w:line="240" w:lineRule="auto"/>
            </w:pPr>
            <w:r/>
            <w:r>
              <w:rPr>
                <w:rFonts w:ascii="Garamond" w:hAnsi="Garamond"/>
                <w:sz w:val="16"/>
              </w:rPr>
              <w:t>Sparrow / Nuveen (Invitation-managed)</w:t>
            </w:r>
          </w:p>
        </w:tc>
        <w:tc>
          <w:tcPr>
            <w:tcW w:type="dxa" w:w="1337"/>
          </w:tcPr>
          <w:p>
            <w:pPr>
              <w:spacing w:line="240" w:lineRule="auto"/>
              <w:jc w:val="right"/>
            </w:pPr>
            <w:r/>
            <w:r>
              <w:rPr>
                <w:rFonts w:ascii="Garamond" w:hAnsi="Garamond"/>
                <w:sz w:val="16"/>
              </w:rPr>
              <w:t>35</w:t>
            </w:r>
          </w:p>
        </w:tc>
        <w:tc>
          <w:tcPr>
            <w:tcW w:type="dxa" w:w="1337"/>
          </w:tcPr>
          <w:p>
            <w:pPr>
              <w:spacing w:line="240" w:lineRule="auto"/>
              <w:jc w:val="right"/>
            </w:pPr>
            <w:r/>
            <w:r>
              <w:rPr>
                <w:rFonts w:ascii="Garamond" w:hAnsi="Garamond"/>
                <w:sz w:val="16"/>
              </w:rPr>
              <w:t>5</w:t>
            </w:r>
          </w:p>
        </w:tc>
        <w:tc>
          <w:tcPr>
            <w:tcW w:type="dxa" w:w="1337"/>
          </w:tcPr>
          <w:p>
            <w:pPr>
              <w:spacing w:line="240" w:lineRule="auto"/>
              <w:jc w:val="right"/>
            </w:pPr>
            <w:r/>
            <w:r>
              <w:rPr>
                <w:rFonts w:ascii="Garamond" w:hAnsi="Garamond"/>
                <w:sz w:val="16"/>
              </w:rPr>
              <w:t>14.3%</w:t>
            </w:r>
          </w:p>
        </w:tc>
        <w:tc>
          <w:tcPr>
            <w:tcW w:type="dxa" w:w="1337"/>
          </w:tcPr>
          <w:p>
            <w:pPr>
              <w:spacing w:line="240" w:lineRule="auto"/>
              <w:jc w:val="right"/>
            </w:pPr>
            <w:r/>
            <w:r>
              <w:rPr>
                <w:rFonts w:ascii="Garamond" w:hAnsi="Garamond"/>
                <w:sz w:val="16"/>
              </w:rPr>
              <w:t>3.9</w:t>
            </w:r>
          </w:p>
        </w:tc>
        <w:tc>
          <w:tcPr>
            <w:tcW w:type="dxa" w:w="1337"/>
          </w:tcPr>
          <w:p>
            <w:pPr>
              <w:spacing w:line="240" w:lineRule="auto"/>
              <w:jc w:val="right"/>
            </w:pPr>
            <w:r/>
            <w:r>
              <w:rPr>
                <w:rFonts w:ascii="Garamond" w:hAnsi="Garamond"/>
                <w:sz w:val="16"/>
              </w:rPr>
              <w:t>0</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American Homes 4 Rent</w:t>
            </w:r>
          </w:p>
        </w:tc>
        <w:tc>
          <w:tcPr>
            <w:tcW w:type="dxa" w:w="1337"/>
          </w:tcPr>
          <w:p>
            <w:pPr>
              <w:spacing w:line="240" w:lineRule="auto"/>
              <w:jc w:val="right"/>
            </w:pPr>
            <w:r/>
            <w:r>
              <w:rPr>
                <w:rFonts w:ascii="Garamond" w:hAnsi="Garamond"/>
                <w:sz w:val="16"/>
              </w:rPr>
              <w:t>1,092</w:t>
            </w:r>
          </w:p>
        </w:tc>
        <w:tc>
          <w:tcPr>
            <w:tcW w:type="dxa" w:w="1337"/>
          </w:tcPr>
          <w:p>
            <w:pPr>
              <w:spacing w:line="240" w:lineRule="auto"/>
              <w:jc w:val="right"/>
            </w:pPr>
            <w:r/>
            <w:r>
              <w:rPr>
                <w:rFonts w:ascii="Garamond" w:hAnsi="Garamond"/>
                <w:sz w:val="16"/>
              </w:rPr>
              <w:t>23</w:t>
            </w:r>
          </w:p>
        </w:tc>
        <w:tc>
          <w:tcPr>
            <w:tcW w:type="dxa" w:w="1337"/>
          </w:tcPr>
          <w:p>
            <w:pPr>
              <w:spacing w:line="240" w:lineRule="auto"/>
              <w:jc w:val="right"/>
            </w:pPr>
            <w:r/>
            <w:r>
              <w:rPr>
                <w:rFonts w:ascii="Garamond" w:hAnsi="Garamond"/>
                <w:sz w:val="16"/>
              </w:rPr>
              <w:t>2.1%</w:t>
            </w:r>
          </w:p>
        </w:tc>
        <w:tc>
          <w:tcPr>
            <w:tcW w:type="dxa" w:w="1337"/>
          </w:tcPr>
          <w:p>
            <w:pPr>
              <w:spacing w:line="240" w:lineRule="auto"/>
              <w:jc w:val="right"/>
            </w:pPr>
            <w:r/>
            <w:r>
              <w:rPr>
                <w:rFonts w:ascii="Garamond" w:hAnsi="Garamond"/>
                <w:sz w:val="16"/>
              </w:rPr>
              <w:t>2.5</w:t>
            </w:r>
          </w:p>
        </w:tc>
        <w:tc>
          <w:tcPr>
            <w:tcW w:type="dxa" w:w="1337"/>
          </w:tcPr>
          <w:p>
            <w:pPr>
              <w:spacing w:line="240" w:lineRule="auto"/>
              <w:jc w:val="right"/>
            </w:pPr>
            <w:r/>
            <w:r>
              <w:rPr>
                <w:rFonts w:ascii="Garamond" w:hAnsi="Garamond"/>
                <w:sz w:val="16"/>
              </w:rPr>
              <w:t>438</w:t>
            </w:r>
          </w:p>
        </w:tc>
        <w:tc>
          <w:tcPr>
            <w:tcW w:type="dxa" w:w="1337"/>
          </w:tcPr>
          <w:p>
            <w:pPr>
              <w:spacing w:line="240" w:lineRule="auto"/>
              <w:jc w:val="right"/>
            </w:pPr>
            <w:r/>
            <w:r>
              <w:rPr>
                <w:rFonts w:ascii="Garamond" w:hAnsi="Garamond"/>
                <w:sz w:val="16"/>
              </w:rPr>
              <w:t>442</w:t>
            </w:r>
          </w:p>
        </w:tc>
      </w:tr>
      <w:tr>
        <w:tc>
          <w:tcPr>
            <w:tcW w:type="dxa" w:w="1337"/>
          </w:tcPr>
          <w:p>
            <w:pPr>
              <w:spacing w:line="240" w:lineRule="auto"/>
            </w:pPr>
            <w:r/>
            <w:r>
              <w:rPr>
                <w:rFonts w:ascii="Garamond" w:hAnsi="Garamond"/>
                <w:sz w:val="16"/>
              </w:rPr>
              <w:t>Rithm Capital</w:t>
            </w:r>
          </w:p>
        </w:tc>
        <w:tc>
          <w:tcPr>
            <w:tcW w:type="dxa" w:w="1337"/>
          </w:tcPr>
          <w:p>
            <w:pPr>
              <w:spacing w:line="240" w:lineRule="auto"/>
              <w:jc w:val="right"/>
            </w:pPr>
            <w:r/>
            <w:r>
              <w:rPr>
                <w:rFonts w:ascii="Garamond" w:hAnsi="Garamond"/>
                <w:sz w:val="16"/>
              </w:rPr>
              <w:t>52</w:t>
            </w:r>
          </w:p>
        </w:tc>
        <w:tc>
          <w:tcPr>
            <w:tcW w:type="dxa" w:w="1337"/>
          </w:tcPr>
          <w:p>
            <w:pPr>
              <w:spacing w:line="240" w:lineRule="auto"/>
              <w:jc w:val="right"/>
            </w:pPr>
            <w:r/>
            <w:r>
              <w:rPr>
                <w:rFonts w:ascii="Garamond" w:hAnsi="Garamond"/>
                <w:sz w:val="16"/>
              </w:rPr>
              <w:t>1</w:t>
            </w:r>
          </w:p>
        </w:tc>
        <w:tc>
          <w:tcPr>
            <w:tcW w:type="dxa" w:w="1337"/>
          </w:tcPr>
          <w:p>
            <w:pPr>
              <w:spacing w:line="240" w:lineRule="auto"/>
              <w:jc w:val="right"/>
            </w:pPr>
            <w:r/>
            <w:r>
              <w:rPr>
                <w:rFonts w:ascii="Garamond" w:hAnsi="Garamond"/>
                <w:sz w:val="16"/>
              </w:rPr>
              <w:t>1.9%</w:t>
            </w:r>
          </w:p>
        </w:tc>
        <w:tc>
          <w:tcPr>
            <w:tcW w:type="dxa" w:w="1337"/>
          </w:tcPr>
          <w:p>
            <w:pPr>
              <w:spacing w:line="240" w:lineRule="auto"/>
              <w:jc w:val="right"/>
            </w:pPr>
            <w:r/>
            <w:r>
              <w:rPr>
                <w:rFonts w:ascii="Garamond" w:hAnsi="Garamond"/>
                <w:sz w:val="16"/>
              </w:rPr>
              <w:t>2.9</w:t>
            </w:r>
          </w:p>
        </w:tc>
        <w:tc>
          <w:tcPr>
            <w:tcW w:type="dxa" w:w="1337"/>
          </w:tcPr>
          <w:p>
            <w:pPr>
              <w:spacing w:line="240" w:lineRule="auto"/>
              <w:jc w:val="right"/>
            </w:pPr>
            <w:r/>
            <w:r>
              <w:rPr>
                <w:rFonts w:ascii="Garamond" w:hAnsi="Garamond"/>
                <w:sz w:val="16"/>
              </w:rPr>
              <w:t>0</w:t>
            </w:r>
          </w:p>
        </w:tc>
        <w:tc>
          <w:tcPr>
            <w:tcW w:type="dxa" w:w="1337"/>
          </w:tcPr>
          <w:p>
            <w:pPr>
              <w:spacing w:line="240" w:lineRule="auto"/>
              <w:jc w:val="right"/>
            </w:pPr>
            <w:r/>
            <w:r>
              <w:rPr>
                <w:rFonts w:ascii="Garamond" w:hAnsi="Garamond"/>
                <w:sz w:val="16"/>
              </w:rPr>
              <w:t>3</w:t>
            </w:r>
          </w:p>
        </w:tc>
      </w:tr>
      <w:tr>
        <w:tc>
          <w:tcPr>
            <w:tcW w:type="dxa" w:w="1337"/>
          </w:tcPr>
          <w:p>
            <w:pPr>
              <w:spacing w:line="240" w:lineRule="auto"/>
            </w:pPr>
            <w:r/>
            <w:r>
              <w:rPr>
                <w:rFonts w:ascii="Garamond" w:hAnsi="Garamond"/>
                <w:sz w:val="16"/>
              </w:rPr>
              <w:t>Starwood Capital</w:t>
            </w:r>
          </w:p>
        </w:tc>
        <w:tc>
          <w:tcPr>
            <w:tcW w:type="dxa" w:w="1337"/>
          </w:tcPr>
          <w:p>
            <w:pPr>
              <w:spacing w:line="240" w:lineRule="auto"/>
              <w:jc w:val="right"/>
            </w:pPr>
            <w:r/>
            <w:r>
              <w:rPr>
                <w:rFonts w:ascii="Garamond" w:hAnsi="Garamond"/>
                <w:sz w:val="16"/>
              </w:rPr>
              <w:t>251</w:t>
            </w:r>
          </w:p>
        </w:tc>
        <w:tc>
          <w:tcPr>
            <w:tcW w:type="dxa" w:w="1337"/>
          </w:tcPr>
          <w:p>
            <w:pPr>
              <w:spacing w:line="240" w:lineRule="auto"/>
              <w:jc w:val="right"/>
            </w:pPr>
            <w:r/>
            <w:r>
              <w:rPr>
                <w:rFonts w:ascii="Garamond" w:hAnsi="Garamond"/>
                <w:sz w:val="16"/>
              </w:rPr>
              <w:t>2</w:t>
            </w:r>
          </w:p>
        </w:tc>
        <w:tc>
          <w:tcPr>
            <w:tcW w:type="dxa" w:w="1337"/>
          </w:tcPr>
          <w:p>
            <w:pPr>
              <w:spacing w:line="240" w:lineRule="auto"/>
              <w:jc w:val="right"/>
            </w:pPr>
            <w:r/>
            <w:r>
              <w:rPr>
                <w:rFonts w:ascii="Garamond" w:hAnsi="Garamond"/>
                <w:sz w:val="16"/>
              </w:rPr>
              <w:t>0.8%</w:t>
            </w:r>
          </w:p>
        </w:tc>
        <w:tc>
          <w:tcPr>
            <w:tcW w:type="dxa" w:w="1337"/>
          </w:tcPr>
          <w:p>
            <w:pPr>
              <w:spacing w:line="240" w:lineRule="auto"/>
              <w:jc w:val="right"/>
            </w:pPr>
            <w:r/>
            <w:r>
              <w:rPr>
                <w:rFonts w:ascii="Garamond" w:hAnsi="Garamond"/>
                <w:sz w:val="16"/>
              </w:rPr>
              <w:t>47.0</w:t>
            </w:r>
          </w:p>
        </w:tc>
        <w:tc>
          <w:tcPr>
            <w:tcW w:type="dxa" w:w="1337"/>
          </w:tcPr>
          <w:p>
            <w:pPr>
              <w:spacing w:line="240" w:lineRule="auto"/>
              <w:jc w:val="right"/>
            </w:pPr>
            <w:r/>
            <w:r>
              <w:rPr>
                <w:rFonts w:ascii="Garamond" w:hAnsi="Garamond"/>
                <w:sz w:val="16"/>
              </w:rPr>
              <w:t>2</w:t>
            </w:r>
          </w:p>
        </w:tc>
        <w:tc>
          <w:tcPr>
            <w:tcW w:type="dxa" w:w="1337"/>
          </w:tcPr>
          <w:p>
            <w:pPr>
              <w:spacing w:line="240" w:lineRule="auto"/>
              <w:jc w:val="right"/>
            </w:pPr>
            <w:r/>
            <w:r>
              <w:rPr>
                <w:rFonts w:ascii="Garamond" w:hAnsi="Garamond"/>
                <w:sz w:val="16"/>
              </w:rPr>
              <w:t>3</w:t>
            </w:r>
          </w:p>
        </w:tc>
      </w:tr>
      <w:tr>
        <w:tc>
          <w:tcPr>
            <w:tcW w:type="dxa" w:w="1337"/>
          </w:tcPr>
          <w:p>
            <w:pPr>
              <w:spacing w:line="240" w:lineRule="auto"/>
            </w:pPr>
            <w:r/>
            <w:r>
              <w:rPr>
                <w:rFonts w:ascii="Garamond" w:hAnsi="Garamond"/>
                <w:sz w:val="16"/>
              </w:rPr>
              <w:t>Invitation Homes</w:t>
            </w:r>
          </w:p>
        </w:tc>
        <w:tc>
          <w:tcPr>
            <w:tcW w:type="dxa" w:w="1337"/>
          </w:tcPr>
          <w:p>
            <w:pPr>
              <w:spacing w:line="240" w:lineRule="auto"/>
              <w:jc w:val="right"/>
            </w:pPr>
            <w:r/>
            <w:r>
              <w:rPr>
                <w:rFonts w:ascii="Garamond" w:hAnsi="Garamond"/>
                <w:sz w:val="16"/>
              </w:rPr>
              <w:t>8</w:t>
            </w:r>
          </w:p>
        </w:tc>
        <w:tc>
          <w:tcPr>
            <w:tcW w:type="dxa" w:w="1337"/>
          </w:tcPr>
          <w:p>
            <w:pPr>
              <w:spacing w:line="240" w:lineRule="auto"/>
              <w:jc w:val="right"/>
            </w:pPr>
            <w:r/>
            <w:r>
              <w:rPr>
                <w:rFonts w:ascii="Garamond" w:hAnsi="Garamond"/>
                <w:sz w:val="16"/>
              </w:rPr>
              <w:t>0</w:t>
            </w:r>
          </w:p>
        </w:tc>
        <w:tc>
          <w:tcPr>
            <w:tcW w:type="dxa" w:w="1337"/>
          </w:tcPr>
          <w:p>
            <w:pPr>
              <w:spacing w:line="240" w:lineRule="auto"/>
              <w:jc w:val="right"/>
            </w:pPr>
            <w:r/>
            <w:r>
              <w:rPr>
                <w:rFonts w:ascii="Garamond" w:hAnsi="Garamond"/>
                <w:sz w:val="16"/>
              </w:rPr>
              <w:t>0.0%</w:t>
            </w:r>
          </w:p>
        </w:tc>
        <w:tc>
          <w:tcPr>
            <w:tcW w:type="dxa" w:w="1337"/>
          </w:tcPr>
          <w:p>
            <w:pPr>
              <w:spacing w:line="240" w:lineRule="auto"/>
            </w:pPr>
            <w:r/>
            <w:r>
              <w:rPr>
                <w:rFonts w:ascii="Garamond" w:hAnsi="Garamond"/>
                <w:sz w:val="16"/>
              </w:rPr>
              <w:t>n/a</w:t>
            </w:r>
          </w:p>
        </w:tc>
        <w:tc>
          <w:tcPr>
            <w:tcW w:type="dxa" w:w="1337"/>
          </w:tcPr>
          <w:p>
            <w:pPr>
              <w:spacing w:line="240" w:lineRule="auto"/>
              <w:jc w:val="right"/>
            </w:pPr>
            <w:r/>
            <w:r>
              <w:rPr>
                <w:rFonts w:ascii="Garamond" w:hAnsi="Garamond"/>
                <w:sz w:val="16"/>
              </w:rPr>
              <w:t>0</w:t>
            </w:r>
          </w:p>
        </w:tc>
        <w:tc>
          <w:tcPr>
            <w:tcW w:type="dxa" w:w="1337"/>
          </w:tcPr>
          <w:p>
            <w:pPr>
              <w:spacing w:line="240" w:lineRule="auto"/>
              <w:jc w:val="right"/>
            </w:pPr>
            <w:r/>
            <w:r>
              <w:rPr>
                <w:rFonts w:ascii="Garamond" w:hAnsi="Garamond"/>
                <w:sz w:val="16"/>
              </w:rPr>
              <w:t>7</w:t>
            </w:r>
          </w:p>
        </w:tc>
      </w:tr>
      <w:tr>
        <w:tc>
          <w:tcPr>
            <w:tcW w:type="dxa" w:w="1337"/>
          </w:tcPr>
          <w:p>
            <w:pPr>
              <w:spacing w:line="240" w:lineRule="auto"/>
            </w:pPr>
            <w:r/>
            <w:r>
              <w:rPr>
                <w:rFonts w:ascii="Garamond" w:hAnsi="Garamond"/>
                <w:sz w:val="16"/>
              </w:rPr>
              <w:t>VineBrook Homes</w:t>
            </w:r>
          </w:p>
        </w:tc>
        <w:tc>
          <w:tcPr>
            <w:tcW w:type="dxa" w:w="1337"/>
          </w:tcPr>
          <w:p>
            <w:pPr>
              <w:spacing w:line="240" w:lineRule="auto"/>
              <w:jc w:val="right"/>
            </w:pPr>
            <w:r/>
            <w:r>
              <w:rPr>
                <w:rFonts w:ascii="Garamond" w:hAnsi="Garamond"/>
                <w:sz w:val="16"/>
              </w:rPr>
              <w:t>59</w:t>
            </w:r>
          </w:p>
        </w:tc>
        <w:tc>
          <w:tcPr>
            <w:tcW w:type="dxa" w:w="1337"/>
          </w:tcPr>
          <w:p>
            <w:pPr>
              <w:spacing w:line="240" w:lineRule="auto"/>
              <w:jc w:val="right"/>
            </w:pPr>
            <w:r/>
            <w:r>
              <w:rPr>
                <w:rFonts w:ascii="Garamond" w:hAnsi="Garamond"/>
                <w:sz w:val="16"/>
              </w:rPr>
              <w:t>0</w:t>
            </w:r>
          </w:p>
        </w:tc>
        <w:tc>
          <w:tcPr>
            <w:tcW w:type="dxa" w:w="1337"/>
          </w:tcPr>
          <w:p>
            <w:pPr>
              <w:spacing w:line="240" w:lineRule="auto"/>
              <w:jc w:val="right"/>
            </w:pPr>
            <w:r/>
            <w:r>
              <w:rPr>
                <w:rFonts w:ascii="Garamond" w:hAnsi="Garamond"/>
                <w:sz w:val="16"/>
              </w:rPr>
              <w:t>0.0%</w:t>
            </w:r>
          </w:p>
        </w:tc>
        <w:tc>
          <w:tcPr>
            <w:tcW w:type="dxa" w:w="1337"/>
          </w:tcPr>
          <w:p>
            <w:pPr>
              <w:spacing w:line="240" w:lineRule="auto"/>
            </w:pPr>
            <w:r/>
            <w:r>
              <w:rPr>
                <w:rFonts w:ascii="Garamond" w:hAnsi="Garamond"/>
                <w:sz w:val="16"/>
              </w:rPr>
              <w:t>n/a</w:t>
            </w:r>
          </w:p>
        </w:tc>
        <w:tc>
          <w:tcPr>
            <w:tcW w:type="dxa" w:w="1337"/>
          </w:tcPr>
          <w:p>
            <w:pPr>
              <w:spacing w:line="240" w:lineRule="auto"/>
              <w:jc w:val="right"/>
            </w:pPr>
            <w:r/>
            <w:r>
              <w:rPr>
                <w:rFonts w:ascii="Garamond" w:hAnsi="Garamond"/>
                <w:sz w:val="16"/>
              </w:rPr>
              <w:t>0</w:t>
            </w:r>
          </w:p>
        </w:tc>
        <w:tc>
          <w:tcPr>
            <w:tcW w:type="dxa" w:w="1337"/>
          </w:tcPr>
          <w:p>
            <w:pPr>
              <w:spacing w:line="240" w:lineRule="auto"/>
              <w:jc w:val="right"/>
            </w:pPr>
            <w:r/>
            <w:r>
              <w:rPr>
                <w:rFonts w:ascii="Garamond" w:hAnsi="Garamond"/>
                <w:sz w:val="16"/>
              </w:rPr>
              <w:t>1</w:t>
            </w:r>
          </w:p>
        </w:tc>
      </w:tr>
    </w:tbl>
    <w:p>
      <w:pPr>
        <w:spacing w:after="0"/>
      </w:pPr>
    </w:p>
    <w:p>
      <w:pPr>
        <w:spacing w:line="240" w:lineRule="auto" w:before="0" w:after="120"/>
      </w:pPr>
      <w:r>
        <w:rPr>
          <w:rFonts w:ascii="Garamond" w:hAnsi="Garamond"/>
          <w:i/>
          <w:sz w:val="19"/>
        </w:rPr>
        <w:t>Notes: Author's analysis of Metro Nashville Department of Codes and Building Safety, ePermits landlord registration cases (case type 176), https://epermits.nashville.gov/api/permit/1.0/Case?$filter=caseTypeID%20eq%20176&amp;$inlinecount=allpages&amp;$top=100&amp;$orderby=caseID%20asc, joined at the case level to the CaseAddress and CasePeople endpoints (26,468 cases, 50,526 parcel-rows, pulled July 9, 2026), and matched by parcel identifier to each operator's framework parcels under the series' July 22, 2026 attribution. "Registered after the current deed" counts a parcel once when any registration listing its address was issued on or after the acquisition date of the current owner of record in the ParcelHistory ownership layer, https://maps.nashville.gov/arcgis2/rest/services/Parcels/ParcelHistory/MapServer/2, the enumeration Tenn. Code Ann. § 66-28-107(a)(1)(B) requires; the median lag is measured from that deed to the first such filing. "Currently Issued" counts parcels carrying a registration in Issued status on the pull date. "Filed in the operator's own name" counts parcels with any registration whose registrant resolves to the operator family, in any year; a low figure beside a high post-deed count (RESICAP, Maymont) means the registrations were filed by a manager or in a shell name the registrant field does not resolve. American Homes 4 Rent's 438 Issued registrations trace to a 2012 filing that enumerated 438 addresses; its post-deed count is low because its homes have since moved among its borrower entities by deed. Replication file in the online data appendix.</w:t>
      </w:r>
    </w:p>
    <w:p>
      <w:pPr>
        <w:spacing w:line="240" w:lineRule="auto" w:before="0" w:after="120"/>
      </w:pPr>
      <w:r>
        <w:rPr>
          <w:rFonts w:ascii="Garamond" w:hAnsi="Garamond"/>
          <w:b/>
          <w:sz w:val="19"/>
        </w:rPr>
        <w:t>Table A2:</w:t>
      </w:r>
      <w:r>
        <w:rPr>
          <w:rFonts w:ascii="Garamond" w:hAnsi="Garamond"/>
          <w:sz w:val="19"/>
        </w:rPr>
        <w:t xml:space="preserve"> Share of each operator's Davidson County homes in high or very-high renter-vulnerability block groups, 2026.</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Set</w:t>
            </w:r>
          </w:p>
        </w:tc>
        <w:tc>
          <w:tcPr>
            <w:tcW w:type="dxa" w:w="2340"/>
            <w:tcBorders>
              <w:bottom w:val="single" w:sz="4" w:color="000000"/>
            </w:tcBorders>
          </w:tcPr>
          <w:p>
            <w:pPr>
              <w:spacing w:line="240" w:lineRule="auto"/>
            </w:pPr>
            <w:r>
              <w:rPr>
                <w:b/>
              </w:rPr>
            </w:r>
            <w:r>
              <w:rPr>
                <w:rFonts w:ascii="Garamond" w:hAnsi="Garamond"/>
                <w:b/>
                <w:sz w:val="18"/>
              </w:rPr>
              <w:t>Homes</w:t>
            </w:r>
          </w:p>
        </w:tc>
        <w:tc>
          <w:tcPr>
            <w:tcW w:type="dxa" w:w="2340"/>
            <w:tcBorders>
              <w:bottom w:val="single" w:sz="4" w:color="000000"/>
            </w:tcBorders>
          </w:tcPr>
          <w:p>
            <w:pPr>
              <w:spacing w:line="240" w:lineRule="auto"/>
            </w:pPr>
            <w:r>
              <w:rPr>
                <w:b/>
              </w:rPr>
            </w:r>
            <w:r>
              <w:rPr>
                <w:rFonts w:ascii="Garamond" w:hAnsi="Garamond"/>
                <w:b/>
                <w:sz w:val="18"/>
              </w:rPr>
              <w:t>In high or very-high vulnerability block groups</w:t>
            </w:r>
          </w:p>
        </w:tc>
        <w:tc>
          <w:tcPr>
            <w:tcW w:type="dxa" w:w="2340"/>
            <w:tcBorders>
              <w:bottom w:val="single" w:sz="4" w:color="000000"/>
            </w:tcBorders>
          </w:tcPr>
          <w:p>
            <w:pPr>
              <w:spacing w:line="240" w:lineRule="auto"/>
            </w:pPr>
            <w:r>
              <w:rPr>
                <w:b/>
              </w:rPr>
            </w:r>
            <w:r>
              <w:rPr>
                <w:rFonts w:ascii="Garamond" w:hAnsi="Garamond"/>
                <w:b/>
                <w:sz w:val="18"/>
              </w:rPr>
              <w:t>Share</w:t>
            </w:r>
          </w:p>
        </w:tc>
      </w:tr>
      <w:tr>
        <w:tc>
          <w:tcPr>
            <w:tcW w:type="dxa" w:w="2340"/>
          </w:tcPr>
          <w:p>
            <w:pPr>
              <w:spacing w:line="240" w:lineRule="auto"/>
            </w:pPr>
            <w:r/>
            <w:r>
              <w:rPr>
                <w:rFonts w:ascii="Garamond" w:hAnsi="Garamond"/>
                <w:sz w:val="18"/>
              </w:rPr>
              <w:t>All framework homes</w:t>
            </w:r>
          </w:p>
        </w:tc>
        <w:tc>
          <w:tcPr>
            <w:tcW w:type="dxa" w:w="2340"/>
          </w:tcPr>
          <w:p>
            <w:pPr>
              <w:spacing w:line="240" w:lineRule="auto"/>
              <w:jc w:val="right"/>
            </w:pPr>
            <w:r/>
            <w:r>
              <w:rPr>
                <w:rFonts w:ascii="Garamond" w:hAnsi="Garamond"/>
                <w:sz w:val="18"/>
              </w:rPr>
              <w:t>206,067</w:t>
            </w:r>
          </w:p>
        </w:tc>
        <w:tc>
          <w:tcPr>
            <w:tcW w:type="dxa" w:w="2340"/>
          </w:tcPr>
          <w:p>
            <w:pPr>
              <w:spacing w:line="240" w:lineRule="auto"/>
              <w:jc w:val="right"/>
            </w:pPr>
            <w:r/>
            <w:r>
              <w:rPr>
                <w:rFonts w:ascii="Garamond" w:hAnsi="Garamond"/>
                <w:sz w:val="18"/>
              </w:rPr>
              <w:t>43,646</w:t>
            </w:r>
          </w:p>
        </w:tc>
        <w:tc>
          <w:tcPr>
            <w:tcW w:type="dxa" w:w="2340"/>
          </w:tcPr>
          <w:p>
            <w:pPr>
              <w:spacing w:line="240" w:lineRule="auto"/>
              <w:jc w:val="right"/>
            </w:pPr>
            <w:r/>
            <w:r>
              <w:rPr>
                <w:rFonts w:ascii="Garamond" w:hAnsi="Garamond"/>
                <w:sz w:val="18"/>
              </w:rPr>
              <w:t>21.2%</w:t>
            </w:r>
          </w:p>
        </w:tc>
      </w:tr>
      <w:tr>
        <w:tc>
          <w:tcPr>
            <w:tcW w:type="dxa" w:w="2340"/>
          </w:tcPr>
          <w:p>
            <w:pPr>
              <w:spacing w:line="240" w:lineRule="auto"/>
            </w:pPr>
            <w:r/>
            <w:r>
              <w:rPr>
                <w:rFonts w:ascii="Garamond" w:hAnsi="Garamond"/>
                <w:sz w:val="18"/>
              </w:rPr>
              <w:t>Entity-owned, non-owner-occupied</w:t>
            </w:r>
          </w:p>
        </w:tc>
        <w:tc>
          <w:tcPr>
            <w:tcW w:type="dxa" w:w="2340"/>
          </w:tcPr>
          <w:p>
            <w:pPr>
              <w:spacing w:line="240" w:lineRule="auto"/>
              <w:jc w:val="right"/>
            </w:pPr>
            <w:r/>
            <w:r>
              <w:rPr>
                <w:rFonts w:ascii="Garamond" w:hAnsi="Garamond"/>
                <w:sz w:val="18"/>
              </w:rPr>
              <w:t>14,193</w:t>
            </w:r>
          </w:p>
        </w:tc>
        <w:tc>
          <w:tcPr>
            <w:tcW w:type="dxa" w:w="2340"/>
          </w:tcPr>
          <w:p>
            <w:pPr>
              <w:spacing w:line="240" w:lineRule="auto"/>
              <w:jc w:val="right"/>
            </w:pPr>
            <w:r/>
            <w:r>
              <w:rPr>
                <w:rFonts w:ascii="Garamond" w:hAnsi="Garamond"/>
                <w:sz w:val="18"/>
              </w:rPr>
              <w:t>4,837</w:t>
            </w:r>
          </w:p>
        </w:tc>
        <w:tc>
          <w:tcPr>
            <w:tcW w:type="dxa" w:w="2340"/>
          </w:tcPr>
          <w:p>
            <w:pPr>
              <w:spacing w:line="240" w:lineRule="auto"/>
              <w:jc w:val="right"/>
            </w:pPr>
            <w:r/>
            <w:r>
              <w:rPr>
                <w:rFonts w:ascii="Garamond" w:hAnsi="Garamond"/>
                <w:sz w:val="18"/>
              </w:rPr>
              <w:t>34.1%</w:t>
            </w:r>
          </w:p>
        </w:tc>
      </w:tr>
      <w:tr>
        <w:tc>
          <w:tcPr>
            <w:tcW w:type="dxa" w:w="2340"/>
          </w:tcPr>
          <w:p>
            <w:pPr>
              <w:spacing w:line="240" w:lineRule="auto"/>
            </w:pPr>
            <w:r/>
            <w:r>
              <w:rPr>
                <w:rFonts w:ascii="Garamond" w:hAnsi="Garamond"/>
                <w:sz w:val="18"/>
              </w:rPr>
              <w:t>Named single-family rental operators</w:t>
            </w:r>
          </w:p>
        </w:tc>
        <w:tc>
          <w:tcPr>
            <w:tcW w:type="dxa" w:w="2340"/>
          </w:tcPr>
          <w:p>
            <w:pPr>
              <w:spacing w:line="240" w:lineRule="auto"/>
              <w:jc w:val="right"/>
            </w:pPr>
            <w:r/>
            <w:r>
              <w:rPr>
                <w:rFonts w:ascii="Garamond" w:hAnsi="Garamond"/>
                <w:sz w:val="18"/>
              </w:rPr>
              <w:t>4,405</w:t>
            </w:r>
          </w:p>
        </w:tc>
        <w:tc>
          <w:tcPr>
            <w:tcW w:type="dxa" w:w="2340"/>
          </w:tcPr>
          <w:p>
            <w:pPr>
              <w:spacing w:line="240" w:lineRule="auto"/>
              <w:jc w:val="right"/>
            </w:pPr>
            <w:r/>
            <w:r>
              <w:rPr>
                <w:rFonts w:ascii="Garamond" w:hAnsi="Garamond"/>
                <w:sz w:val="18"/>
              </w:rPr>
              <w:t>1,215</w:t>
            </w:r>
          </w:p>
        </w:tc>
        <w:tc>
          <w:tcPr>
            <w:tcW w:type="dxa" w:w="2340"/>
          </w:tcPr>
          <w:p>
            <w:pPr>
              <w:spacing w:line="240" w:lineRule="auto"/>
              <w:jc w:val="right"/>
            </w:pPr>
            <w:r/>
            <w:r>
              <w:rPr>
                <w:rFonts w:ascii="Garamond" w:hAnsi="Garamond"/>
                <w:sz w:val="18"/>
              </w:rPr>
              <w:t>27.6%</w:t>
            </w:r>
          </w:p>
        </w:tc>
      </w:tr>
      <w:tr>
        <w:tc>
          <w:tcPr>
            <w:tcW w:type="dxa" w:w="2340"/>
          </w:tcPr>
          <w:p>
            <w:pPr>
              <w:spacing w:line="240" w:lineRule="auto"/>
            </w:pPr>
            <w:r/>
            <w:r>
              <w:rPr>
                <w:rFonts w:ascii="Garamond" w:hAnsi="Garamond"/>
                <w:sz w:val="18"/>
              </w:rPr>
              <w:t>Progress Residential</w:t>
            </w:r>
          </w:p>
        </w:tc>
        <w:tc>
          <w:tcPr>
            <w:tcW w:type="dxa" w:w="2340"/>
          </w:tcPr>
          <w:p>
            <w:pPr>
              <w:spacing w:line="240" w:lineRule="auto"/>
              <w:jc w:val="right"/>
            </w:pPr>
            <w:r/>
            <w:r>
              <w:rPr>
                <w:rFonts w:ascii="Garamond" w:hAnsi="Garamond"/>
                <w:sz w:val="18"/>
              </w:rPr>
              <w:t>1,238</w:t>
            </w:r>
          </w:p>
        </w:tc>
        <w:tc>
          <w:tcPr>
            <w:tcW w:type="dxa" w:w="2340"/>
          </w:tcPr>
          <w:p>
            <w:pPr>
              <w:spacing w:line="240" w:lineRule="auto"/>
              <w:jc w:val="right"/>
            </w:pPr>
            <w:r/>
            <w:r>
              <w:rPr>
                <w:rFonts w:ascii="Garamond" w:hAnsi="Garamond"/>
                <w:sz w:val="18"/>
              </w:rPr>
              <w:t>248</w:t>
            </w:r>
          </w:p>
        </w:tc>
        <w:tc>
          <w:tcPr>
            <w:tcW w:type="dxa" w:w="2340"/>
          </w:tcPr>
          <w:p>
            <w:pPr>
              <w:spacing w:line="240" w:lineRule="auto"/>
              <w:jc w:val="right"/>
            </w:pPr>
            <w:r/>
            <w:r>
              <w:rPr>
                <w:rFonts w:ascii="Garamond" w:hAnsi="Garamond"/>
                <w:sz w:val="18"/>
              </w:rPr>
              <w:t>20.0%</w:t>
            </w:r>
          </w:p>
        </w:tc>
      </w:tr>
      <w:tr>
        <w:tc>
          <w:tcPr>
            <w:tcW w:type="dxa" w:w="2340"/>
          </w:tcPr>
          <w:p>
            <w:pPr>
              <w:spacing w:line="240" w:lineRule="auto"/>
            </w:pPr>
            <w:r/>
            <w:r>
              <w:rPr>
                <w:rFonts w:ascii="Garamond" w:hAnsi="Garamond"/>
                <w:sz w:val="18"/>
              </w:rPr>
              <w:t>American Homes 4 Rent</w:t>
            </w:r>
          </w:p>
        </w:tc>
        <w:tc>
          <w:tcPr>
            <w:tcW w:type="dxa" w:w="2340"/>
          </w:tcPr>
          <w:p>
            <w:pPr>
              <w:spacing w:line="240" w:lineRule="auto"/>
              <w:jc w:val="right"/>
            </w:pPr>
            <w:r/>
            <w:r>
              <w:rPr>
                <w:rFonts w:ascii="Garamond" w:hAnsi="Garamond"/>
                <w:sz w:val="18"/>
              </w:rPr>
              <w:t>1,092</w:t>
            </w:r>
          </w:p>
        </w:tc>
        <w:tc>
          <w:tcPr>
            <w:tcW w:type="dxa" w:w="2340"/>
          </w:tcPr>
          <w:p>
            <w:pPr>
              <w:spacing w:line="240" w:lineRule="auto"/>
              <w:jc w:val="right"/>
            </w:pPr>
            <w:r/>
            <w:r>
              <w:rPr>
                <w:rFonts w:ascii="Garamond" w:hAnsi="Garamond"/>
                <w:sz w:val="18"/>
              </w:rPr>
              <w:t>222</w:t>
            </w:r>
          </w:p>
        </w:tc>
        <w:tc>
          <w:tcPr>
            <w:tcW w:type="dxa" w:w="2340"/>
          </w:tcPr>
          <w:p>
            <w:pPr>
              <w:spacing w:line="240" w:lineRule="auto"/>
              <w:jc w:val="right"/>
            </w:pPr>
            <w:r/>
            <w:r>
              <w:rPr>
                <w:rFonts w:ascii="Garamond" w:hAnsi="Garamond"/>
                <w:sz w:val="18"/>
              </w:rPr>
              <w:t>20.3%</w:t>
            </w:r>
          </w:p>
        </w:tc>
      </w:tr>
      <w:tr>
        <w:tc>
          <w:tcPr>
            <w:tcW w:type="dxa" w:w="2340"/>
          </w:tcPr>
          <w:p>
            <w:pPr>
              <w:spacing w:line="240" w:lineRule="auto"/>
            </w:pPr>
            <w:r/>
            <w:r>
              <w:rPr>
                <w:rFonts w:ascii="Garamond" w:hAnsi="Garamond"/>
                <w:sz w:val="18"/>
              </w:rPr>
              <w:t>Amherst Residential</w:t>
            </w:r>
          </w:p>
        </w:tc>
        <w:tc>
          <w:tcPr>
            <w:tcW w:type="dxa" w:w="2340"/>
          </w:tcPr>
          <w:p>
            <w:pPr>
              <w:spacing w:line="240" w:lineRule="auto"/>
              <w:jc w:val="right"/>
            </w:pPr>
            <w:r/>
            <w:r>
              <w:rPr>
                <w:rFonts w:ascii="Garamond" w:hAnsi="Garamond"/>
                <w:sz w:val="18"/>
              </w:rPr>
              <w:t>654</w:t>
            </w:r>
          </w:p>
        </w:tc>
        <w:tc>
          <w:tcPr>
            <w:tcW w:type="dxa" w:w="2340"/>
          </w:tcPr>
          <w:p>
            <w:pPr>
              <w:spacing w:line="240" w:lineRule="auto"/>
              <w:jc w:val="right"/>
            </w:pPr>
            <w:r/>
            <w:r>
              <w:rPr>
                <w:rFonts w:ascii="Garamond" w:hAnsi="Garamond"/>
                <w:sz w:val="18"/>
              </w:rPr>
              <w:t>143</w:t>
            </w:r>
          </w:p>
        </w:tc>
        <w:tc>
          <w:tcPr>
            <w:tcW w:type="dxa" w:w="2340"/>
          </w:tcPr>
          <w:p>
            <w:pPr>
              <w:spacing w:line="240" w:lineRule="auto"/>
              <w:jc w:val="right"/>
            </w:pPr>
            <w:r/>
            <w:r>
              <w:rPr>
                <w:rFonts w:ascii="Garamond" w:hAnsi="Garamond"/>
                <w:sz w:val="18"/>
              </w:rPr>
              <w:t>21.9%</w:t>
            </w:r>
          </w:p>
        </w:tc>
      </w:tr>
      <w:tr>
        <w:tc>
          <w:tcPr>
            <w:tcW w:type="dxa" w:w="2340"/>
          </w:tcPr>
          <w:p>
            <w:pPr>
              <w:spacing w:line="240" w:lineRule="auto"/>
            </w:pPr>
            <w:r/>
            <w:r>
              <w:rPr>
                <w:rFonts w:ascii="Garamond" w:hAnsi="Garamond"/>
                <w:sz w:val="18"/>
              </w:rPr>
              <w:t>Tricon Residential</w:t>
            </w:r>
          </w:p>
        </w:tc>
        <w:tc>
          <w:tcPr>
            <w:tcW w:type="dxa" w:w="2340"/>
          </w:tcPr>
          <w:p>
            <w:pPr>
              <w:spacing w:line="240" w:lineRule="auto"/>
              <w:jc w:val="right"/>
            </w:pPr>
            <w:r/>
            <w:r>
              <w:rPr>
                <w:rFonts w:ascii="Garamond" w:hAnsi="Garamond"/>
                <w:sz w:val="18"/>
              </w:rPr>
              <w:t>276</w:t>
            </w:r>
          </w:p>
        </w:tc>
        <w:tc>
          <w:tcPr>
            <w:tcW w:type="dxa" w:w="2340"/>
          </w:tcPr>
          <w:p>
            <w:pPr>
              <w:spacing w:line="240" w:lineRule="auto"/>
              <w:jc w:val="right"/>
            </w:pPr>
            <w:r/>
            <w:r>
              <w:rPr>
                <w:rFonts w:ascii="Garamond" w:hAnsi="Garamond"/>
                <w:sz w:val="18"/>
              </w:rPr>
              <w:t>32</w:t>
            </w:r>
          </w:p>
        </w:tc>
        <w:tc>
          <w:tcPr>
            <w:tcW w:type="dxa" w:w="2340"/>
          </w:tcPr>
          <w:p>
            <w:pPr>
              <w:spacing w:line="240" w:lineRule="auto"/>
              <w:jc w:val="right"/>
            </w:pPr>
            <w:r/>
            <w:r>
              <w:rPr>
                <w:rFonts w:ascii="Garamond" w:hAnsi="Garamond"/>
                <w:sz w:val="18"/>
              </w:rPr>
              <w:t>11.6%</w:t>
            </w:r>
          </w:p>
        </w:tc>
      </w:tr>
      <w:tr>
        <w:tc>
          <w:tcPr>
            <w:tcW w:type="dxa" w:w="2340"/>
          </w:tcPr>
          <w:p>
            <w:pPr>
              <w:spacing w:line="240" w:lineRule="auto"/>
            </w:pPr>
            <w:r/>
            <w:r>
              <w:rPr>
                <w:rFonts w:ascii="Garamond" w:hAnsi="Garamond"/>
                <w:sz w:val="18"/>
              </w:rPr>
              <w:t>Starwood Capital</w:t>
            </w:r>
          </w:p>
        </w:tc>
        <w:tc>
          <w:tcPr>
            <w:tcW w:type="dxa" w:w="2340"/>
          </w:tcPr>
          <w:p>
            <w:pPr>
              <w:spacing w:line="240" w:lineRule="auto"/>
              <w:jc w:val="right"/>
            </w:pPr>
            <w:r/>
            <w:r>
              <w:rPr>
                <w:rFonts w:ascii="Garamond" w:hAnsi="Garamond"/>
                <w:sz w:val="18"/>
              </w:rPr>
              <w:t>251</w:t>
            </w:r>
          </w:p>
        </w:tc>
        <w:tc>
          <w:tcPr>
            <w:tcW w:type="dxa" w:w="2340"/>
          </w:tcPr>
          <w:p>
            <w:pPr>
              <w:spacing w:line="240" w:lineRule="auto"/>
              <w:jc w:val="right"/>
            </w:pPr>
            <w:r/>
            <w:r>
              <w:rPr>
                <w:rFonts w:ascii="Garamond" w:hAnsi="Garamond"/>
                <w:sz w:val="18"/>
              </w:rPr>
              <w:t>97</w:t>
            </w:r>
          </w:p>
        </w:tc>
        <w:tc>
          <w:tcPr>
            <w:tcW w:type="dxa" w:w="2340"/>
          </w:tcPr>
          <w:p>
            <w:pPr>
              <w:spacing w:line="240" w:lineRule="auto"/>
              <w:jc w:val="right"/>
            </w:pPr>
            <w:r/>
            <w:r>
              <w:rPr>
                <w:rFonts w:ascii="Garamond" w:hAnsi="Garamond"/>
                <w:sz w:val="18"/>
              </w:rPr>
              <w:t>38.6%</w:t>
            </w:r>
          </w:p>
        </w:tc>
      </w:tr>
      <w:tr>
        <w:tc>
          <w:tcPr>
            <w:tcW w:type="dxa" w:w="2340"/>
          </w:tcPr>
          <w:p>
            <w:pPr>
              <w:spacing w:line="240" w:lineRule="auto"/>
            </w:pPr>
            <w:r/>
            <w:r>
              <w:rPr>
                <w:rFonts w:ascii="Garamond" w:hAnsi="Garamond"/>
                <w:sz w:val="18"/>
              </w:rPr>
              <w:t>Normandy Group (local)</w:t>
            </w:r>
          </w:p>
        </w:tc>
        <w:tc>
          <w:tcPr>
            <w:tcW w:type="dxa" w:w="2340"/>
          </w:tcPr>
          <w:p>
            <w:pPr>
              <w:spacing w:line="240" w:lineRule="auto"/>
              <w:jc w:val="right"/>
            </w:pPr>
            <w:r/>
            <w:r>
              <w:rPr>
                <w:rFonts w:ascii="Garamond" w:hAnsi="Garamond"/>
                <w:sz w:val="18"/>
              </w:rPr>
              <w:t>302</w:t>
            </w:r>
          </w:p>
        </w:tc>
        <w:tc>
          <w:tcPr>
            <w:tcW w:type="dxa" w:w="2340"/>
          </w:tcPr>
          <w:p>
            <w:pPr>
              <w:spacing w:line="240" w:lineRule="auto"/>
              <w:jc w:val="right"/>
            </w:pPr>
            <w:r/>
            <w:r>
              <w:rPr>
                <w:rFonts w:ascii="Garamond" w:hAnsi="Garamond"/>
                <w:sz w:val="18"/>
              </w:rPr>
              <w:t>284</w:t>
            </w:r>
          </w:p>
        </w:tc>
        <w:tc>
          <w:tcPr>
            <w:tcW w:type="dxa" w:w="2340"/>
          </w:tcPr>
          <w:p>
            <w:pPr>
              <w:spacing w:line="240" w:lineRule="auto"/>
              <w:jc w:val="right"/>
            </w:pPr>
            <w:r/>
            <w:r>
              <w:rPr>
                <w:rFonts w:ascii="Garamond" w:hAnsi="Garamond"/>
                <w:sz w:val="18"/>
              </w:rPr>
              <w:t>94.0%</w:t>
            </w:r>
          </w:p>
        </w:tc>
      </w:tr>
    </w:tbl>
    <w:p>
      <w:pPr>
        <w:spacing w:after="0"/>
      </w:pPr>
    </w:p>
    <w:p>
      <w:pPr>
        <w:spacing w:line="240" w:lineRule="auto" w:before="0" w:after="120"/>
      </w:pPr>
      <w:r>
        <w:rPr>
          <w:rFonts w:ascii="Garamond" w:hAnsi="Garamond"/>
          <w:i/>
          <w:sz w:val="19"/>
        </w:rPr>
        <w:t>Notes: Block-group vulnerability index from the American Community Survey 2020 to 2024 five-year estimates, https://api.census.gov/data/2024/acs/acs5, scored on six indicators (renter share, renter cost burden, poverty, unemployment, carless households, limited English proficiency) against the county average; 147 of 487 block groups score high or very high and house 71,284 of the county's 138,670 renters. Parcels assigned to block groups by point-in-polygon on the July 14, 2026 grounded cadastral; operator counts here are that file's attribution and differ by a few parcels from the July 22 rollup. Replication file in the online data appendix.</w:t>
      </w:r>
    </w:p>
    <w:p>
      <w:pPr>
        <w:pStyle w:val="Heading1"/>
        <w:spacing w:before="360"/>
      </w:pPr>
      <w:r>
        <w:t>APPENDIX B: INSTITUTIONAL RENT PREMIUM</w:t>
      </w:r>
    </w:p>
    <w:p>
      <w:pPr>
        <w:spacing w:line="240" w:lineRule="auto" w:before="0" w:after="120"/>
      </w:pPr>
      <w:r>
        <w:rPr>
          <w:rFonts w:ascii="Garamond" w:hAnsi="Garamond"/>
          <w:b/>
          <w:sz w:val="19"/>
        </w:rPr>
        <w:t>Table B1:  Median listed rent, institutional vs. non-institutional, Davidson County.</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Year</w:t>
            </w:r>
          </w:p>
        </w:tc>
        <w:tc>
          <w:tcPr>
            <w:tcW w:type="dxa" w:w="2340"/>
            <w:tcBorders>
              <w:bottom w:val="single" w:sz="4" w:color="000000"/>
            </w:tcBorders>
          </w:tcPr>
          <w:p>
            <w:pPr>
              <w:spacing w:line="240" w:lineRule="auto"/>
            </w:pPr>
            <w:r>
              <w:rPr>
                <w:b/>
              </w:rPr>
            </w:r>
            <w:r>
              <w:rPr>
                <w:rFonts w:ascii="Garamond" w:hAnsi="Garamond"/>
                <w:b/>
                <w:sz w:val="18"/>
              </w:rPr>
              <w:t>Non-institutional median</w:t>
            </w:r>
          </w:p>
        </w:tc>
        <w:tc>
          <w:tcPr>
            <w:tcW w:type="dxa" w:w="2340"/>
            <w:tcBorders>
              <w:bottom w:val="single" w:sz="4" w:color="000000"/>
            </w:tcBorders>
          </w:tcPr>
          <w:p>
            <w:pPr>
              <w:spacing w:line="240" w:lineRule="auto"/>
            </w:pPr>
            <w:r>
              <w:rPr>
                <w:b/>
              </w:rPr>
            </w:r>
            <w:r>
              <w:rPr>
                <w:rFonts w:ascii="Garamond" w:hAnsi="Garamond"/>
                <w:b/>
                <w:sz w:val="18"/>
              </w:rPr>
              <w:t>Institutional median</w:t>
            </w:r>
          </w:p>
        </w:tc>
        <w:tc>
          <w:tcPr>
            <w:tcW w:type="dxa" w:w="2340"/>
            <w:tcBorders>
              <w:bottom w:val="single" w:sz="4" w:color="000000"/>
            </w:tcBorders>
          </w:tcPr>
          <w:p>
            <w:pPr>
              <w:spacing w:line="240" w:lineRule="auto"/>
            </w:pPr>
            <w:r>
              <w:rPr>
                <w:b/>
              </w:rPr>
            </w:r>
            <w:r>
              <w:rPr>
                <w:rFonts w:ascii="Garamond" w:hAnsi="Garamond"/>
                <w:b/>
                <w:sz w:val="18"/>
              </w:rPr>
              <w:t>Premium</w:t>
            </w:r>
          </w:p>
        </w:tc>
      </w:tr>
      <w:tr>
        <w:tc>
          <w:tcPr>
            <w:tcW w:type="dxa" w:w="2340"/>
          </w:tcPr>
          <w:p>
            <w:pPr>
              <w:spacing w:line="240" w:lineRule="auto"/>
            </w:pPr>
            <w:r/>
            <w:r>
              <w:rPr>
                <w:rFonts w:ascii="Garamond" w:hAnsi="Garamond"/>
                <w:sz w:val="18"/>
              </w:rPr>
              <w:t>2016–18</w:t>
            </w:r>
          </w:p>
        </w:tc>
        <w:tc>
          <w:tcPr>
            <w:tcW w:type="dxa" w:w="2340"/>
          </w:tcPr>
          <w:p>
            <w:pPr>
              <w:spacing w:line="240" w:lineRule="auto"/>
            </w:pPr>
            <w:r/>
            <w:r>
              <w:rPr>
                <w:rFonts w:ascii="Garamond" w:hAnsi="Garamond"/>
                <w:sz w:val="18"/>
              </w:rPr>
              <w:t>$1,400–$1,585</w:t>
            </w:r>
          </w:p>
        </w:tc>
        <w:tc>
          <w:tcPr>
            <w:tcW w:type="dxa" w:w="2340"/>
          </w:tcPr>
          <w:p>
            <w:pPr>
              <w:spacing w:line="240" w:lineRule="auto"/>
            </w:pPr>
            <w:r/>
            <w:r>
              <w:rPr>
                <w:rFonts w:ascii="Garamond" w:hAnsi="Garamond"/>
                <w:sz w:val="18"/>
              </w:rPr>
              <w:t>$1,183–$1,253</w:t>
            </w:r>
          </w:p>
        </w:tc>
        <w:tc>
          <w:tcPr>
            <w:tcW w:type="dxa" w:w="2340"/>
          </w:tcPr>
          <w:p>
            <w:pPr>
              <w:spacing w:line="240" w:lineRule="auto"/>
            </w:pPr>
            <w:r/>
            <w:r>
              <w:rPr>
                <w:rFonts w:ascii="Garamond" w:hAnsi="Garamond"/>
                <w:sz w:val="18"/>
              </w:rPr>
              <w:t>−15% to −23%</w:t>
            </w:r>
          </w:p>
        </w:tc>
      </w:tr>
      <w:tr>
        <w:tc>
          <w:tcPr>
            <w:tcW w:type="dxa" w:w="2340"/>
          </w:tcPr>
          <w:p>
            <w:pPr>
              <w:spacing w:line="240" w:lineRule="auto"/>
            </w:pPr>
            <w:r/>
            <w:r>
              <w:rPr>
                <w:rFonts w:ascii="Garamond" w:hAnsi="Garamond"/>
                <w:sz w:val="18"/>
              </w:rPr>
              <w:t>2019</w:t>
            </w:r>
          </w:p>
        </w:tc>
        <w:tc>
          <w:tcPr>
            <w:tcW w:type="dxa" w:w="2340"/>
          </w:tcPr>
          <w:p>
            <w:pPr>
              <w:spacing w:line="240" w:lineRule="auto"/>
              <w:jc w:val="right"/>
            </w:pPr>
            <w:r/>
            <w:r>
              <w:rPr>
                <w:rFonts w:ascii="Garamond" w:hAnsi="Garamond"/>
                <w:sz w:val="18"/>
              </w:rPr>
              <w:t>$1,748</w:t>
            </w:r>
          </w:p>
        </w:tc>
        <w:tc>
          <w:tcPr>
            <w:tcW w:type="dxa" w:w="2340"/>
          </w:tcPr>
          <w:p>
            <w:pPr>
              <w:spacing w:line="240" w:lineRule="auto"/>
              <w:jc w:val="right"/>
            </w:pPr>
            <w:r/>
            <w:r>
              <w:rPr>
                <w:rFonts w:ascii="Garamond" w:hAnsi="Garamond"/>
                <w:sz w:val="18"/>
              </w:rPr>
              <w:t>$1,713</w:t>
            </w:r>
          </w:p>
        </w:tc>
        <w:tc>
          <w:tcPr>
            <w:tcW w:type="dxa" w:w="2340"/>
          </w:tcPr>
          <w:p>
            <w:pPr>
              <w:spacing w:line="240" w:lineRule="auto"/>
            </w:pPr>
            <w:r/>
            <w:r>
              <w:rPr>
                <w:rFonts w:ascii="Garamond" w:hAnsi="Garamond"/>
                <w:sz w:val="18"/>
              </w:rPr>
              <w:t>−2.0%</w:t>
            </w:r>
          </w:p>
        </w:tc>
      </w:tr>
      <w:tr>
        <w:tc>
          <w:tcPr>
            <w:tcW w:type="dxa" w:w="2340"/>
          </w:tcPr>
          <w:p>
            <w:pPr>
              <w:spacing w:line="240" w:lineRule="auto"/>
            </w:pPr>
            <w:r/>
            <w:r>
              <w:rPr>
                <w:rFonts w:ascii="Garamond" w:hAnsi="Garamond"/>
                <w:sz w:val="18"/>
              </w:rPr>
              <w:t>2020</w:t>
            </w:r>
          </w:p>
        </w:tc>
        <w:tc>
          <w:tcPr>
            <w:tcW w:type="dxa" w:w="2340"/>
          </w:tcPr>
          <w:p>
            <w:pPr>
              <w:spacing w:line="240" w:lineRule="auto"/>
              <w:jc w:val="right"/>
            </w:pPr>
            <w:r/>
            <w:r>
              <w:rPr>
                <w:rFonts w:ascii="Garamond" w:hAnsi="Garamond"/>
                <w:sz w:val="18"/>
              </w:rPr>
              <w:t>$1,665</w:t>
            </w:r>
          </w:p>
        </w:tc>
        <w:tc>
          <w:tcPr>
            <w:tcW w:type="dxa" w:w="2340"/>
          </w:tcPr>
          <w:p>
            <w:pPr>
              <w:spacing w:line="240" w:lineRule="auto"/>
              <w:jc w:val="right"/>
            </w:pPr>
            <w:r/>
            <w:r>
              <w:rPr>
                <w:rFonts w:ascii="Garamond" w:hAnsi="Garamond"/>
                <w:sz w:val="18"/>
              </w:rPr>
              <w:t>$1,795</w:t>
            </w:r>
          </w:p>
        </w:tc>
        <w:tc>
          <w:tcPr>
            <w:tcW w:type="dxa" w:w="2340"/>
          </w:tcPr>
          <w:p>
            <w:pPr>
              <w:spacing w:line="240" w:lineRule="auto"/>
            </w:pPr>
            <w:r/>
            <w:r>
              <w:rPr>
                <w:rFonts w:ascii="Garamond" w:hAnsi="Garamond"/>
                <w:sz w:val="18"/>
              </w:rPr>
              <w:t>+7.8%</w:t>
            </w:r>
          </w:p>
        </w:tc>
      </w:tr>
      <w:tr>
        <w:tc>
          <w:tcPr>
            <w:tcW w:type="dxa" w:w="2340"/>
          </w:tcPr>
          <w:p>
            <w:pPr>
              <w:spacing w:line="240" w:lineRule="auto"/>
            </w:pPr>
            <w:r/>
            <w:r>
              <w:rPr>
                <w:rFonts w:ascii="Garamond" w:hAnsi="Garamond"/>
                <w:sz w:val="18"/>
              </w:rPr>
              <w:t>2022</w:t>
            </w:r>
          </w:p>
        </w:tc>
        <w:tc>
          <w:tcPr>
            <w:tcW w:type="dxa" w:w="2340"/>
          </w:tcPr>
          <w:p>
            <w:pPr>
              <w:spacing w:line="240" w:lineRule="auto"/>
              <w:jc w:val="right"/>
            </w:pPr>
            <w:r/>
            <w:r>
              <w:rPr>
                <w:rFonts w:ascii="Garamond" w:hAnsi="Garamond"/>
                <w:sz w:val="18"/>
              </w:rPr>
              <w:t>$2,005</w:t>
            </w:r>
          </w:p>
        </w:tc>
        <w:tc>
          <w:tcPr>
            <w:tcW w:type="dxa" w:w="2340"/>
          </w:tcPr>
          <w:p>
            <w:pPr>
              <w:spacing w:line="240" w:lineRule="auto"/>
              <w:jc w:val="right"/>
            </w:pPr>
            <w:r/>
            <w:r>
              <w:rPr>
                <w:rFonts w:ascii="Garamond" w:hAnsi="Garamond"/>
                <w:sz w:val="18"/>
              </w:rPr>
              <w:t>$2,095</w:t>
            </w:r>
          </w:p>
        </w:tc>
        <w:tc>
          <w:tcPr>
            <w:tcW w:type="dxa" w:w="2340"/>
          </w:tcPr>
          <w:p>
            <w:pPr>
              <w:spacing w:line="240" w:lineRule="auto"/>
            </w:pPr>
            <w:r/>
            <w:r>
              <w:rPr>
                <w:rFonts w:ascii="Garamond" w:hAnsi="Garamond"/>
                <w:sz w:val="18"/>
              </w:rPr>
              <w:t>+4.5%</w:t>
            </w:r>
          </w:p>
        </w:tc>
      </w:tr>
      <w:tr>
        <w:tc>
          <w:tcPr>
            <w:tcW w:type="dxa" w:w="2340"/>
          </w:tcPr>
          <w:p>
            <w:pPr>
              <w:spacing w:line="240" w:lineRule="auto"/>
            </w:pPr>
            <w:r/>
            <w:r>
              <w:rPr>
                <w:rFonts w:ascii="Garamond" w:hAnsi="Garamond"/>
                <w:sz w:val="18"/>
              </w:rPr>
              <w:t>2023</w:t>
            </w:r>
          </w:p>
        </w:tc>
        <w:tc>
          <w:tcPr>
            <w:tcW w:type="dxa" w:w="2340"/>
          </w:tcPr>
          <w:p>
            <w:pPr>
              <w:spacing w:line="240" w:lineRule="auto"/>
              <w:jc w:val="right"/>
            </w:pPr>
            <w:r/>
            <w:r>
              <w:rPr>
                <w:rFonts w:ascii="Garamond" w:hAnsi="Garamond"/>
                <w:sz w:val="18"/>
              </w:rPr>
              <w:t>$2,095</w:t>
            </w:r>
          </w:p>
        </w:tc>
        <w:tc>
          <w:tcPr>
            <w:tcW w:type="dxa" w:w="2340"/>
          </w:tcPr>
          <w:p>
            <w:pPr>
              <w:spacing w:line="240" w:lineRule="auto"/>
              <w:jc w:val="right"/>
            </w:pPr>
            <w:r/>
            <w:r>
              <w:rPr>
                <w:rFonts w:ascii="Garamond" w:hAnsi="Garamond"/>
                <w:sz w:val="18"/>
              </w:rPr>
              <w:t>$2,225</w:t>
            </w:r>
          </w:p>
        </w:tc>
        <w:tc>
          <w:tcPr>
            <w:tcW w:type="dxa" w:w="2340"/>
          </w:tcPr>
          <w:p>
            <w:pPr>
              <w:spacing w:line="240" w:lineRule="auto"/>
            </w:pPr>
            <w:r/>
            <w:r>
              <w:rPr>
                <w:rFonts w:ascii="Garamond" w:hAnsi="Garamond"/>
                <w:sz w:val="18"/>
              </w:rPr>
              <w:t>+6.2%</w:t>
            </w:r>
          </w:p>
        </w:tc>
      </w:tr>
      <w:tr>
        <w:tc>
          <w:tcPr>
            <w:tcW w:type="dxa" w:w="2340"/>
          </w:tcPr>
          <w:p>
            <w:pPr>
              <w:spacing w:line="240" w:lineRule="auto"/>
            </w:pPr>
            <w:r/>
            <w:r>
              <w:rPr>
                <w:rFonts w:ascii="Garamond" w:hAnsi="Garamond"/>
                <w:sz w:val="18"/>
              </w:rPr>
              <w:t>2024</w:t>
            </w:r>
          </w:p>
        </w:tc>
        <w:tc>
          <w:tcPr>
            <w:tcW w:type="dxa" w:w="2340"/>
          </w:tcPr>
          <w:p>
            <w:pPr>
              <w:spacing w:line="240" w:lineRule="auto"/>
              <w:jc w:val="right"/>
            </w:pPr>
            <w:r/>
            <w:r>
              <w:rPr>
                <w:rFonts w:ascii="Garamond" w:hAnsi="Garamond"/>
                <w:sz w:val="18"/>
              </w:rPr>
              <w:t>$1,999</w:t>
            </w:r>
          </w:p>
        </w:tc>
        <w:tc>
          <w:tcPr>
            <w:tcW w:type="dxa" w:w="2340"/>
          </w:tcPr>
          <w:p>
            <w:pPr>
              <w:spacing w:line="240" w:lineRule="auto"/>
              <w:jc w:val="right"/>
            </w:pPr>
            <w:r/>
            <w:r>
              <w:rPr>
                <w:rFonts w:ascii="Garamond" w:hAnsi="Garamond"/>
                <w:sz w:val="18"/>
              </w:rPr>
              <w:t>$2,045</w:t>
            </w:r>
          </w:p>
        </w:tc>
        <w:tc>
          <w:tcPr>
            <w:tcW w:type="dxa" w:w="2340"/>
          </w:tcPr>
          <w:p>
            <w:pPr>
              <w:spacing w:line="240" w:lineRule="auto"/>
            </w:pPr>
            <w:r/>
            <w:r>
              <w:rPr>
                <w:rFonts w:ascii="Garamond" w:hAnsi="Garamond"/>
                <w:sz w:val="18"/>
              </w:rPr>
              <w:t>+2.3%</w:t>
            </w:r>
          </w:p>
        </w:tc>
      </w:tr>
      <w:tr>
        <w:tc>
          <w:tcPr>
            <w:tcW w:type="dxa" w:w="2340"/>
          </w:tcPr>
          <w:p>
            <w:pPr>
              <w:spacing w:line="240" w:lineRule="auto"/>
            </w:pPr>
            <w:r/>
            <w:r>
              <w:rPr>
                <w:rFonts w:ascii="Garamond" w:hAnsi="Garamond"/>
                <w:sz w:val="18"/>
              </w:rPr>
              <w:t>2026</w:t>
            </w:r>
          </w:p>
        </w:tc>
        <w:tc>
          <w:tcPr>
            <w:tcW w:type="dxa" w:w="2340"/>
          </w:tcPr>
          <w:p>
            <w:pPr>
              <w:spacing w:line="240" w:lineRule="auto"/>
              <w:jc w:val="right"/>
            </w:pPr>
            <w:r/>
            <w:r>
              <w:rPr>
                <w:rFonts w:ascii="Garamond" w:hAnsi="Garamond"/>
                <w:sz w:val="18"/>
              </w:rPr>
              <w:t>$2,030</w:t>
            </w:r>
          </w:p>
        </w:tc>
        <w:tc>
          <w:tcPr>
            <w:tcW w:type="dxa" w:w="2340"/>
          </w:tcPr>
          <w:p>
            <w:pPr>
              <w:spacing w:line="240" w:lineRule="auto"/>
              <w:jc w:val="right"/>
            </w:pPr>
            <w:r/>
            <w:r>
              <w:rPr>
                <w:rFonts w:ascii="Garamond" w:hAnsi="Garamond"/>
                <w:sz w:val="18"/>
              </w:rPr>
              <w:t>$2,289</w:t>
            </w:r>
          </w:p>
        </w:tc>
        <w:tc>
          <w:tcPr>
            <w:tcW w:type="dxa" w:w="2340"/>
          </w:tcPr>
          <w:p>
            <w:pPr>
              <w:spacing w:line="240" w:lineRule="auto"/>
            </w:pPr>
            <w:r/>
            <w:r>
              <w:rPr>
                <w:rFonts w:ascii="Garamond" w:hAnsi="Garamond"/>
                <w:sz w:val="18"/>
              </w:rPr>
              <w:t>+12.8%</w:t>
            </w:r>
          </w:p>
        </w:tc>
      </w:tr>
    </w:tbl>
    <w:p>
      <w:pPr>
        <w:spacing w:after="0"/>
      </w:pPr>
    </w:p>
    <w:p>
      <w:pPr>
        <w:spacing w:line="240" w:lineRule="auto" w:before="0" w:after="120"/>
      </w:pPr>
      <w:r>
        <w:rPr>
          <w:rFonts w:ascii="Garamond" w:hAnsi="Garamond"/>
          <w:i/>
          <w:sz w:val="19"/>
        </w:rPr>
        <w:t>Notes: Author's analysis of listing-level rental data for Davidson County (Dewey RentHub and Dwellsy listings, 2016 to 2026), the one non-governmental source in this Article. The series mixes single-family and multifamily institutional operators, so the premium is reported as a direction and a single-family-only split is required before it is stated as a point estimate. Within-tract median premium across 924 tract-year cells with both institutional and non-institutional listings: +6.2 percent.</w:t>
      </w:r>
    </w:p>
    <w:p>
      <w:pPr>
        <w:pStyle w:val="Heading1"/>
        <w:spacing w:before="360"/>
      </w:pPr>
      <w:r>
        <w:t>APPENDIX C: RENOVATE-TO-RENT SPENDING</w:t>
      </w:r>
    </w:p>
    <w:p>
      <w:pPr>
        <w:spacing w:line="240" w:lineRule="auto" w:before="0" w:after="120"/>
      </w:pPr>
      <w:r>
        <w:rPr>
          <w:rFonts w:ascii="Garamond" w:hAnsi="Garamond"/>
          <w:b/>
          <w:sz w:val="19"/>
        </w:rPr>
        <w:t>Table C1:</w:t>
      </w:r>
      <w:r>
        <w:rPr>
          <w:rFonts w:ascii="Garamond" w:hAnsi="Garamond"/>
          <w:sz w:val="19"/>
        </w:rPr>
        <w:t xml:space="preserve"> Post-acquisition rehabilitation spending as a share of acquisition price, entity-owned non-owner-occupied homes, Davidson County.</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Rehabilitation spend vs. acquisition price</w:t>
            </w:r>
          </w:p>
        </w:tc>
        <w:tc>
          <w:tcPr>
            <w:tcW w:type="dxa" w:w="3120"/>
            <w:tcBorders>
              <w:bottom w:val="single" w:sz="4" w:color="000000"/>
            </w:tcBorders>
          </w:tcPr>
          <w:p>
            <w:pPr>
              <w:spacing w:line="240" w:lineRule="auto"/>
            </w:pPr>
            <w:r>
              <w:rPr>
                <w:b/>
              </w:rPr>
            </w:r>
            <w:r>
              <w:rPr>
                <w:rFonts w:ascii="Garamond" w:hAnsi="Garamond"/>
                <w:b/>
                <w:sz w:val="18"/>
              </w:rPr>
              <w:t>Parcels</w:t>
            </w:r>
          </w:p>
        </w:tc>
        <w:tc>
          <w:tcPr>
            <w:tcW w:type="dxa" w:w="3120"/>
            <w:tcBorders>
              <w:bottom w:val="single" w:sz="4" w:color="000000"/>
            </w:tcBorders>
          </w:tcPr>
          <w:p>
            <w:pPr>
              <w:spacing w:line="240" w:lineRule="auto"/>
            </w:pPr>
            <w:r>
              <w:rPr>
                <w:b/>
              </w:rPr>
            </w:r>
            <w:r>
              <w:rPr>
                <w:rFonts w:ascii="Garamond" w:hAnsi="Garamond"/>
                <w:b/>
                <w:sz w:val="18"/>
              </w:rPr>
              <w:t>Share</w:t>
            </w:r>
          </w:p>
        </w:tc>
      </w:tr>
      <w:tr>
        <w:tc>
          <w:tcPr>
            <w:tcW w:type="dxa" w:w="3120"/>
          </w:tcPr>
          <w:p>
            <w:pPr>
              <w:spacing w:line="240" w:lineRule="auto"/>
            </w:pPr>
            <w:r/>
            <w:r>
              <w:rPr>
                <w:rFonts w:ascii="Garamond" w:hAnsi="Garamond"/>
                <w:sz w:val="18"/>
              </w:rPr>
              <w:t>≥ 5%</w:t>
            </w:r>
          </w:p>
        </w:tc>
        <w:tc>
          <w:tcPr>
            <w:tcW w:type="dxa" w:w="3120"/>
          </w:tcPr>
          <w:p>
            <w:pPr>
              <w:spacing w:line="240" w:lineRule="auto"/>
              <w:jc w:val="right"/>
            </w:pPr>
            <w:r/>
            <w:r>
              <w:rPr>
                <w:rFonts w:ascii="Garamond" w:hAnsi="Garamond"/>
                <w:sz w:val="18"/>
              </w:rPr>
              <w:t>38</w:t>
            </w:r>
          </w:p>
        </w:tc>
        <w:tc>
          <w:tcPr>
            <w:tcW w:type="dxa" w:w="3120"/>
          </w:tcPr>
          <w:p>
            <w:pPr>
              <w:spacing w:line="240" w:lineRule="auto"/>
              <w:jc w:val="right"/>
            </w:pPr>
            <w:r/>
            <w:r>
              <w:rPr>
                <w:rFonts w:ascii="Garamond" w:hAnsi="Garamond"/>
                <w:sz w:val="18"/>
              </w:rPr>
              <w:t>93%</w:t>
            </w:r>
          </w:p>
        </w:tc>
      </w:tr>
      <w:tr>
        <w:tc>
          <w:tcPr>
            <w:tcW w:type="dxa" w:w="3120"/>
          </w:tcPr>
          <w:p>
            <w:pPr>
              <w:spacing w:line="240" w:lineRule="auto"/>
            </w:pPr>
            <w:r/>
            <w:r>
              <w:rPr>
                <w:rFonts w:ascii="Garamond" w:hAnsi="Garamond"/>
                <w:sz w:val="18"/>
              </w:rPr>
              <w:t>≥ 15% (§ 1001(a)(2)(C)(ii) floor)</w:t>
            </w:r>
          </w:p>
        </w:tc>
        <w:tc>
          <w:tcPr>
            <w:tcW w:type="dxa" w:w="3120"/>
          </w:tcPr>
          <w:p>
            <w:pPr>
              <w:spacing w:line="240" w:lineRule="auto"/>
              <w:jc w:val="right"/>
            </w:pPr>
            <w:r/>
            <w:r>
              <w:rPr>
                <w:rFonts w:ascii="Garamond" w:hAnsi="Garamond"/>
                <w:sz w:val="18"/>
              </w:rPr>
              <w:t>33</w:t>
            </w:r>
          </w:p>
        </w:tc>
        <w:tc>
          <w:tcPr>
            <w:tcW w:type="dxa" w:w="3120"/>
          </w:tcPr>
          <w:p>
            <w:pPr>
              <w:spacing w:line="240" w:lineRule="auto"/>
              <w:jc w:val="right"/>
            </w:pPr>
            <w:r/>
            <w:r>
              <w:rPr>
                <w:rFonts w:ascii="Garamond" w:hAnsi="Garamond"/>
                <w:sz w:val="18"/>
              </w:rPr>
              <w:t>80%</w:t>
            </w:r>
          </w:p>
        </w:tc>
      </w:tr>
      <w:tr>
        <w:tc>
          <w:tcPr>
            <w:tcW w:type="dxa" w:w="3120"/>
          </w:tcPr>
          <w:p>
            <w:pPr>
              <w:spacing w:line="240" w:lineRule="auto"/>
            </w:pPr>
            <w:r/>
            <w:r>
              <w:rPr>
                <w:rFonts w:ascii="Garamond" w:hAnsi="Garamond"/>
                <w:sz w:val="18"/>
              </w:rPr>
              <w:t>≥ 25%</w:t>
            </w:r>
          </w:p>
        </w:tc>
        <w:tc>
          <w:tcPr>
            <w:tcW w:type="dxa" w:w="3120"/>
          </w:tcPr>
          <w:p>
            <w:pPr>
              <w:spacing w:line="240" w:lineRule="auto"/>
              <w:jc w:val="right"/>
            </w:pPr>
            <w:r/>
            <w:r>
              <w:rPr>
                <w:rFonts w:ascii="Garamond" w:hAnsi="Garamond"/>
                <w:sz w:val="18"/>
              </w:rPr>
              <w:t>29</w:t>
            </w:r>
          </w:p>
        </w:tc>
        <w:tc>
          <w:tcPr>
            <w:tcW w:type="dxa" w:w="3120"/>
          </w:tcPr>
          <w:p>
            <w:pPr>
              <w:spacing w:line="240" w:lineRule="auto"/>
              <w:jc w:val="right"/>
            </w:pPr>
            <w:r/>
            <w:r>
              <w:rPr>
                <w:rFonts w:ascii="Garamond" w:hAnsi="Garamond"/>
                <w:sz w:val="18"/>
              </w:rPr>
              <w:t>71%</w:t>
            </w:r>
          </w:p>
        </w:tc>
      </w:tr>
      <w:tr>
        <w:tc>
          <w:tcPr>
            <w:tcW w:type="dxa" w:w="3120"/>
          </w:tcPr>
          <w:p>
            <w:pPr>
              <w:spacing w:line="240" w:lineRule="auto"/>
            </w:pPr>
            <w:r/>
            <w:r>
              <w:rPr>
                <w:rFonts w:ascii="Garamond" w:hAnsi="Garamond"/>
                <w:sz w:val="18"/>
              </w:rPr>
              <w:t>≥ 50%</w:t>
            </w:r>
          </w:p>
        </w:tc>
        <w:tc>
          <w:tcPr>
            <w:tcW w:type="dxa" w:w="3120"/>
          </w:tcPr>
          <w:p>
            <w:pPr>
              <w:spacing w:line="240" w:lineRule="auto"/>
              <w:jc w:val="right"/>
            </w:pPr>
            <w:r/>
            <w:r>
              <w:rPr>
                <w:rFonts w:ascii="Garamond" w:hAnsi="Garamond"/>
                <w:sz w:val="18"/>
              </w:rPr>
              <w:t>17</w:t>
            </w:r>
          </w:p>
        </w:tc>
        <w:tc>
          <w:tcPr>
            <w:tcW w:type="dxa" w:w="3120"/>
          </w:tcPr>
          <w:p>
            <w:pPr>
              <w:spacing w:line="240" w:lineRule="auto"/>
              <w:jc w:val="right"/>
            </w:pPr>
            <w:r/>
            <w:r>
              <w:rPr>
                <w:rFonts w:ascii="Garamond" w:hAnsi="Garamond"/>
                <w:sz w:val="18"/>
              </w:rPr>
              <w:t>41%</w:t>
            </w:r>
          </w:p>
        </w:tc>
      </w:tr>
    </w:tbl>
    <w:p>
      <w:pPr>
        <w:spacing w:after="0"/>
      </w:pPr>
    </w:p>
    <w:p>
      <w:pPr>
        <w:spacing w:line="240" w:lineRule="auto" w:before="0" w:after="120"/>
      </w:pPr>
      <w:r>
        <w:rPr>
          <w:rFonts w:ascii="Garamond" w:hAnsi="Garamond"/>
          <w:i/>
          <w:sz w:val="19"/>
        </w:rPr>
        <w:t>Notes: Author's analysis of Metro Nashville Building Residential Rehab cases (case type 170), https://epermits.nashville.gov/api/permit/1.0/Case?$filter=caseTypeID%20eq%20170&amp;$inlinecount=allpages, with recorded construction values, joined by parcel to the current owner's acquisition date and sale price in the ParcelHistory ownership layer, https://maps.nashville.gov/arcgis2/rest/services/Parcels/ParcelHistory/MapServer/2. Universe: the 14,193 entity-owned, non-owner-occupied framework homes; 1,067 carry a priced rehabilitation permit, 50 pulled it at or after the current deed, and 41 of those record a non-zero acquisition price. n = 41. Median spend 37 percent of acquisition price. The named national operators have no post-acquisition rehabilitation permits. Replication file in the online data appendix.</w:t>
      </w:r>
    </w:p>
    <w:p>
      <w:pPr>
        <w:pStyle w:val="Heading1"/>
        <w:spacing w:before="360"/>
      </w:pPr>
      <w:r>
        <w:t>APPENDIX D: METHODOLOGY</w:t>
      </w:r>
    </w:p>
    <w:p>
      <w:pPr>
        <w:spacing w:line="480" w:lineRule="auto" w:before="0" w:after="0"/>
        <w:ind w:firstLine="720"/>
      </w:pPr>
      <w:r>
        <w:rPr>
          <w:rFonts w:ascii="Garamond" w:hAnsi="Garamond"/>
        </w:rPr>
        <w:t>This appendix documents the data, definitions, and procedures behind every count in this Article. The analysis runs exclusively on primary government records, and every population is reconstructable from a live public endpoint. Where a figure depends on a working data file rather than a single query, the appendix names the file and the transformation that produced it.</w:t>
      </w:r>
    </w:p>
    <w:p>
      <w:pPr>
        <w:pStyle w:val="Heading2"/>
      </w:pPr>
      <w:r>
        <w:t>D.1 Data Sources</w:t>
      </w:r>
    </w:p>
    <w:p>
      <w:pPr>
        <w:spacing w:line="480" w:lineRule="auto" w:before="0" w:after="0"/>
        <w:ind w:firstLine="720"/>
      </w:pPr>
      <w:r>
        <w:rPr>
          <w:rFonts w:ascii="Garamond" w:hAnsi="Garamond"/>
        </w:rPr>
        <w:t>Six primary records support the analysis. Each is a government system, and none is a proprietary aggregator.</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Record</w:t>
            </w:r>
          </w:p>
        </w:tc>
        <w:tc>
          <w:tcPr>
            <w:tcW w:type="dxa" w:w="2340"/>
            <w:tcBorders>
              <w:bottom w:val="single" w:sz="4" w:color="000000"/>
            </w:tcBorders>
          </w:tcPr>
          <w:p>
            <w:pPr>
              <w:spacing w:line="240" w:lineRule="auto"/>
            </w:pPr>
            <w:r>
              <w:rPr>
                <w:b/>
              </w:rPr>
            </w:r>
            <w:r>
              <w:rPr>
                <w:rFonts w:ascii="Garamond" w:hAnsi="Garamond"/>
                <w:b/>
                <w:sz w:val="18"/>
              </w:rPr>
              <w:t>Provider</w:t>
            </w:r>
          </w:p>
        </w:tc>
        <w:tc>
          <w:tcPr>
            <w:tcW w:type="dxa" w:w="2340"/>
            <w:tcBorders>
              <w:bottom w:val="single" w:sz="4" w:color="000000"/>
            </w:tcBorders>
          </w:tcPr>
          <w:p>
            <w:pPr>
              <w:spacing w:line="240" w:lineRule="auto"/>
            </w:pPr>
            <w:r>
              <w:rPr>
                <w:b/>
              </w:rPr>
            </w:r>
            <w:r>
              <w:rPr>
                <w:rFonts w:ascii="Garamond" w:hAnsi="Garamond"/>
                <w:b/>
                <w:sz w:val="18"/>
              </w:rPr>
              <w:t>What it supplies</w:t>
            </w:r>
          </w:p>
        </w:tc>
        <w:tc>
          <w:tcPr>
            <w:tcW w:type="dxa" w:w="2340"/>
            <w:tcBorders>
              <w:bottom w:val="single" w:sz="4" w:color="000000"/>
            </w:tcBorders>
          </w:tcPr>
          <w:p>
            <w:pPr>
              <w:spacing w:line="240" w:lineRule="auto"/>
            </w:pPr>
            <w:r>
              <w:rPr>
                <w:b/>
              </w:rPr>
            </w:r>
            <w:r>
              <w:rPr>
                <w:rFonts w:ascii="Garamond" w:hAnsi="Garamond"/>
                <w:b/>
                <w:sz w:val="18"/>
              </w:rPr>
              <w:t>Endpoint</w:t>
            </w:r>
          </w:p>
        </w:tc>
      </w:tr>
      <w:tr>
        <w:tc>
          <w:tcPr>
            <w:tcW w:type="dxa" w:w="2340"/>
          </w:tcPr>
          <w:p>
            <w:pPr>
              <w:spacing w:line="240" w:lineRule="auto"/>
            </w:pPr>
            <w:r/>
            <w:r>
              <w:rPr>
                <w:rFonts w:ascii="Garamond" w:hAnsi="Garamond"/>
                <w:sz w:val="18"/>
              </w:rPr>
              <w:t>Landlord registrations</w:t>
            </w:r>
          </w:p>
        </w:tc>
        <w:tc>
          <w:tcPr>
            <w:tcW w:type="dxa" w:w="2340"/>
          </w:tcPr>
          <w:p>
            <w:pPr>
              <w:spacing w:line="240" w:lineRule="auto"/>
            </w:pPr>
            <w:r/>
            <w:r>
              <w:rPr>
                <w:rFonts w:ascii="Garamond" w:hAnsi="Garamond"/>
                <w:sz w:val="18"/>
              </w:rPr>
              <w:t>Metro Codes &amp; Building Safety, ePermits</w:t>
            </w:r>
          </w:p>
        </w:tc>
        <w:tc>
          <w:tcPr>
            <w:tcW w:type="dxa" w:w="2340"/>
          </w:tcPr>
          <w:p>
            <w:pPr>
              <w:spacing w:line="240" w:lineRule="auto"/>
            </w:pPr>
            <w:r/>
            <w:r>
              <w:rPr>
                <w:rFonts w:ascii="Garamond" w:hAnsi="Garamond"/>
                <w:sz w:val="18"/>
              </w:rPr>
              <w:t>Owner-to-address registration filings, case type 176 (PSLANDLORD)</w:t>
            </w:r>
          </w:p>
        </w:tc>
        <w:tc>
          <w:tcPr>
            <w:tcW w:type="dxa" w:w="2340"/>
          </w:tcPr>
          <w:p>
            <w:pPr>
              <w:spacing w:line="240" w:lineRule="auto"/>
            </w:pPr>
            <w:r/>
            <w:r>
              <w:rPr>
                <w:rFonts w:ascii="Garamond" w:hAnsi="Garamond"/>
                <w:sz w:val="18"/>
              </w:rPr>
              <w:t>https://epermits.nashville.gov/api/permit/1.0/Case?$filter=caseTypeID%20eq%20176</w:t>
            </w:r>
          </w:p>
        </w:tc>
      </w:tr>
      <w:tr>
        <w:tc>
          <w:tcPr>
            <w:tcW w:type="dxa" w:w="2340"/>
          </w:tcPr>
          <w:p>
            <w:pPr>
              <w:spacing w:line="240" w:lineRule="auto"/>
            </w:pPr>
            <w:r/>
            <w:r>
              <w:rPr>
                <w:rFonts w:ascii="Garamond" w:hAnsi="Garamond"/>
                <w:sz w:val="18"/>
              </w:rPr>
              <w:t>Property-standards enforcement</w:t>
            </w:r>
          </w:p>
        </w:tc>
        <w:tc>
          <w:tcPr>
            <w:tcW w:type="dxa" w:w="2340"/>
          </w:tcPr>
          <w:p>
            <w:pPr>
              <w:spacing w:line="240" w:lineRule="auto"/>
            </w:pPr>
            <w:r/>
            <w:r>
              <w:rPr>
                <w:rFonts w:ascii="Garamond" w:hAnsi="Garamond"/>
                <w:sz w:val="18"/>
              </w:rPr>
              <w:t>Metro Codes, ePermits</w:t>
            </w:r>
          </w:p>
        </w:tc>
        <w:tc>
          <w:tcPr>
            <w:tcW w:type="dxa" w:w="2340"/>
          </w:tcPr>
          <w:p>
            <w:pPr>
              <w:spacing w:line="240" w:lineRule="auto"/>
            </w:pPr>
            <w:r/>
            <w:r>
              <w:rPr>
                <w:rFonts w:ascii="Garamond" w:hAnsi="Garamond"/>
                <w:sz w:val="18"/>
              </w:rPr>
              <w:t>Requests for service (caseTypeID 218, PSRFS), citations (caseSubTypeID 937, CALLR), liens (PSLIEN)</w:t>
            </w:r>
          </w:p>
        </w:tc>
        <w:tc>
          <w:tcPr>
            <w:tcW w:type="dxa" w:w="2340"/>
          </w:tcPr>
          <w:p>
            <w:pPr>
              <w:spacing w:line="240" w:lineRule="auto"/>
            </w:pPr>
            <w:r/>
            <w:r>
              <w:rPr>
                <w:rFonts w:ascii="Garamond" w:hAnsi="Garamond"/>
                <w:sz w:val="18"/>
              </w:rPr>
              <w:t>https://epermits.nashville.gov/api/permit/1.0/Case?$filter=caseSubTypeID%20eq%20937</w:t>
            </w:r>
          </w:p>
        </w:tc>
      </w:tr>
      <w:tr>
        <w:tc>
          <w:tcPr>
            <w:tcW w:type="dxa" w:w="2340"/>
          </w:tcPr>
          <w:p>
            <w:pPr>
              <w:spacing w:line="240" w:lineRule="auto"/>
            </w:pPr>
            <w:r/>
            <w:r>
              <w:rPr>
                <w:rFonts w:ascii="Garamond" w:hAnsi="Garamond"/>
                <w:sz w:val="18"/>
              </w:rPr>
              <w:t>Rehabilitation permits</w:t>
            </w:r>
          </w:p>
        </w:tc>
        <w:tc>
          <w:tcPr>
            <w:tcW w:type="dxa" w:w="2340"/>
          </w:tcPr>
          <w:p>
            <w:pPr>
              <w:spacing w:line="240" w:lineRule="auto"/>
            </w:pPr>
            <w:r/>
            <w:r>
              <w:rPr>
                <w:rFonts w:ascii="Garamond" w:hAnsi="Garamond"/>
                <w:sz w:val="18"/>
              </w:rPr>
              <w:t>Metro Codes, ePermits</w:t>
            </w:r>
          </w:p>
        </w:tc>
        <w:tc>
          <w:tcPr>
            <w:tcW w:type="dxa" w:w="2340"/>
          </w:tcPr>
          <w:p>
            <w:pPr>
              <w:spacing w:line="240" w:lineRule="auto"/>
            </w:pPr>
            <w:r/>
            <w:r>
              <w:rPr>
                <w:rFonts w:ascii="Garamond" w:hAnsi="Garamond"/>
                <w:sz w:val="18"/>
              </w:rPr>
              <w:t>Residential rehab cases, caseTypeID 170</w:t>
            </w:r>
          </w:p>
        </w:tc>
        <w:tc>
          <w:tcPr>
            <w:tcW w:type="dxa" w:w="2340"/>
          </w:tcPr>
          <w:p>
            <w:pPr>
              <w:spacing w:line="240" w:lineRule="auto"/>
            </w:pPr>
            <w:r/>
            <w:r>
              <w:rPr>
                <w:rFonts w:ascii="Garamond" w:hAnsi="Garamond"/>
                <w:sz w:val="18"/>
              </w:rPr>
              <w:t>https://epermits.nashville.gov/api/permit/1.0/Case?$filter=caseTypeID%20eq%20170</w:t>
            </w:r>
          </w:p>
        </w:tc>
      </w:tr>
      <w:tr>
        <w:tc>
          <w:tcPr>
            <w:tcW w:type="dxa" w:w="2340"/>
          </w:tcPr>
          <w:p>
            <w:pPr>
              <w:spacing w:line="240" w:lineRule="auto"/>
            </w:pPr>
            <w:r/>
            <w:r>
              <w:rPr>
                <w:rFonts w:ascii="Garamond" w:hAnsi="Garamond"/>
                <w:sz w:val="18"/>
              </w:rPr>
              <w:t>Ownership and deed history</w:t>
            </w:r>
          </w:p>
        </w:tc>
        <w:tc>
          <w:tcPr>
            <w:tcW w:type="dxa" w:w="2340"/>
          </w:tcPr>
          <w:p>
            <w:pPr>
              <w:spacing w:line="240" w:lineRule="auto"/>
            </w:pPr>
            <w:r/>
            <w:r>
              <w:rPr>
                <w:rFonts w:ascii="Garamond" w:hAnsi="Garamond"/>
                <w:sz w:val="18"/>
              </w:rPr>
              <w:t>Metro ParcelHistory MapServer</w:t>
            </w:r>
          </w:p>
        </w:tc>
        <w:tc>
          <w:tcPr>
            <w:tcW w:type="dxa" w:w="2340"/>
          </w:tcPr>
          <w:p>
            <w:pPr>
              <w:spacing w:line="240" w:lineRule="auto"/>
            </w:pPr>
            <w:r/>
            <w:r>
              <w:rPr>
                <w:rFonts w:ascii="Garamond" w:hAnsi="Garamond"/>
                <w:sz w:val="18"/>
              </w:rPr>
              <w:t>1,641,434 recorded deed events (Layer 2); current owner and mailing address (Layer 4)</w:t>
            </w:r>
          </w:p>
        </w:tc>
        <w:tc>
          <w:tcPr>
            <w:tcW w:type="dxa" w:w="2340"/>
          </w:tcPr>
          <w:p>
            <w:pPr>
              <w:spacing w:line="240" w:lineRule="auto"/>
            </w:pPr>
            <w:r/>
            <w:r>
              <w:rPr>
                <w:rFonts w:ascii="Garamond" w:hAnsi="Garamond"/>
                <w:sz w:val="18"/>
              </w:rPr>
              <w:t>https://maps.nashville.gov/arcgis2/rest/services/Parcels/ParcelHistory/MapServer/2</w:t>
            </w:r>
          </w:p>
        </w:tc>
      </w:tr>
      <w:tr>
        <w:tc>
          <w:tcPr>
            <w:tcW w:type="dxa" w:w="2340"/>
          </w:tcPr>
          <w:p>
            <w:pPr>
              <w:spacing w:line="240" w:lineRule="auto"/>
            </w:pPr>
            <w:r/>
            <w:r>
              <w:rPr>
                <w:rFonts w:ascii="Garamond" w:hAnsi="Garamond"/>
                <w:sz w:val="18"/>
              </w:rPr>
              <w:t>Eviction filings</w:t>
            </w:r>
          </w:p>
        </w:tc>
        <w:tc>
          <w:tcPr>
            <w:tcW w:type="dxa" w:w="2340"/>
          </w:tcPr>
          <w:p>
            <w:pPr>
              <w:spacing w:line="240" w:lineRule="auto"/>
            </w:pPr>
            <w:r/>
            <w:r>
              <w:rPr>
                <w:rFonts w:ascii="Garamond" w:hAnsi="Garamond"/>
                <w:sz w:val="18"/>
              </w:rPr>
              <w:t>Davidson County General Sessions and Circuit Court, CaseLink</w:t>
            </w:r>
          </w:p>
        </w:tc>
        <w:tc>
          <w:tcPr>
            <w:tcW w:type="dxa" w:w="2340"/>
          </w:tcPr>
          <w:p>
            <w:pPr>
              <w:spacing w:line="240" w:lineRule="auto"/>
            </w:pPr>
            <w:r/>
            <w:r>
              <w:rPr>
                <w:rFonts w:ascii="Garamond" w:hAnsi="Garamond"/>
                <w:sz w:val="18"/>
              </w:rPr>
              <w:t>Detainer warrants by plaintiff, defendant, and address</w:t>
            </w:r>
          </w:p>
        </w:tc>
        <w:tc>
          <w:tcPr>
            <w:tcW w:type="dxa" w:w="2340"/>
          </w:tcPr>
          <w:p>
            <w:pPr>
              <w:spacing w:line="240" w:lineRule="auto"/>
            </w:pPr>
            <w:r/>
            <w:r>
              <w:rPr>
                <w:rFonts w:ascii="Garamond" w:hAnsi="Garamond"/>
                <w:sz w:val="18"/>
              </w:rPr>
              <w:t>https://caselink.nashville.gov/public/ (party-name searches; no bookmarkable result URLs)</w:t>
            </w:r>
          </w:p>
        </w:tc>
      </w:tr>
      <w:tr>
        <w:tc>
          <w:tcPr>
            <w:tcW w:type="dxa" w:w="2340"/>
          </w:tcPr>
          <w:p>
            <w:pPr>
              <w:spacing w:line="240" w:lineRule="auto"/>
            </w:pPr>
            <w:r/>
            <w:r>
              <w:rPr>
                <w:rFonts w:ascii="Garamond" w:hAnsi="Garamond"/>
                <w:sz w:val="18"/>
              </w:rPr>
              <w:t>Demographics and rent burden</w:t>
            </w:r>
          </w:p>
        </w:tc>
        <w:tc>
          <w:tcPr>
            <w:tcW w:type="dxa" w:w="2340"/>
          </w:tcPr>
          <w:p>
            <w:pPr>
              <w:spacing w:line="240" w:lineRule="auto"/>
            </w:pPr>
            <w:r/>
            <w:r>
              <w:rPr>
                <w:rFonts w:ascii="Garamond" w:hAnsi="Garamond"/>
                <w:sz w:val="18"/>
              </w:rPr>
              <w:t>U.S. Census Bureau, ACS 5-Year</w:t>
            </w:r>
          </w:p>
        </w:tc>
        <w:tc>
          <w:tcPr>
            <w:tcW w:type="dxa" w:w="2340"/>
          </w:tcPr>
          <w:p>
            <w:pPr>
              <w:spacing w:line="240" w:lineRule="auto"/>
            </w:pPr>
            <w:r/>
            <w:r>
              <w:rPr>
                <w:rFonts w:ascii="Garamond" w:hAnsi="Garamond"/>
                <w:sz w:val="18"/>
              </w:rPr>
              <w:t>Tenure, rent burden, units in structure</w:t>
            </w:r>
          </w:p>
        </w:tc>
        <w:tc>
          <w:tcPr>
            <w:tcW w:type="dxa" w:w="2340"/>
          </w:tcPr>
          <w:p>
            <w:pPr>
              <w:spacing w:line="240" w:lineRule="auto"/>
            </w:pPr>
            <w:r/>
            <w:r>
              <w:rPr>
                <w:rFonts w:ascii="Garamond" w:hAnsi="Garamond"/>
                <w:sz w:val="18"/>
              </w:rPr>
              <w:t>https://api.census.gov/data/2021/acs/acs5 (2021, LSC vintage) and 2020-2024 (current)</w:t>
            </w:r>
          </w:p>
        </w:tc>
      </w:tr>
    </w:tbl>
    <w:p>
      <w:pPr>
        <w:spacing w:after="0"/>
      </w:pPr>
    </w:p>
    <w:p>
      <w:pPr>
        <w:spacing w:line="480" w:lineRule="auto" w:before="0" w:after="0"/>
        <w:ind w:firstLine="720"/>
      </w:pPr>
      <w:r>
        <w:rPr>
          <w:rFonts w:ascii="Garamond" w:hAnsi="Garamond"/>
        </w:rPr>
        <w:t>Three supplementary sources calibrate specific findings: the Eviction Lab weekly and monthly tracking series (evictionlab.org), the Legal Services Corporation Civil Court Data Initiative (civilcourtdata.lsc.gov), and listing-level rental data (Dewey RentHub and Dwellsy) for the rent-premium comparison. The Register of Deeds image portal (davidsonportal.com) supplies the recorded instruments cited in the enforcement narrative.</w:t>
      </w:r>
    </w:p>
    <w:p>
      <w:pPr>
        <w:pStyle w:val="Heading2"/>
      </w:pPr>
      <w:r>
        <w:t>D.2 The Ownership Universe</w:t>
      </w:r>
    </w:p>
    <w:p>
      <w:pPr>
        <w:spacing w:line="480" w:lineRule="auto" w:before="0" w:after="0"/>
        <w:ind w:firstLine="720"/>
      </w:pPr>
      <w:r>
        <w:rPr>
          <w:rFonts w:ascii="Garamond" w:hAnsi="Garamond"/>
        </w:rPr>
        <w:t>The Article studies one- and two-unit residential homes, the stock a household or an institutional investor would compete for. Beginning from the full county cadastral of 286,721 parcels, the framework filter retains structures of two or fewer dwelling units under Section 1001(a)(5) of the 21st Century ROAD to Housing Act and removes three-or-more-unit buildings, vacant land, commercial and farm parcels, multistory-condo shell records, homeowner-association common area, open space, and manufactured homes. The filter yields 205,933 framework parcels. Owner-occupancy is proxied by matching the owner mailing ZIP to the property ZIP; the non-matching parcels are the non-owner-occupied universe. The analysis carries two nested owner counts from this funnel. At the framework level, companies hold 16,615 of the 205,933 homes (the live county query; the July 2026 parquet of the same filter carries 206,067 rows and 16,567 entity-owned). The entity-owned non-owner-occupied set is 14,193 parcels, the denominator the block-group and tract findings use. The named-operator set is 3,940 parcels, the national single-family rental operators resolved through the series crosswalk; the broader operator-attributed set, which adds builders, build-to-rent platforms, and land bankers, is 4,626.</w:t>
      </w:r>
    </w:p>
    <w:p>
      <w:pPr>
        <w:pStyle w:val="Heading2"/>
      </w:pPr>
      <w:r>
        <w:t>D.3 Identifying Institutional Owners and Resolving Shells</w:t>
      </w:r>
    </w:p>
    <w:p>
      <w:pPr>
        <w:spacing w:line="480" w:lineRule="auto" w:before="0" w:after="0"/>
        <w:ind w:firstLine="720"/>
      </w:pPr>
      <w:r>
        <w:rPr>
          <w:rFonts w:ascii="Garamond" w:hAnsi="Garamond"/>
        </w:rPr>
        <w:t>Institutional ownership is dispersed across securitization borrower entities, so a count by literal owner name understates every operator. Resolution proceeds by curated crosswalk and rule, not automated name-similarity or community detection, and each attribution is validated case by case. The chain runs: normalize the owner name (upper-case, strip punctuation, standardize legal-form tokens so "L.L.C.," "L L C," and "LLC" collapse); flag entities carrying business tokens (LLC, LP, INC, CORP, and the like); resolve shell to parent in confidence order (documented shell-name families, the SEC subsidiary crosswalk, the curated owner-to-operator table, and operator name-pattern rules such as Invitation Homes borrower series matched with the operator's corporate address); cluster remaining registrations by owner mailing address and ZIP, the highest-yield linkage step; and verify entities against the Tennessee Secretary of State registry. Two guardrails prevent over-merging: a shared tax-agent mailbox alone does not establish common ownership, and securitization names are attributed to the sponsor rather than the servicer, so the STAR shelf resolves to Starwood Capital and RESICAP is kept distinct from the operators it services. Ownership then rolls up to the ultimate parent, the level Section 1001's investment-control rule reaches. Tricon Residential and Home Partners of America both resolve to Blackstone, which acquired Tricon in 2024 and holds roughly 300 Davidson parcels across the two, so Tricon returns zero as a standalone parent by design. Invitation Homes stands as a separate parent, not folded into Blackstone, because Blackstone took Invitation public and exited its position at the end of 2019. This procedure adapts the deductive-and-inductive shell-resolution strategy of Shelton and Seymour (2024) and the officer-network approach of Hangen and O'Brien (2024) without replicating their automated clustering.</w:t>
      </w:r>
    </w:p>
    <w:p>
      <w:pPr>
        <w:pStyle w:val="Heading2"/>
      </w:pPr>
      <w:r>
        <w:t>D.4 Registration Compliance</w:t>
      </w:r>
    </w:p>
    <w:p>
      <w:pPr>
        <w:spacing w:line="480" w:lineRule="auto" w:before="0" w:after="0"/>
        <w:ind w:firstLine="720"/>
      </w:pPr>
      <w:r>
        <w:rPr>
          <w:rFonts w:ascii="Garamond" w:hAnsi="Garamond"/>
        </w:rPr>
        <w:t xml:space="preserve">Tennessee Code Annotated Section 66-28-107(a)(1)(B) requires a landlord to register each rental unit by its street address. The Article measures compliance two ways, and the gap between them is the central finding. The </w:t>
      </w:r>
      <w:r>
        <w:rPr>
          <w:rFonts w:ascii="Garamond" w:hAnsi="Garamond"/>
          <w:b/>
        </w:rPr>
        <w:t>per-address measure</w:t>
      </w:r>
      <w:r>
        <w:rPr>
          <w:rFonts w:ascii="Garamond" w:hAnsi="Garamond"/>
        </w:rPr>
        <w:t xml:space="preserve">, reported in Appendix Table A1 and treated as canonical because it tracks what the statute commands, counts a parcel compliant only when a registration lists that specific street address filed after the operator acquired the parcel. The </w:t>
      </w:r>
      <w:r>
        <w:rPr>
          <w:rFonts w:ascii="Garamond" w:hAnsi="Garamond"/>
          <w:b/>
        </w:rPr>
        <w:t>active-registration measure</w:t>
      </w:r>
      <w:r>
        <w:rPr>
          <w:rFonts w:ascii="Garamond" w:hAnsi="Garamond"/>
        </w:rPr>
        <w:t>, a looser test used in the owner-type, portfolio-size, and mailing-state cuts, counts a parcel compliant when it carries any active registration. The two measures diverge sharply for the same operator, which is why every active-registration figure in the body is labeled as such. Lapse rather than refusal drives non-compliance: among institutional registration cases, a plurality sit in expired status, indicating owners who register once and continue operating the parcel as a rental without renewal. Compliance figures join the ePermits registration roll to the institutional ownership file on parcel address.</w:t>
      </w:r>
    </w:p>
    <w:p>
      <w:pPr>
        <w:pStyle w:val="Heading2"/>
      </w:pPr>
      <w:r>
        <w:t>D.5 Eviction Measurement</w:t>
      </w:r>
    </w:p>
    <w:p>
      <w:pPr>
        <w:spacing w:line="480" w:lineRule="auto" w:before="0" w:after="0"/>
        <w:ind w:firstLine="720"/>
      </w:pPr>
      <w:r>
        <w:rPr>
          <w:rFonts w:ascii="Garamond" w:hAnsi="Garamond"/>
        </w:rPr>
        <w:t xml:space="preserve">Eviction filings come from CaseLink detainer warrants, aggregated from borrower shells up to the parent operator, the step a plaintiff-name search cannot perform because a single operator files under many numbered borrower entities. The Article reports three distinct constructions, each with its own denominator, and does not mix them. The </w:t>
      </w:r>
      <w:r>
        <w:rPr>
          <w:rFonts w:ascii="Garamond" w:hAnsi="Garamond"/>
          <w:b/>
        </w:rPr>
        <w:t>operator rate</w:t>
      </w:r>
      <w:r>
        <w:rPr>
          <w:rFonts w:ascii="Garamond" w:hAnsi="Garamond"/>
        </w:rPr>
        <w:t xml:space="preserve"> divides an operator's filings by the homes it holds, an illustrative ratio rather than an annual rate because filing windows differ across operators. The </w:t>
      </w:r>
      <w:r>
        <w:rPr>
          <w:rFonts w:ascii="Garamond" w:hAnsi="Garamond"/>
          <w:b/>
        </w:rPr>
        <w:t>county share</w:t>
      </w:r>
      <w:r>
        <w:rPr>
          <w:rFonts w:ascii="Garamond" w:hAnsi="Garamond"/>
        </w:rPr>
        <w:t xml:space="preserve"> divides institutional filings by all county detainer filings. The </w:t>
      </w:r>
      <w:r>
        <w:rPr>
          <w:rFonts w:ascii="Garamond" w:hAnsi="Garamond"/>
          <w:b/>
        </w:rPr>
        <w:t>tract filing rate</w:t>
      </w:r>
      <w:r>
        <w:rPr>
          <w:rFonts w:ascii="Garamond" w:hAnsi="Garamond"/>
        </w:rPr>
        <w:t xml:space="preserve"> divides filings by renter households in the tract; the single-family-specific version of this rate uses ACS table B25032 (tenure by units in structure) to isolate single-family renter-occupied households rather than all renters, and ACS table B25008 supplies the renter-population denominator that the Legal Services Corporation uses for its published rate. Across census tracts, the count of institutional parcels is positively associated with total filings and essentially unassociated with the filing rate per renter household, so institutional concentration explains where eviction volume falls, not whether a given household is more likely to be filed against. The operator-level count keeps one method: a filing counts when the operator or one of its shells is the plaintiff on a detainer warrant; filings in which an operator appears as defendant, civil warrants, and the multifamily affiliates of single-family operators are excluded.</w:t>
      </w:r>
    </w:p>
    <w:p>
      <w:pPr>
        <w:pStyle w:val="Heading2"/>
      </w:pPr>
      <w:r>
        <w:t>D.6 Rent Comparison</w:t>
      </w:r>
    </w:p>
    <w:p>
      <w:pPr>
        <w:spacing w:line="480" w:lineRule="auto" w:before="0" w:after="0"/>
        <w:ind w:firstLine="720"/>
      </w:pPr>
      <w:r>
        <w:rPr>
          <w:rFonts w:ascii="Garamond" w:hAnsi="Garamond"/>
        </w:rPr>
        <w:t>Institutional rents are read from two disclosures, the operators' Securities and Exchange Commission filings (portfolio-level rent and occupancy) and their own listing platforms (advertised asking rents), and compared against a market series built from listing-level rental data. The premium is measured within census tract, comparing institutional and non-institutional listings in the same tract-year, to hold neighborhood constant. One caveat governs the figure: the listing series mixes single-family and multifamily institutional operators, so the premium is directional until a single-family-only split is run.</w:t>
      </w:r>
    </w:p>
    <w:p>
      <w:pPr>
        <w:pStyle w:val="Heading2"/>
      </w:pPr>
      <w:r>
        <w:t>D.7 Renter Vulnerability</w:t>
      </w:r>
    </w:p>
    <w:p>
      <w:pPr>
        <w:spacing w:line="480" w:lineRule="auto" w:before="0" w:after="0"/>
        <w:ind w:firstLine="720"/>
      </w:pPr>
      <w:r>
        <w:rPr>
          <w:rFonts w:ascii="Garamond" w:hAnsi="Garamond"/>
        </w:rPr>
        <w:t>The vulnerability geography uses the degree-of-vulnerability index the Greater Nashville Regional Council developed and Metro adopted for its Vision Zero dashboard. The index scores each of Davidson County's 487 census block groups against the county average on six American Community Survey indicators: renter share, renter cost burden, poverty, unemployment, carless households, and limited English proficiency. Block groups scoring high or very high are the vulnerable set. This index is the Article's own analytical instrument and is distinct from the tract-scale Rent Burden Index of Sharma and Samarin (2024), which the Article cites as methodological precedent rather than applies. Parcels are joined to block groups by point-in-polygon assignment; 27.6 percent of the named operators' homes and 34.1 percent of entity-owned non-owner-occupied homes fall in the 147 high or very-high block groups, against 21.2 percent of all framework homes.</w:t>
      </w:r>
    </w:p>
    <w:p>
      <w:pPr>
        <w:pStyle w:val="Heading2"/>
      </w:pPr>
      <w:r>
        <w:t>D.8 The Renovate-to-Rent Test</w:t>
      </w:r>
    </w:p>
    <w:p>
      <w:pPr>
        <w:spacing w:line="480" w:lineRule="auto" w:before="0" w:after="0"/>
        <w:ind w:firstLine="720"/>
      </w:pPr>
      <w:r>
        <w:rPr>
          <w:rFonts w:ascii="Garamond" w:hAnsi="Garamond"/>
        </w:rPr>
        <w:t>The renovate-to-rent exception requires both substantial rehabilitation of a home that fails local building-code elements and improvements worth at least 15 percent of the purchase price. The Article tests institutional parcels against both prongs using residential rehabilitation permits (caseTypeID 170), the recorded construction value, and the assessor acquisition price. A rehabilitation counts as post-acquisition only when the permit issued at or after the operator acquired the parcel. The spending ratio is computed only for post-acquisition rehabilitations that record both a non-zero construction value and a non-zero acquisition price, because quitclaim and intra-entity transfers record a zero or null price. The code-deficiency prong is proxied by explicit code-deficiency language in the permit record and by the dedicated code-repair permit, both of which the record documents rarely.</w:t>
      </w:r>
    </w:p>
    <w:p>
      <w:pPr>
        <w:pStyle w:val="Heading2"/>
      </w:pPr>
      <w:r>
        <w:t>D.9 Definitions and Thresholds</w:t>
      </w:r>
    </w:p>
    <w:p>
      <w:pPr>
        <w:spacing w:line="480" w:lineRule="auto" w:before="0" w:after="0"/>
        <w:ind w:firstLine="720"/>
      </w:pPr>
      <w:r>
        <w:rPr>
          <w:rFonts w:ascii="Garamond" w:hAnsi="Garamond"/>
          <w:b/>
        </w:rPr>
        <w:t>Single-family home.</w:t>
      </w:r>
      <w:r>
        <w:rPr>
          <w:rFonts w:ascii="Garamond" w:hAnsi="Garamond"/>
        </w:rPr>
        <w:t xml:space="preserve"> A structure of two or fewer dwelling units, matching Section 1001(a)(5) of the ROAD Act and the Tennessee assessment classification, and broader than the Census Bureau's detached-only usage. This choice captures the attached townhomes, duplexes, and zero-lot-line units that smaller institutional operators frequently hold.</w:t>
      </w:r>
    </w:p>
    <w:p>
      <w:pPr>
        <w:spacing w:line="480" w:lineRule="auto" w:before="0" w:after="0"/>
        <w:ind w:firstLine="720"/>
      </w:pPr>
      <w:r>
        <w:rPr>
          <w:rFonts w:ascii="Garamond" w:hAnsi="Garamond"/>
          <w:b/>
        </w:rPr>
        <w:t>Institutional investor.</w:t>
      </w:r>
      <w:r>
        <w:rPr>
          <w:rFonts w:ascii="Garamond" w:hAnsi="Garamond"/>
        </w:rPr>
        <w:t xml:space="preserve"> The Article reports counts sensitive to the threshold and states its own in the body, because the literature sets no consensus line. The catalog runs from 2,000 or more homes (Freddie Mac), to 1,000 or more across at least three metropolitan areas (Urban Institute), to the ROAD Act's 350, to any corporate entity. The same county yields 3,940 institutional parcels under a named-operator test and 16,615 under an entity-owned test, which is why the definitional choice is reported as part of the analysis rather than assumed.</w:t>
      </w:r>
    </w:p>
    <w:p>
      <w:pPr>
        <w:pStyle w:val="Heading2"/>
      </w:pPr>
      <w:r>
        <w:t>D.10 Methodological Lineage</w:t>
      </w:r>
    </w:p>
    <w:p>
      <w:pPr>
        <w:spacing w:line="480" w:lineRule="auto" w:before="0" w:after="0"/>
        <w:ind w:firstLine="720"/>
      </w:pPr>
      <w:r>
        <w:rPr>
          <w:rFonts w:ascii="Garamond" w:hAnsi="Garamond"/>
        </w:rPr>
        <w:t>The Article's design draws on a specific body of method scholarship, credited here by what each contributed to the approach.</w:t>
      </w:r>
    </w:p>
    <w:p>
      <w:pPr>
        <w:spacing w:line="480" w:lineRule="auto" w:before="0" w:after="0"/>
        <w:ind w:firstLine="720"/>
      </w:pPr>
      <w:r>
        <w:rPr>
          <w:rFonts w:ascii="Garamond" w:hAnsi="Garamond"/>
        </w:rPr>
        <w:t>Parcel-level identification of corporate owners follows the Federal Reserve Bank of Philadelphia's ownership profiling (Ding, Zhang, and Diep 2025) and the Memphis single-family analysis of Harrison, Immergluck, and Walker, which resolves the definitional problem with a Securities and Exchange Commission filer override and asks four condition-and-location questions this Article adapts to Davidson County. The technique for unmasking the owners behind shell entities follows Torres (2024) and adapts the deductive-and-inductive resolution strategy of Shelton and Seymour (2024) and the officer-network approach of Hangen and O'Brien (2024) without replicating their automated clustering.</w:t>
      </w:r>
    </w:p>
    <w:p>
      <w:pPr>
        <w:spacing w:line="480" w:lineRule="auto" w:before="0" w:after="0"/>
        <w:ind w:firstLine="720"/>
      </w:pPr>
      <w:r>
        <w:rPr>
          <w:rFonts w:ascii="Garamond" w:hAnsi="Garamond"/>
        </w:rPr>
        <w:t>The acquisition-source and asset-class framing follows Mills, Molloy, and Zarutskie's study of the eight largest buy-to-rent operators and Eisfeldt and Demers's returns analysis. The rent and neighborhood-change measures follow Lee and Wylie and the structural supply-and-demand model of Coven. The rent-burden framing follows the Tennessee trilogy of Sharma and Samarin. The eviction-by-owner method follows Raymond and colleagues' Atlanta analysis and Gomory's Boston study, both of which this Article extends by aggregating borrower shells to the parent operator, a step their plaintiff-name approach cannot perform. The definitional and market framing draws on Ellen and Goodman's Hamilton Project review, the Joint Center for Housing Studies' annual report, Reid's Terner Center tenant-perspective study, and the Federal Housing Finance Agency's 2018 enterprise-activity determination. The parcel-level buildable-land method of Katz and Willen informs the companion Part on land banking.</w:t>
      </w:r>
    </w:p>
    <w:p>
      <w:pPr>
        <w:spacing w:line="480" w:lineRule="auto" w:before="0" w:after="0"/>
        <w:ind w:firstLine="720"/>
      </w:pPr>
      <w:r>
        <w:rPr>
          <w:rFonts w:ascii="Garamond" w:hAnsi="Garamond"/>
        </w:rPr>
        <w:t>Sources for this section:</w:t>
      </w:r>
    </w:p>
    <w:p>
      <w:pPr>
        <w:spacing w:line="480" w:lineRule="auto" w:before="0" w:after="0"/>
        <w:ind w:firstLine="720"/>
      </w:pPr>
      <w:r>
        <w:rPr>
          <w:rFonts w:ascii="Garamond" w:hAnsi="Garamond"/>
        </w:rPr>
        <w:t xml:space="preserve">- Lei Ding, Sisi Zhang &amp; Mckenzie Diep, </w:t>
      </w:r>
      <w:r>
        <w:rPr>
          <w:rFonts w:ascii="Garamond" w:hAnsi="Garamond"/>
          <w:i/>
        </w:rPr>
        <w:t>Ownership Profile of Single-Family Residence Properties in Philadelphia: A Focus on Large Corporate Investors</w:t>
      </w:r>
      <w:r>
        <w:rPr>
          <w:rFonts w:ascii="Garamond" w:hAnsi="Garamond"/>
        </w:rPr>
        <w:t xml:space="preserve"> (Fed. Rsrv. Bank of Phila., Cmty. Dev. &amp; Reg'l Outreach, Feb. 2025).</w:t>
      </w:r>
    </w:p>
    <w:p>
      <w:pPr>
        <w:spacing w:line="480" w:lineRule="auto" w:before="0" w:after="0"/>
        <w:ind w:firstLine="720"/>
      </w:pPr>
      <w:r>
        <w:rPr>
          <w:rFonts w:ascii="Garamond" w:hAnsi="Garamond"/>
        </w:rPr>
        <w:t xml:space="preserve">- Austin Harrison, Dan Immergluck &amp; Jeff Walker, </w:t>
      </w:r>
      <w:r>
        <w:rPr>
          <w:rFonts w:ascii="Garamond" w:hAnsi="Garamond"/>
          <w:i/>
        </w:rPr>
        <w:t>Single-Family Rental (SFR) Investor Types, Property Conditions, and Implications for Urban Neighbourhoods: Evidence from Memphis, Tennessee</w:t>
      </w:r>
      <w:r>
        <w:rPr>
          <w:rFonts w:ascii="Garamond" w:hAnsi="Garamond"/>
        </w:rPr>
        <w:t>, 40 Hous. Stud. 466 (2025), https://doi.org/10.1080/02673037.2024.2307589.</w:t>
      </w:r>
    </w:p>
    <w:p>
      <w:pPr>
        <w:spacing w:line="480" w:lineRule="auto" w:before="0" w:after="0"/>
        <w:ind w:firstLine="720"/>
      </w:pPr>
      <w:r>
        <w:rPr>
          <w:rFonts w:ascii="Garamond" w:hAnsi="Garamond"/>
        </w:rPr>
        <w:t xml:space="preserve">- Renz Torres, </w:t>
      </w:r>
      <w:r>
        <w:rPr>
          <w:rFonts w:ascii="Garamond" w:hAnsi="Garamond"/>
          <w:i/>
        </w:rPr>
        <w:t>Who Owns Our Homes? Methods to Group and Unmask Anonymous Corporate Owners</w:t>
      </w:r>
      <w:r>
        <w:rPr>
          <w:rFonts w:ascii="Garamond" w:hAnsi="Garamond"/>
        </w:rPr>
        <w:t>, 26 Cityscape, no. 1 (U.S. Dep't of Hous. &amp; Urban Dev., 2024), https://www.huduser.gov/portal/periodicals/cityscape/vol26num1/ch17.pdf.</w:t>
      </w:r>
    </w:p>
    <w:p>
      <w:pPr>
        <w:spacing w:line="480" w:lineRule="auto" w:before="0" w:after="0"/>
        <w:ind w:firstLine="720"/>
      </w:pPr>
      <w:r>
        <w:rPr>
          <w:rFonts w:ascii="Garamond" w:hAnsi="Garamond"/>
        </w:rPr>
        <w:t xml:space="preserve">- Taylor Shelton &amp; Eric Seymour, </w:t>
      </w:r>
      <w:r>
        <w:rPr>
          <w:rFonts w:ascii="Garamond" w:hAnsi="Garamond"/>
          <w:i/>
        </w:rPr>
        <w:t>Horizontal Holdings: Untangling the Networks of Corporate Landlords</w:t>
      </w:r>
      <w:r>
        <w:rPr>
          <w:rFonts w:ascii="Garamond" w:hAnsi="Garamond"/>
        </w:rPr>
        <w:t>, Annals of the Am. Ass'n of Geographers (2024).</w:t>
      </w:r>
    </w:p>
    <w:p>
      <w:pPr>
        <w:spacing w:line="480" w:lineRule="auto" w:before="0" w:after="0"/>
        <w:ind w:firstLine="720"/>
      </w:pPr>
      <w:r>
        <w:rPr>
          <w:rFonts w:ascii="Garamond" w:hAnsi="Garamond"/>
        </w:rPr>
        <w:t xml:space="preserve">- Forrest Hangen &amp; Daniel T. O'Brien, </w:t>
      </w:r>
      <w:r>
        <w:rPr>
          <w:rFonts w:ascii="Garamond" w:hAnsi="Garamond"/>
          <w:i/>
        </w:rPr>
        <w:t>Linking Landlords to Uncover Ownership Obscurity</w:t>
      </w:r>
      <w:r>
        <w:rPr>
          <w:rFonts w:ascii="Garamond" w:hAnsi="Garamond"/>
        </w:rPr>
        <w:t>, 40 Hous. Stud. 940 (2025) (published online Mar. 20, 2024), https://doi.org/10.1080/02673037.2024.2325508.</w:t>
      </w:r>
    </w:p>
    <w:p>
      <w:pPr>
        <w:spacing w:line="480" w:lineRule="auto" w:before="0" w:after="0"/>
        <w:ind w:firstLine="720"/>
      </w:pPr>
      <w:r>
        <w:rPr>
          <w:rFonts w:ascii="Garamond" w:hAnsi="Garamond"/>
        </w:rPr>
        <w:t xml:space="preserve">- James Mills, Raven Molloy &amp; Rebecca Zarutskie, </w:t>
      </w:r>
      <w:r>
        <w:rPr>
          <w:rFonts w:ascii="Garamond" w:hAnsi="Garamond"/>
          <w:i/>
        </w:rPr>
        <w:t>Large-Scale Buy-to-Rent Investors in the Single-Family Housing Market: The Emergence of a New Asset Class</w:t>
      </w:r>
      <w:r>
        <w:rPr>
          <w:rFonts w:ascii="Garamond" w:hAnsi="Garamond"/>
        </w:rPr>
        <w:t>, Fed. Reserve FEDS Working Paper 2015-084 (2015); 47 Real Estate Econ. 399 (2019).</w:t>
      </w:r>
    </w:p>
    <w:p>
      <w:pPr>
        <w:spacing w:line="480" w:lineRule="auto" w:before="0" w:after="0"/>
        <w:ind w:firstLine="720"/>
      </w:pPr>
      <w:r>
        <w:rPr>
          <w:rFonts w:ascii="Garamond" w:hAnsi="Garamond"/>
        </w:rPr>
        <w:t xml:space="preserve">- Andrea L. Eisfeldt &amp; Andrew Demers, </w:t>
      </w:r>
      <w:r>
        <w:rPr>
          <w:rFonts w:ascii="Garamond" w:hAnsi="Garamond"/>
          <w:i/>
        </w:rPr>
        <w:t>Total Returns to Single Family Rentals</w:t>
      </w:r>
      <w:r>
        <w:rPr>
          <w:rFonts w:ascii="Garamond" w:hAnsi="Garamond"/>
        </w:rPr>
        <w:t>, NBER Working Paper 21804 (Dec. 2015, rev. May 2021).</w:t>
      </w:r>
    </w:p>
    <w:p>
      <w:pPr>
        <w:spacing w:line="480" w:lineRule="auto" w:before="0" w:after="0"/>
        <w:ind w:firstLine="720"/>
      </w:pPr>
      <w:r>
        <w:rPr>
          <w:rFonts w:ascii="Garamond" w:hAnsi="Garamond"/>
        </w:rPr>
        <w:t xml:space="preserve">- Keyoung Lee &amp; David Wylie, </w:t>
      </w:r>
      <w:r>
        <w:rPr>
          <w:rFonts w:ascii="Garamond" w:hAnsi="Garamond"/>
          <w:i/>
        </w:rPr>
        <w:t>Institutional Investors, Rents, and Neighborhood Change in the Single Family Residential Market</w:t>
      </w:r>
      <w:r>
        <w:rPr>
          <w:rFonts w:ascii="Garamond" w:hAnsi="Garamond"/>
        </w:rPr>
        <w:t>, Fed. Rsrv. Bank of Phila. Working Paper 24-13 (July 2024).</w:t>
      </w:r>
    </w:p>
    <w:p>
      <w:pPr>
        <w:spacing w:line="480" w:lineRule="auto" w:before="0" w:after="0"/>
        <w:ind w:firstLine="720"/>
      </w:pPr>
      <w:r>
        <w:rPr>
          <w:rFonts w:ascii="Garamond" w:hAnsi="Garamond"/>
        </w:rPr>
        <w:t xml:space="preserve">- Joshua Coven, </w:t>
      </w:r>
      <w:r>
        <w:rPr>
          <w:rFonts w:ascii="Garamond" w:hAnsi="Garamond"/>
          <w:i/>
        </w:rPr>
        <w:t>The Impact of Institutional Investors on Homeownership and Neighborhood Access</w:t>
      </w:r>
      <w:r>
        <w:rPr>
          <w:rFonts w:ascii="Garamond" w:hAnsi="Garamond"/>
        </w:rPr>
        <w:t xml:space="preserve"> (SSRN Working Paper No. 4554831, 2023).</w:t>
      </w:r>
    </w:p>
    <w:p>
      <w:pPr>
        <w:spacing w:line="480" w:lineRule="auto" w:before="0" w:after="0"/>
        <w:ind w:firstLine="720"/>
      </w:pPr>
      <w:r>
        <w:rPr>
          <w:rFonts w:ascii="Garamond" w:hAnsi="Garamond"/>
        </w:rPr>
        <w:t xml:space="preserve">- Elora Lee Raymond et al., </w:t>
      </w:r>
      <w:r>
        <w:rPr>
          <w:rFonts w:ascii="Garamond" w:hAnsi="Garamond"/>
          <w:i/>
        </w:rPr>
        <w:t>From Foreclosure to Eviction: Housing Insecurity in Corporate-Owned Single-Family Rentals</w:t>
      </w:r>
      <w:r>
        <w:rPr>
          <w:rFonts w:ascii="Garamond" w:hAnsi="Garamond"/>
        </w:rPr>
        <w:t xml:space="preserve">, 20 Cityscape 159 (2018); and </w:t>
      </w:r>
      <w:r>
        <w:rPr>
          <w:rFonts w:ascii="Garamond" w:hAnsi="Garamond"/>
          <w:i/>
        </w:rPr>
        <w:t>Corporate Landlords, Institutional Investors, and Displacement: Eviction Rates in Single-Family Rentals</w:t>
      </w:r>
      <w:r>
        <w:rPr>
          <w:rFonts w:ascii="Garamond" w:hAnsi="Garamond"/>
        </w:rPr>
        <w:t>, Fed. Rsrv. Bank of Atlanta Working Paper 04-16 (2016).</w:t>
      </w:r>
    </w:p>
    <w:p>
      <w:pPr>
        <w:spacing w:line="480" w:lineRule="auto" w:before="0" w:after="0"/>
        <w:ind w:firstLine="720"/>
      </w:pPr>
      <w:r>
        <w:rPr>
          <w:rFonts w:ascii="Garamond" w:hAnsi="Garamond"/>
        </w:rPr>
        <w:t xml:space="preserve">- Henry Gomory, </w:t>
      </w:r>
      <w:r>
        <w:rPr>
          <w:rFonts w:ascii="Garamond" w:hAnsi="Garamond"/>
          <w:i/>
        </w:rPr>
        <w:t>The Social and Institutional Contexts Underlying Landlords' Eviction Practices</w:t>
      </w:r>
      <w:r>
        <w:rPr>
          <w:rFonts w:ascii="Garamond" w:hAnsi="Garamond"/>
        </w:rPr>
        <w:t>, 100 Soc. Forces 1774 (2021).</w:t>
      </w:r>
    </w:p>
    <w:p>
      <w:pPr>
        <w:spacing w:line="480" w:lineRule="auto" w:before="0" w:after="0"/>
        <w:ind w:firstLine="720"/>
      </w:pPr>
      <w:r>
        <w:rPr>
          <w:rFonts w:ascii="Garamond" w:hAnsi="Garamond"/>
        </w:rPr>
        <w:t xml:space="preserve">- Ingrid Gould Ellen &amp; Laurie Goodman, </w:t>
      </w:r>
      <w:r>
        <w:rPr>
          <w:rFonts w:ascii="Garamond" w:hAnsi="Garamond"/>
          <w:i/>
        </w:rPr>
        <w:t>Single-Family Rentals: Trends and Policy Recommendations</w:t>
      </w:r>
      <w:r>
        <w:rPr>
          <w:rFonts w:ascii="Garamond" w:hAnsi="Garamond"/>
        </w:rPr>
        <w:t xml:space="preserve"> (Hamilton Project, Brookings, Nov. 2023).</w:t>
      </w:r>
    </w:p>
    <w:p>
      <w:pPr>
        <w:spacing w:line="480" w:lineRule="auto" w:before="0" w:after="0"/>
        <w:ind w:firstLine="720"/>
      </w:pPr>
      <w:r>
        <w:rPr>
          <w:rFonts w:ascii="Garamond" w:hAnsi="Garamond"/>
        </w:rPr>
        <w:t xml:space="preserve">- Joint Ctr. for Hous. Studies of Harvard Univ., </w:t>
      </w:r>
      <w:r>
        <w:rPr>
          <w:rFonts w:ascii="Garamond" w:hAnsi="Garamond"/>
          <w:i/>
        </w:rPr>
        <w:t>The State of the Nation's Housing 2025</w:t>
      </w:r>
      <w:r>
        <w:rPr>
          <w:rFonts w:ascii="Garamond" w:hAnsi="Garamond"/>
        </w:rPr>
        <w:t xml:space="preserve"> (2025).</w:t>
      </w:r>
    </w:p>
    <w:p>
      <w:pPr>
        <w:spacing w:line="480" w:lineRule="auto" w:before="0" w:after="0"/>
        <w:ind w:firstLine="720"/>
      </w:pPr>
      <w:r>
        <w:rPr>
          <w:rFonts w:ascii="Garamond" w:hAnsi="Garamond"/>
        </w:rPr>
        <w:t xml:space="preserve">- Carolina K. Reid, Rocio Sanchez-Moyano &amp; Carol Galante, </w:t>
      </w:r>
      <w:r>
        <w:rPr>
          <w:rFonts w:ascii="Garamond" w:hAnsi="Garamond"/>
          <w:i/>
        </w:rPr>
        <w:t>The Rise of Single-Family Rentals after the Foreclosure Crisis: Understanding Tenant Perspectives</w:t>
      </w:r>
      <w:r>
        <w:rPr>
          <w:rFonts w:ascii="Garamond" w:hAnsi="Garamond"/>
        </w:rPr>
        <w:t xml:space="preserve"> (Terner Ctr. for Hous. Innovation, Apr. 2018).</w:t>
      </w:r>
    </w:p>
    <w:p>
      <w:pPr>
        <w:spacing w:line="480" w:lineRule="auto" w:before="0" w:after="0"/>
        <w:ind w:firstLine="720"/>
      </w:pPr>
      <w:r>
        <w:rPr>
          <w:rFonts w:ascii="Garamond" w:hAnsi="Garamond"/>
        </w:rPr>
        <w:t xml:space="preserve">- Fed. Hous. Fin. Agency, </w:t>
      </w:r>
      <w:r>
        <w:rPr>
          <w:rFonts w:ascii="Garamond" w:hAnsi="Garamond"/>
          <w:i/>
        </w:rPr>
        <w:t>Determination on Enterprise Activity in the Single-Family Rental Market</w:t>
      </w:r>
      <w:r>
        <w:rPr>
          <w:rFonts w:ascii="Garamond" w:hAnsi="Garamond"/>
        </w:rPr>
        <w:t xml:space="preserve"> (Aug. 21, 2018).</w:t>
      </w:r>
    </w:p>
    <w:p>
      <w:pPr>
        <w:spacing w:line="480" w:lineRule="auto" w:before="0" w:after="0"/>
        <w:ind w:firstLine="720"/>
      </w:pPr>
      <w:r>
        <w:rPr>
          <w:rFonts w:ascii="Garamond" w:hAnsi="Garamond"/>
        </w:rPr>
        <w:t xml:space="preserve">- Dan Magder &amp; Laurie Goodman, </w:t>
      </w:r>
      <w:r>
        <w:rPr>
          <w:rFonts w:ascii="Garamond" w:hAnsi="Garamond"/>
          <w:i/>
        </w:rPr>
        <w:t>Single-Family Rentals: A New Approach to Affordable Housing</w:t>
      </w:r>
      <w:r>
        <w:rPr>
          <w:rFonts w:ascii="Garamond" w:hAnsi="Garamond"/>
        </w:rPr>
        <w:t xml:space="preserve"> (Urban Inst., Sept. 2015).</w:t>
      </w:r>
    </w:p>
    <w:p>
      <w:pPr>
        <w:spacing w:line="480" w:lineRule="auto" w:before="0" w:after="0"/>
        <w:ind w:firstLine="720"/>
      </w:pPr>
      <w:r>
        <w:rPr>
          <w:rFonts w:ascii="Garamond" w:hAnsi="Garamond"/>
        </w:rPr>
        <w:t xml:space="preserve">- Laurel Kilgour &amp; Josh Moss, </w:t>
      </w:r>
      <w:r>
        <w:rPr>
          <w:rFonts w:ascii="Garamond" w:hAnsi="Garamond"/>
          <w:i/>
        </w:rPr>
        <w:t>The New Rent Seekers: How Atlanta Became Ground Zero for Wall Street Single-Family Rentals, and What to Do About It</w:t>
      </w:r>
      <w:r>
        <w:rPr>
          <w:rFonts w:ascii="Garamond" w:hAnsi="Garamond"/>
        </w:rPr>
        <w:t xml:space="preserve"> (Am. Econ. Liberties Project, Apr. 2026).</w:t>
      </w:r>
    </w:p>
    <w:p>
      <w:pPr>
        <w:spacing w:line="480" w:lineRule="auto" w:before="0" w:after="0"/>
        <w:ind w:firstLine="720"/>
      </w:pPr>
      <w:r>
        <w:rPr>
          <w:rFonts w:ascii="Garamond" w:hAnsi="Garamond"/>
        </w:rPr>
        <w:t xml:space="preserve">- Justin Katz &amp; Paul S. Willen, </w:t>
      </w:r>
      <w:r>
        <w:rPr>
          <w:rFonts w:ascii="Garamond" w:hAnsi="Garamond"/>
          <w:i/>
        </w:rPr>
        <w:t>The Effect of Land Supply for New Homes on Residential Investment and House Prices</w:t>
      </w:r>
      <w:r>
        <w:rPr>
          <w:rFonts w:ascii="Garamond" w:hAnsi="Garamond"/>
        </w:rPr>
        <w:t xml:space="preserve"> (Fed. Rsrv. Bank of Bos., Working Paper No. 26-7, Apr. 2026), https://www.bostonfed.org/-/media/Documents/Workingpapers/PDF/2026/wp2607.pdf.</w:t>
      </w:r>
    </w:p>
    <w:p>
      <w:pPr>
        <w:spacing w:line="480" w:lineRule="auto" w:before="0" w:after="0"/>
        <w:ind w:firstLine="720"/>
      </w:pPr>
      <w:r>
        <w:rPr>
          <w:rFonts w:ascii="Garamond" w:hAnsi="Garamond"/>
        </w:rPr>
        <w:t xml:space="preserve">- Fannie Mae, </w:t>
      </w:r>
      <w:r>
        <w:rPr>
          <w:rFonts w:ascii="Garamond" w:hAnsi="Garamond"/>
          <w:i/>
        </w:rPr>
        <w:t>Single-Family Comparable Rent Schedule</w:t>
      </w:r>
      <w:r>
        <w:rPr>
          <w:rFonts w:ascii="Garamond" w:hAnsi="Garamond"/>
        </w:rPr>
        <w:t xml:space="preserve"> (Form 1007).</w:t>
      </w:r>
    </w:p>
    <w:p>
      <w:pPr>
        <w:pStyle w:val="Heading2"/>
      </w:pPr>
      <w:r>
        <w:t>D.11 Limitations</w:t>
      </w:r>
    </w:p>
    <w:p>
      <w:pPr>
        <w:spacing w:line="480" w:lineRule="auto" w:before="0" w:after="0"/>
        <w:ind w:firstLine="720"/>
      </w:pPr>
      <w:r>
        <w:rPr>
          <w:rFonts w:ascii="Garamond" w:hAnsi="Garamond"/>
        </w:rPr>
        <w:t>Four limitations bound the findings. First, the deed-based method captures only fee-simple ownership; an operator controlling homes through an unrecorded arrangement is invisible, so institutional counts are a floor. Second, the per-address and active-registration measures answer different questions, and figures are labeled to prevent conflation. Third, operator holdings and eviction counts drift slightly across data-pull vintages, so a small discrepancy between a body figure and an appendix table reflects pull date rather than error, and the canonical file is named at each use. Fourth, the Legal Services Corporation Davidson eviction extract, used only as a county-volume cross-check, is not exposed by its portal as an open file, so that figure is cited to the portal rather than to a replayable query.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rPr>
          <w:rFonts w:ascii="Garamond" w:hAnsi="Garamond"/>
          <w:sz w:val="20"/>
        </w:rPr>
        <w:separator/>
      </w:r>
    </w:p>
  </w:footnote>
  <w:footnote w:type="continuationSeparator" w:id="0">
    <w:p>
      <w:r>
        <w:rPr>
          <w:rFonts w:ascii="Garamond" w:hAnsi="Garamond"/>
          <w:sz w:val="20"/>
        </w:rPr>
        <w:continuationSeparator/>
      </w:r>
    </w:p>
  </w:footnote>
  <w:footnote w:id="1">
    <w:p>
      <w:pPr>
        <w:pStyle w:val="FootnoteText"/>
      </w:pPr>
      <w:r>
        <w:rPr>
          <w:rStyle w:val="FootnoteReference"/>
          <w:rFonts w:ascii="Garamond" w:hAnsi="Garamond"/>
          <w:sz w:val="20"/>
        </w:rPr>
        <w:footnoteRef/>
      </w:r>
      <w:r>
        <w:rPr>
          <w:rFonts w:ascii="Garamond" w:hAnsi="Garamond"/>
          <w:sz w:val="20"/>
        </w:rPr>
        <w:t xml:space="preserve"> Katie Jones &amp; Lida R. Weinstock, Housing Issues in the 119th Congress, Cong. Rsch. Serv. R48743 (Nov. 24, 2025), https://www.congress.gov/crs-product/R48743.
Intro numbered markers note 66, note 9, note 24, note 55, note 273, and note 19 are defined once in the main apparatus above (Houlihan Lokey; JCHS 2022; GAO-24-106643; Christophers; H.R. 9246; and Exec. Order No. 14376, respectively). Note: the apparatus note 19 gives the older White House press-action URL; the fuller Federal Register cite is Stopping Wall Street from Competing with Main Street Homebuyers, 91 Fed. Reg. 3023 (Jan. 23, 2026), https://www.federalregister.gov/documents/2026/01/23/2026-01424/stopping-wall-street-from-competing-with-main-street-homebuyers.</w:t>
      </w:r>
    </w:p>
  </w:footnote>
  <w:footnote w:id="2">
    <w:p>
      <w:pPr>
        <w:pStyle w:val="FootnoteText"/>
      </w:pPr>
      <w:r>
        <w:rPr>
          <w:rStyle w:val="FootnoteReference"/>
          <w:rFonts w:ascii="Garamond" w:hAnsi="Garamond"/>
          <w:sz w:val="20"/>
        </w:rPr>
        <w:footnoteRef/>
      </w:r>
      <w:r>
        <w:rPr>
          <w:rFonts w:ascii="Garamond" w:hAnsi="Garamond"/>
          <w:sz w:val="20"/>
        </w:rPr>
        <w:t xml:space="preserve"> Houlihan Lokey, SFR Market Update 2–8 (Aug. 2025), http://cdn.hl.com/pdf/2025/august-2025-sfr-market-update.pdf (median household income grew 99% from $41,990 to $83,672 since 2000 while median home prices grew 156% from $165,300 to $423,100, and homebuyers must earn roughly $50,000 more per year than renters to afford monthly payments). [This is the "prices outran incomes" cite. Swap for a cleaner primary source (FHFA House Price Index or Census median income) if you prefer.]</w:t>
      </w:r>
    </w:p>
  </w:footnote>
  <w:footnote w:id="3">
    <w:p>
      <w:pPr>
        <w:pStyle w:val="FootnoteText"/>
      </w:pPr>
      <w:r>
        <w:rPr>
          <w:rStyle w:val="FootnoteReference"/>
          <w:rFonts w:ascii="Garamond" w:hAnsi="Garamond"/>
          <w:sz w:val="20"/>
        </w:rPr>
        <w:footnoteRef/>
      </w:r>
      <w:r>
        <w:rPr>
          <w:rFonts w:ascii="Garamond" w:hAnsi="Garamond"/>
          <w:sz w:val="20"/>
        </w:rPr>
        <w:t xml:space="preserve"> Joint Ctr. for Hous. Studies of Harvard Univ., The State of the Nation's Housing 2022, at 4–5, https://www.jchs.harvard.edu/sites/default/files/reports/files/Harvard_JCHS_State_Nations_Housing_2022.pdf. [Supports the cost-burden figures; VERIFY the "nearly half of renters" and "one in three households" numbers against the report page.]</w:t>
      </w:r>
    </w:p>
  </w:footnote>
  <w:footnote w:id="4">
    <w:p>
      <w:pPr>
        <w:pStyle w:val="FootnoteText"/>
      </w:pPr>
      <w:r>
        <w:rPr>
          <w:rStyle w:val="FootnoteReference"/>
          <w:rFonts w:ascii="Garamond" w:hAnsi="Garamond"/>
          <w:sz w:val="20"/>
        </w:rPr>
        <w:footnoteRef/>
      </w:r>
      <w:r>
        <w:rPr>
          <w:rFonts w:ascii="Garamond" w:hAnsi="Garamond"/>
          <w:sz w:val="20"/>
        </w:rPr>
        <w:t xml:space="preserve"> U.S. Gov't Accountability Off., GAO-24-106643, Rental Housing: Information on Institutional Investment in Single-Family Homes 30 (2024), https://www.gao.gov/assets/gao-24-106643.pdf (institutional investors entered the single-family rental market after the 2008 crisis and leveraged capital and new technology to buy foreclosed homes in bulk and convert them to rentals).</w:t>
      </w:r>
    </w:p>
  </w:footnote>
  <w:footnote w:id="5">
    <w:p>
      <w:pPr>
        <w:pStyle w:val="FootnoteText"/>
      </w:pPr>
      <w:r>
        <w:rPr>
          <w:rStyle w:val="FootnoteReference"/>
          <w:rFonts w:ascii="Garamond" w:hAnsi="Garamond"/>
          <w:sz w:val="20"/>
        </w:rPr>
        <w:footnoteRef/>
      </w:r>
      <w:r>
        <w:rPr>
          <w:rFonts w:ascii="Garamond" w:hAnsi="Garamond"/>
          <w:sz w:val="20"/>
        </w:rPr>
        <w:t xml:space="preserve"> Brett Christophers, How and Why U.S. Single-Family Housing Became an Investor Asset Class, 49 J. Urb. Hist. 430, 435–40 (2023), https://journals.sagepub.com/doi/10.1177/00961442211029601.</w:t>
      </w:r>
    </w:p>
  </w:footnote>
  <w:footnote w:id="6">
    <w:p>
      <w:pPr>
        <w:pStyle w:val="FootnoteText"/>
      </w:pPr>
      <w:r>
        <w:rPr>
          <w:rStyle w:val="FootnoteReference"/>
          <w:rFonts w:ascii="Garamond" w:hAnsi="Garamond"/>
          <w:sz w:val="20"/>
        </w:rPr>
        <w:footnoteRef/>
      </w:r>
      <w:r>
        <w:rPr>
          <w:rFonts w:ascii="Garamond" w:hAnsi="Garamond"/>
          <w:sz w:val="20"/>
        </w:rPr>
        <w:t xml:space="preserve"> Stop Wall Street Landlords Act of 2022, H.R. 9246, 117th Cong. (2022), https://www.congress.gov/bill/117th-congress/house-bill/9246.</w:t>
      </w:r>
    </w:p>
  </w:footnote>
  <w:footnote w:id="7">
    <w:p>
      <w:pPr>
        <w:pStyle w:val="FootnoteText"/>
      </w:pPr>
      <w:r>
        <w:rPr>
          <w:rStyle w:val="FootnoteReference"/>
          <w:rFonts w:ascii="Garamond" w:hAnsi="Garamond"/>
          <w:sz w:val="20"/>
        </w:rPr>
        <w:footnoteRef/>
      </w:r>
      <w:r>
        <w:rPr>
          <w:rFonts w:ascii="Garamond" w:hAnsi="Garamond"/>
          <w:sz w:val="20"/>
        </w:rPr>
        <w:t xml:space="preserve"> The White House, Fact Sheet: President Donald J. Trump Stops Wall Street from Competing with Main Street Homebuyers (Jan. 2026), https://www.whitehouse.gov/fact-sheets/2026/01/fact-sheet-president-donald-j-trump-stops-wall-street-from-competing-with-main-street-homebuyers/ (quoting President Trump: "People live in homes, not corporations.").</w:t>
      </w:r>
    </w:p>
  </w:footnote>
  <w:footnote w:id="8">
    <w:p>
      <w:pPr>
        <w:pStyle w:val="FootnoteText"/>
      </w:pPr>
      <w:r>
        <w:rPr>
          <w:rStyle w:val="FootnoteReference"/>
          <w:rFonts w:ascii="Garamond" w:hAnsi="Garamond"/>
          <w:sz w:val="20"/>
        </w:rPr>
        <w:footnoteRef/>
      </w:r>
      <w:r>
        <w:rPr>
          <w:rFonts w:ascii="Garamond" w:hAnsi="Garamond"/>
          <w:sz w:val="20"/>
        </w:rPr>
        <w:t xml:space="preserve"> Exec. Order No. 14376, Stopping Wall Street from Competing with Main Street Homebuyers, 91 Fed. Reg. 3023 (Jan. 23, 2026), https://www.federalregister.gov/documents/2026/01/23/2026-01424/stopping-wall-street-from-competing-with-main-street-homebuyers.</w:t>
      </w:r>
    </w:p>
  </w:footnote>
  <w:footnote w:id="9">
    <w:p>
      <w:pPr>
        <w:pStyle w:val="FootnoteText"/>
      </w:pPr>
      <w:r>
        <w:rPr>
          <w:rStyle w:val="FootnoteReference"/>
          <w:rFonts w:ascii="Garamond" w:hAnsi="Garamond"/>
          <w:sz w:val="20"/>
        </w:rPr>
        <w:footnoteRef/>
      </w:r>
      <w:r>
        <w:rPr>
          <w:rFonts w:ascii="Garamond" w:hAnsi="Garamond"/>
          <w:sz w:val="20"/>
        </w:rPr>
        <w:t xml:space="preserve"> See Jim Tankersley &amp; Alan Rappeport, Trump, Senate Democrats Want to Curb Corporate Homebuyers, N.Y. Times (Feb. 24, 2026), https://www.nytimes.com/2026/02/24/us/politics/trump-senate-democrats-single-family-rentals-homes.html; President Donald J. Trump, State of the Union Address (Feb. 24, 2026).</w:t>
      </w:r>
    </w:p>
  </w:footnote>
  <w:footnote w:id="10">
    <w:p>
      <w:pPr>
        <w:pStyle w:val="FootnoteText"/>
      </w:pPr>
      <w:r>
        <w:rPr>
          <w:rStyle w:val="FootnoteReference"/>
          <w:rFonts w:ascii="Garamond" w:hAnsi="Garamond"/>
          <w:sz w:val="20"/>
        </w:rPr>
        <w:footnoteRef/>
      </w:r>
      <w:r>
        <w:rPr>
          <w:rFonts w:ascii="Garamond" w:hAnsi="Garamond"/>
          <w:sz w:val="20"/>
        </w:rPr>
        <w:t xml:space="preserve"> 21st Century ROAD to Housing Act, Pub. L. No. 119-101 (2026) (H.R. 6644, 119th Cong.; became law July 11, 2026, without the President's signature). The House passed H.R. 6644 by 390 to 9 in February 2026; the Senate substituted and passed the retitled 21st Century ROAD to Housing Act 89 to 10 on March 12, 2026; and in June 2026 the two chambers agreed to the final text, the House 358 to 32 and the Senate 85 to 5. H.R. 6644, All Actions, https://www.congress.gov/bill/119th-congress/house-bill/6644/all-actions.</w:t>
      </w:r>
    </w:p>
  </w:footnote>
  <w:footnote w:id="11">
    <w:p>
      <w:pPr>
        <w:pStyle w:val="FootnoteText"/>
      </w:pPr>
      <w:r>
        <w:rPr>
          <w:rStyle w:val="FootnoteReference"/>
          <w:rFonts w:ascii="Garamond" w:hAnsi="Garamond"/>
          <w:sz w:val="20"/>
        </w:rPr>
        <w:footnoteRef/>
      </w:r>
      <w:r>
        <w:rPr>
          <w:rFonts w:ascii="Garamond" w:hAnsi="Garamond"/>
          <w:sz w:val="20"/>
        </w:rPr>
        <w:t xml:space="preserve"> U.S. Gov't Accountability Off., Rental Housing: Institutional Investor Ownership of Single-Family Rental Homes, GAO-26-108675, at 11 (Mar. 24, 2026), https://www.gao.gov/products/gao-26-108675 (PDF at https://www.gao.gov/assets/890/885087.pdf; second in a planned series; six metro areas, 2018–2024; "publicly available data on the number and share of these homes owned by institutional investors are lacking").
- NOTE: note 55 Christophers (investor asset class), note 48 Immergluck (Renting the Dream), note 42 Mills-Molloy-Zarutskie, note 98/note 6 Chilton, note 224 Raymond (From Foreclosure to Eviction), and note 47 Fallon-Noble-Reynolds are already defined in your apparatus. Matthew Desmond's Evicted was removed from the introduction because it does not appear anywhere in your document's sources.</w:t>
      </w:r>
    </w:p>
  </w:footnote>
  <w:footnote w:id="12">
    <w:p>
      <w:pPr>
        <w:pStyle w:val="FootnoteText"/>
      </w:pPr>
      <w:r>
        <w:rPr>
          <w:rStyle w:val="FootnoteReference"/>
          <w:rFonts w:ascii="Garamond" w:hAnsi="Garamond"/>
          <w:sz w:val="20"/>
        </w:rPr>
        <w:footnoteRef/>
      </w:r>
      <w:r>
        <w:rPr>
          <w:rFonts w:ascii="Garamond" w:hAnsi="Garamond"/>
          <w:sz w:val="20"/>
        </w:rPr>
        <w:t xml:space="preserve"> Laurie Goodman, Amalie Zinn, Kathryn Reynolds &amp; Eleanor Noble, A Profile of Institutional Investor-Owned Single-Family Rental Properties 8–12, Urban Inst. (Apr. 2023) (identifying 12,573 institutional SFR properties in the Nashville-Davidson-Murfreesboro-Franklin MSA, of which 10,560 were held by mega investors, representing 13.6% of single-family rentals and 4.4% of total rental properties).</w:t>
      </w:r>
    </w:p>
  </w:footnote>
  <w:footnote w:id="13">
    <w:p>
      <w:pPr>
        <w:pStyle w:val="FootnoteText"/>
      </w:pPr>
      <w:r>
        <w:rPr>
          <w:rStyle w:val="FootnoteReference"/>
          <w:rFonts w:ascii="Garamond" w:hAnsi="Garamond"/>
          <w:sz w:val="20"/>
        </w:rPr>
        <w:footnoteRef/>
      </w:r>
      <w:r>
        <w:rPr>
          <w:rFonts w:ascii="Garamond" w:hAnsi="Garamond"/>
          <w:sz w:val="20"/>
        </w:rPr>
        <w:t xml:space="preserve"> Metro. Nashville Dep't of Codes &amp; Bldg. Safety, ePermits Case No. 25-1422198 (caseID 4647033), Request for Service / Landlord Registration Violation against SFR JV-1 2020-1 Borrower, LLC, 1008 Hickory Bark Court, Nashville, Tenn. 37211 (caseTypeID 218; caseSubTypeID 937 (CALLR); filed Jan. 2025; violation inspection completed Apr. 24, 2025; status Done), https://epermits.nashville.gov/api/permit/1.0/Case/4647033. SFR JV-1 2020-1 Borrower, LLC is a 2020-vintage securitization vehicle of Tricon Residential. Every SFR JV entity in the Davidson owner crosswalk resolves to Tricon, and one is recorded as SFR JV-2 DDTL Borrower LLC c/o Tricon American Homes. The shells mail from 1508 Brookhollow Drive, Santa Ana, California. The Scottsdale post-office box appearing on the 2020-1 shell belongs to Ryan LLC, a shared tax agent, and does not indicate Invitation Homes. Tricon is itself a subsidiary of Blackstone Inc., which acquired it in 2024, so the ultimate parent under Section 1001's control rule is Blackstone.</w:t>
      </w:r>
    </w:p>
  </w:footnote>
  <w:footnote w:id="14">
    <w:p>
      <w:pPr>
        <w:pStyle w:val="FootnoteText"/>
      </w:pPr>
      <w:r>
        <w:rPr>
          <w:rStyle w:val="FootnoteReference"/>
          <w:rFonts w:ascii="Garamond" w:hAnsi="Garamond"/>
          <w:sz w:val="20"/>
        </w:rPr>
        <w:footnoteRef/>
      </w:r>
      <w:r>
        <w:rPr>
          <w:rFonts w:ascii="Garamond" w:hAnsi="Garamond"/>
          <w:sz w:val="20"/>
        </w:rPr>
        <w:t xml:space="preserve"> Metro. Nashville Dep't of Codes &amp; Bldg. Safety, ePermits CaseViolation endpoint, https://epermits.nashville.gov/api/permit/1.0/CaseViolation (violation codes CAAA_LANDLORD_REGSTR and CALL_LANDLORD_REGSTR, both described as LANDLORD REGISTRATION; 2,300 violations, 2008 through 2026).</w:t>
      </w:r>
    </w:p>
  </w:footnote>
  <w:footnote w:id="15">
    <w:p>
      <w:pPr>
        <w:pStyle w:val="FootnoteText"/>
      </w:pPr>
      <w:r>
        <w:rPr>
          <w:rStyle w:val="FootnoteReference"/>
          <w:rFonts w:ascii="Garamond" w:hAnsi="Garamond"/>
          <w:sz w:val="20"/>
        </w:rPr>
        <w:footnoteRef/>
      </w:r>
      <w:r>
        <w:rPr>
          <w:rFonts w:ascii="Garamond" w:hAnsi="Garamond"/>
          <w:sz w:val="20"/>
        </w:rPr>
        <w:t xml:space="preserve"> Uniform Residential Landlord and Tenant Act, Tenn. Code Ann. §§ 66-28-101 to -521, https://law.justia.com/codes/tennessee/title-66/chapter-28/. The registration duty is § 66-28-107(a)(1)(B) (requiring "the address and unit number of each rental dwelling unit"), https://law.justia.com/codes/tennessee/title-66/chapter-28/part-1/section-66-28-107/.</w:t>
      </w:r>
    </w:p>
  </w:footnote>
  <w:footnote w:id="16">
    <w:p>
      <w:pPr>
        <w:pStyle w:val="FootnoteText"/>
      </w:pPr>
      <w:r>
        <w:rPr>
          <w:rStyle w:val="FootnoteReference"/>
          <w:rFonts w:ascii="Garamond" w:hAnsi="Garamond"/>
          <w:sz w:val="20"/>
        </w:rPr>
        <w:footnoteRef/>
      </w:r>
      <w:r>
        <w:rPr>
          <w:rFonts w:ascii="Garamond" w:hAnsi="Garamond"/>
          <w:sz w:val="20"/>
        </w:rPr>
        <w:t xml:space="preserve"> Chilton, K., Silverman, R.M., Chaudhry, R. &amp; Wang, C., The Impact of Single-Family Rental REITs on Regional Housing Markets: A Case Study of Nashville, TN, 8 Societies 93, 96 (2018), https://doi.org/10.3390/soc8040093.</w:t>
      </w:r>
    </w:p>
  </w:footnote>
  <w:footnote w:id="17">
    <w:p>
      <w:pPr>
        <w:pStyle w:val="FootnoteText"/>
      </w:pPr>
      <w:r>
        <w:rPr>
          <w:rStyle w:val="FootnoteReference"/>
          <w:rFonts w:ascii="Garamond" w:hAnsi="Garamond"/>
          <w:sz w:val="20"/>
        </w:rPr>
        <w:footnoteRef/>
      </w:r>
      <w:r>
        <w:rPr>
          <w:rFonts w:ascii="Garamond" w:hAnsi="Garamond"/>
          <w:sz w:val="20"/>
        </w:rPr>
        <w:t xml:space="preserve"> Hulya Arik, An Analysis of Investor Purchases of Single-Family Homes in Davidson County, 2018–2022, at 1–4, Tenn. Hous. Dev. Agency (May 2024), https://thda.org/images/Investor_Purchases_Davidson_County_2018_2022_Final.pdf.</w:t>
      </w:r>
    </w:p>
  </w:footnote>
  <w:footnote w:id="18">
    <w:p>
      <w:pPr>
        <w:pStyle w:val="FootnoteText"/>
      </w:pPr>
      <w:r>
        <w:rPr>
          <w:rStyle w:val="FootnoteReference"/>
          <w:rFonts w:ascii="Garamond" w:hAnsi="Garamond"/>
          <w:sz w:val="20"/>
        </w:rPr>
        <w:footnoteRef/>
      </w:r>
      <w:r>
        <w:rPr>
          <w:rFonts w:ascii="Garamond" w:hAnsi="Garamond"/>
          <w:sz w:val="20"/>
        </w:rPr>
        <w:t xml:space="preserve"> Nat'l Multifamily Hous. Council, NMHC Research Notes: The Single-Family Rental Sector 1–4 (Sept. 2021) (reporting that 14 million U.S. households lived in rented single-family units in 2019, comprising 33% of all renter households, and that 43% of single-family renter households included children compared to 21% of apartment households).</w:t>
      </w:r>
    </w:p>
  </w:footnote>
  <w:footnote w:id="19">
    <w:p>
      <w:pPr>
        <w:pStyle w:val="FootnoteText"/>
      </w:pPr>
      <w:r>
        <w:rPr>
          <w:rStyle w:val="FootnoteReference"/>
          <w:rFonts w:ascii="Garamond" w:hAnsi="Garamond"/>
          <w:sz w:val="20"/>
        </w:rPr>
        <w:footnoteRef/>
      </w:r>
      <w:r>
        <w:rPr>
          <w:rFonts w:ascii="Garamond" w:hAnsi="Garamond"/>
          <w:sz w:val="20"/>
        </w:rPr>
        <w:t xml:space="preserve"> See supra note 18.</w:t>
      </w:r>
    </w:p>
  </w:footnote>
  <w:footnote w:id="20">
    <w:p>
      <w:pPr>
        <w:pStyle w:val="FootnoteText"/>
      </w:pPr>
      <w:r>
        <w:rPr>
          <w:rStyle w:val="FootnoteReference"/>
          <w:rFonts w:ascii="Garamond" w:hAnsi="Garamond"/>
          <w:sz w:val="20"/>
        </w:rPr>
        <w:footnoteRef/>
      </w:r>
      <w:r>
        <w:rPr>
          <w:rFonts w:ascii="Garamond" w:hAnsi="Garamond"/>
          <w:sz w:val="20"/>
        </w:rPr>
        <w:t xml:space="preserve"> Ingrid Gould Ellen &amp; Laurie Goodman, Single-Family Rentals: Trends and Policy Recommendations 4–8, Hamilton Project at Brookings (Nov. 2023), https://www.brookings.edu/wp-content/uploads/2023/11/20231102_THP_SingleFamilyRentals_Proposal.pdf.</w:t>
      </w:r>
    </w:p>
  </w:footnote>
  <w:footnote w:id="21">
    <w:p>
      <w:pPr>
        <w:pStyle w:val="FootnoteText"/>
      </w:pPr>
      <w:r>
        <w:rPr>
          <w:rStyle w:val="FootnoteReference"/>
          <w:rFonts w:ascii="Garamond" w:hAnsi="Garamond"/>
          <w:sz w:val="20"/>
        </w:rPr>
        <w:footnoteRef/>
      </w:r>
      <w:r>
        <w:rPr>
          <w:rFonts w:ascii="Garamond" w:hAnsi="Garamond"/>
          <w:sz w:val="20"/>
        </w:rPr>
        <w:t xml:space="preserve"> See supra note 4.</w:t>
      </w:r>
    </w:p>
  </w:footnote>
  <w:footnote w:id="22">
    <w:p>
      <w:pPr>
        <w:pStyle w:val="FootnoteText"/>
      </w:pPr>
      <w:r>
        <w:rPr>
          <w:rStyle w:val="FootnoteReference"/>
          <w:rFonts w:ascii="Garamond" w:hAnsi="Garamond"/>
          <w:sz w:val="20"/>
        </w:rPr>
        <w:footnoteRef/>
      </w:r>
      <w:r>
        <w:rPr>
          <w:rFonts w:ascii="Garamond" w:hAnsi="Garamond"/>
          <w:sz w:val="20"/>
        </w:rPr>
        <w:t xml:space="preserve"> U.S. Gov't Accountability Off., GAO-24-106643, Single-Family Rental Housing: Large Investors Have Increased Their Presence in Select Markets 8–16 (2024), https://www.gao.gov/assets/gao-24-106643.pdf.</w:t>
      </w:r>
    </w:p>
  </w:footnote>
  <w:footnote w:id="23">
    <w:p>
      <w:pPr>
        <w:pStyle w:val="FootnoteText"/>
      </w:pPr>
      <w:r>
        <w:rPr>
          <w:rStyle w:val="FootnoteReference"/>
          <w:rFonts w:ascii="Garamond" w:hAnsi="Garamond"/>
          <w:sz w:val="20"/>
        </w:rPr>
        <w:footnoteRef/>
      </w:r>
      <w:r>
        <w:rPr>
          <w:rFonts w:ascii="Garamond" w:hAnsi="Garamond"/>
          <w:sz w:val="20"/>
        </w:rPr>
        <w:t xml:space="preserve"> Id. at 5–6 (citing Altus Group and the 2018 Rental Housing Finance Survey, which found that institutional investors with 2,000 or more properties owned between 2.1% and 2.5% of all single-family rentals, versus 50–55% of apartment units with 50 or more units).</w:t>
      </w:r>
    </w:p>
  </w:footnote>
  <w:footnote w:id="24">
    <w:p>
      <w:pPr>
        <w:pStyle w:val="FootnoteText"/>
      </w:pPr>
      <w:r>
        <w:rPr>
          <w:rStyle w:val="FootnoteReference"/>
          <w:rFonts w:ascii="Garamond" w:hAnsi="Garamond"/>
          <w:sz w:val="20"/>
        </w:rPr>
        <w:footnoteRef/>
      </w:r>
      <w:r>
        <w:rPr>
          <w:rFonts w:ascii="Garamond" w:hAnsi="Garamond"/>
          <w:sz w:val="20"/>
        </w:rPr>
        <w:t xml:space="preserve"> See supra note 18.</w:t>
      </w:r>
    </w:p>
  </w:footnote>
  <w:footnote w:id="25">
    <w:p>
      <w:pPr>
        <w:pStyle w:val="FootnoteText"/>
      </w:pPr>
      <w:r>
        <w:rPr>
          <w:rStyle w:val="FootnoteReference"/>
          <w:rFonts w:ascii="Garamond" w:hAnsi="Garamond"/>
          <w:sz w:val="20"/>
        </w:rPr>
        <w:footnoteRef/>
      </w:r>
      <w:r>
        <w:rPr>
          <w:rFonts w:ascii="Garamond" w:hAnsi="Garamond"/>
          <w:sz w:val="20"/>
        </w:rPr>
        <w:t xml:space="preserve"> See supra note 5.</w:t>
      </w:r>
    </w:p>
  </w:footnote>
  <w:footnote w:id="26">
    <w:p>
      <w:pPr>
        <w:pStyle w:val="FootnoteText"/>
      </w:pPr>
      <w:r>
        <w:rPr>
          <w:rStyle w:val="FootnoteReference"/>
          <w:rFonts w:ascii="Garamond" w:hAnsi="Garamond"/>
          <w:sz w:val="20"/>
        </w:rPr>
        <w:footnoteRef/>
      </w:r>
      <w:r>
        <w:rPr>
          <w:rFonts w:ascii="Garamond" w:hAnsi="Garamond"/>
          <w:sz w:val="20"/>
        </w:rPr>
        <w:t xml:space="preserve"> Am. Homes 4 Rent, History, https://www.amh.com (noting founding by B. Wayne Hughes in October 2012 and $600 million initial investment from the Alaska Permanent Fund).</w:t>
      </w:r>
    </w:p>
  </w:footnote>
  <w:footnote w:id="27">
    <w:p>
      <w:pPr>
        <w:pStyle w:val="FootnoteText"/>
      </w:pPr>
      <w:r>
        <w:rPr>
          <w:rStyle w:val="FootnoteReference"/>
          <w:rFonts w:ascii="Garamond" w:hAnsi="Garamond"/>
          <w:sz w:val="20"/>
        </w:rPr>
        <w:footnoteRef/>
      </w:r>
      <w:r>
        <w:rPr>
          <w:rFonts w:ascii="Garamond" w:hAnsi="Garamond"/>
          <w:sz w:val="20"/>
        </w:rPr>
        <w:t xml:space="preserve"> See supra note 5.</w:t>
      </w:r>
    </w:p>
  </w:footnote>
  <w:footnote w:id="28">
    <w:p>
      <w:pPr>
        <w:pStyle w:val="FootnoteText"/>
      </w:pPr>
      <w:r>
        <w:rPr>
          <w:rStyle w:val="FootnoteReference"/>
          <w:rFonts w:ascii="Garamond" w:hAnsi="Garamond"/>
          <w:sz w:val="20"/>
        </w:rPr>
        <w:footnoteRef/>
      </w:r>
      <w:r>
        <w:rPr>
          <w:rFonts w:ascii="Garamond" w:hAnsi="Garamond"/>
          <w:sz w:val="20"/>
        </w:rPr>
        <w:t xml:space="preserve"> Capright, Single-Family Rental REIT Update 3–8 (July 2025) (reporting Q1 2025 portfolio sizes: Progress Residential 90,000 units, Invitation Homes 85,261, American Homes 4 Rent 60,531, Tricon 60,000, FirstKey 48,000, Main Street Renewal 42,000, VineBrook 21,000, and Maymont 15,000).</w:t>
      </w:r>
    </w:p>
  </w:footnote>
  <w:footnote w:id="29">
    <w:p>
      <w:pPr>
        <w:pStyle w:val="FootnoteText"/>
      </w:pPr>
      <w:r>
        <w:rPr>
          <w:rStyle w:val="FootnoteReference"/>
          <w:rFonts w:ascii="Garamond" w:hAnsi="Garamond"/>
          <w:sz w:val="20"/>
        </w:rPr>
        <w:footnoteRef/>
      </w:r>
      <w:r>
        <w:rPr>
          <w:rFonts w:ascii="Garamond" w:hAnsi="Garamond"/>
          <w:sz w:val="20"/>
        </w:rPr>
        <w:t xml:space="preserve"> Desiree Fields &amp; Manon Vergerio, Corporate Landlords and Market Power: What Does the Single-Family Rental Boom Mean for Our Housing Future? 24–56 (Berkeley, Cal.: University of California Press, Apr. 2022) (documenting how institutional investors pursued smaller-scale purchases through brokers and listing services as foreclosure rates declined, shifting from bulk acquisition to one-at-a-time purchases through the Multiple Listing Service).</w:t>
      </w:r>
    </w:p>
  </w:footnote>
  <w:footnote w:id="30">
    <w:p>
      <w:pPr>
        <w:pStyle w:val="FootnoteText"/>
      </w:pPr>
      <w:r>
        <w:rPr>
          <w:rStyle w:val="FootnoteReference"/>
          <w:rFonts w:ascii="Garamond" w:hAnsi="Garamond"/>
          <w:sz w:val="20"/>
        </w:rPr>
        <w:footnoteRef/>
      </w:r>
      <w:r>
        <w:rPr>
          <w:rFonts w:ascii="Garamond" w:hAnsi="Garamond"/>
          <w:sz w:val="20"/>
        </w:rPr>
        <w:t xml:space="preserve"> Lee, K. &amp; Wylie, D., Institutional Investors, Rents, and Neighborhood Change in the Single Family Residential Market 9–13, 19, Fed. Rsrv. Bank of Phila. Working Paper No. 24-13 (July 2024) (ranking Nashville-Davidson-Murfreesboro-Franklin 10th among all CBSAs for institutional SFR ownership at 1.80% of housing stock, and finding that investors raised rents approximately 60% above the average rate upon first acquisition and 7% above average on subsequent increases).</w:t>
      </w:r>
    </w:p>
  </w:footnote>
  <w:footnote w:id="31">
    <w:p>
      <w:pPr>
        <w:pStyle w:val="FootnoteText"/>
      </w:pPr>
      <w:r>
        <w:rPr>
          <w:rStyle w:val="FootnoteReference"/>
          <w:rFonts w:ascii="Garamond" w:hAnsi="Garamond"/>
          <w:sz w:val="20"/>
        </w:rPr>
        <w:footnoteRef/>
      </w:r>
      <w:r>
        <w:rPr>
          <w:rFonts w:ascii="Garamond" w:hAnsi="Garamond"/>
          <w:sz w:val="20"/>
        </w:rPr>
        <w:t xml:space="preserve"> Fed. Rsrv. Bank of St. Louis, The Role of Single-Family Rentals in the U.S. Housing Market (Oct. 2025) (reporting that in the first half of 2025, investors accounted for a record 30% of single-family home purchases, and that consolidated institutional firms gained price-setting power over rents in dominated areas).</w:t>
      </w:r>
    </w:p>
  </w:footnote>
  <w:footnote w:id="32">
    <w:p>
      <w:pPr>
        <w:pStyle w:val="FootnoteText"/>
      </w:pPr>
      <w:r>
        <w:rPr>
          <w:rStyle w:val="FootnoteReference"/>
          <w:rFonts w:ascii="Garamond" w:hAnsi="Garamond"/>
          <w:sz w:val="20"/>
        </w:rPr>
        <w:footnoteRef/>
      </w:r>
      <w:r>
        <w:rPr>
          <w:rFonts w:ascii="Garamond" w:hAnsi="Garamond"/>
          <w:sz w:val="20"/>
        </w:rPr>
        <w:t xml:space="preserve"> Umit G. Gurun, Jiabin Wu, Steven Chong Xiao &amp; Serena Wenjing Xiao, Do Wall Street Landlords Undermine Renters' Welfare?, 36 Rev. Fin. Stud. 70, 70–121 (2023) (evaluating the three largest mergers of institutional investors in single-family rental housing from 2015 through 2017 and finding that in the year following each merger, neighborhoods where merged firms were more active experienced a statistically significant increase in rent).</w:t>
      </w:r>
    </w:p>
  </w:footnote>
  <w:footnote w:id="33">
    <w:p>
      <w:pPr>
        <w:pStyle w:val="FootnoteText"/>
      </w:pPr>
      <w:r>
        <w:rPr>
          <w:rStyle w:val="FootnoteReference"/>
          <w:rFonts w:ascii="Garamond" w:hAnsi="Garamond"/>
          <w:sz w:val="20"/>
        </w:rPr>
        <w:footnoteRef/>
      </w:r>
      <w:r>
        <w:rPr>
          <w:rFonts w:ascii="Garamond" w:hAnsi="Garamond"/>
          <w:sz w:val="20"/>
        </w:rPr>
        <w:t xml:space="preserve"> Carlos Garriga, Pedro Gete &amp; Athena Tsouderou, Investors and Housing Affordability, Fed. Rsrv. Bank of St. Louis Working Paper No. 2020-047A (Oct. 2020) (finding that investor purchases of single-family rental housing from 2009 through 2017 initially increased price growth for the median house, but that the effects diminished over time, and were largest for the lowest-priced housing).</w:t>
      </w:r>
    </w:p>
  </w:footnote>
  <w:footnote w:id="34">
    <w:p>
      <w:pPr>
        <w:pStyle w:val="FootnoteText"/>
      </w:pPr>
      <w:r>
        <w:rPr>
          <w:rStyle w:val="FootnoteReference"/>
          <w:rFonts w:ascii="Garamond" w:hAnsi="Garamond"/>
          <w:sz w:val="20"/>
        </w:rPr>
        <w:footnoteRef/>
      </w:r>
      <w:r>
        <w:rPr>
          <w:rFonts w:ascii="Garamond" w:hAnsi="Garamond"/>
          <w:sz w:val="20"/>
        </w:rPr>
        <w:t xml:space="preserve"> Mills, J., Molloy, R.S. &amp; Zarutskie, R.E., Large-Scale Buy-to-Rent Investors in the Single-Family Housing Market: The Emergence of a New Asset Class, 45 Real Est. Econ. 1, 5–12 (2017).</w:t>
      </w:r>
    </w:p>
  </w:footnote>
  <w:footnote w:id="35">
    <w:p>
      <w:pPr>
        <w:pStyle w:val="FootnoteText"/>
      </w:pPr>
      <w:r>
        <w:rPr>
          <w:rStyle w:val="FootnoteReference"/>
          <w:rFonts w:ascii="Garamond" w:hAnsi="Garamond"/>
          <w:sz w:val="20"/>
        </w:rPr>
        <w:footnoteRef/>
      </w:r>
      <w:r>
        <w:rPr>
          <w:rFonts w:ascii="Garamond" w:hAnsi="Garamond"/>
          <w:sz w:val="20"/>
        </w:rPr>
        <w:t xml:space="preserve"> Lauren Lambie-Hanson, Wenli Li, Michael Slonkosky &amp; Tim Wieladek, Institutional Investors and the U.S. Housing Recovery, Fed. Rsrv. Bank of Phila. Working Paper No. 19-45, at 19–45 (Nov. 2019) (estimating that the increasing presence of institutional investors in the housing market explained over half of the increase in real home price appreciation rates from 2006 through 2014, and finding that the largest 20 institutional investors had a larger marginal effect on prices than other institutional investors).</w:t>
      </w:r>
    </w:p>
  </w:footnote>
  <w:footnote w:id="36">
    <w:p>
      <w:pPr>
        <w:pStyle w:val="FootnoteText"/>
      </w:pPr>
      <w:r>
        <w:rPr>
          <w:rStyle w:val="FootnoteReference"/>
          <w:rFonts w:ascii="Garamond" w:hAnsi="Garamond"/>
          <w:sz w:val="20"/>
        </w:rPr>
        <w:footnoteRef/>
      </w:r>
      <w:r>
        <w:rPr>
          <w:rFonts w:ascii="Garamond" w:hAnsi="Garamond"/>
          <w:sz w:val="20"/>
        </w:rPr>
        <w:t xml:space="preserve"> See supra note 16.</w:t>
      </w:r>
    </w:p>
  </w:footnote>
  <w:footnote w:id="37">
    <w:p>
      <w:pPr>
        <w:pStyle w:val="FootnoteText"/>
      </w:pPr>
      <w:r>
        <w:rPr>
          <w:rStyle w:val="FootnoteReference"/>
          <w:rFonts w:ascii="Garamond" w:hAnsi="Garamond"/>
          <w:sz w:val="20"/>
        </w:rPr>
        <w:footnoteRef/>
      </w:r>
      <w:r>
        <w:rPr>
          <w:rFonts w:ascii="Garamond" w:hAnsi="Garamond"/>
          <w:sz w:val="20"/>
        </w:rPr>
        <w:t xml:space="preserve"> Katie Fallon, Owen Noble &amp; Kathryn Reynolds, Institutional Owners in Single-Family Rental Properties: A Review of the Federal and Local Regulation and Policy Landscape (Urban Inst. Aug. 2023), https://www.urban.org/research/publication/institutional-owners-single-family-rental-properties-review-federal-and-local-regulation-and-policy-landscape (reporting the Amherst estimate that 85 percent of its single-family rental residents would not qualify for a mortgage; the New Jersey and Syracuse bars on evicting tenants from unregistered one- and two-family rentals; and the survey of rental registries and homeowner-association owner-occupancy covenants, including the rental ban at Walnut Gardens in Cordova, Tennessee).
---</w:t>
      </w:r>
    </w:p>
  </w:footnote>
  <w:footnote w:id="38">
    <w:p>
      <w:pPr>
        <w:pStyle w:val="FootnoteText"/>
      </w:pPr>
      <w:r>
        <w:rPr>
          <w:rStyle w:val="FootnoteReference"/>
          <w:rFonts w:ascii="Garamond" w:hAnsi="Garamond"/>
          <w:sz w:val="20"/>
        </w:rPr>
        <w:footnoteRef/>
      </w:r>
      <w:r>
        <w:rPr>
          <w:rFonts w:ascii="Garamond" w:hAnsi="Garamond"/>
          <w:sz w:val="20"/>
        </w:rPr>
        <w:t xml:space="preserve"> Joshua Coven, Institutional Investors, Single-Family Rentals, and Local Housing Markets (2024) (cited in Progressive Policy Inst., Investment in Single-Family Housing 6 (Feb. 2026), https://www.progressivepolicy.org/publication/investment-in-single-family-housing/) (finding that for every property institutional investors purchased, the number of homes belonging to homeowners fell by 0.22, but total rental supply expanded by 0.5 homes, and that institutional entry decreased rents on net).</w:t>
      </w:r>
    </w:p>
  </w:footnote>
  <w:footnote w:id="39">
    <w:p>
      <w:pPr>
        <w:pStyle w:val="FootnoteText"/>
      </w:pPr>
      <w:r>
        <w:rPr>
          <w:rStyle w:val="FootnoteReference"/>
          <w:rFonts w:ascii="Garamond" w:hAnsi="Garamond"/>
          <w:sz w:val="20"/>
        </w:rPr>
        <w:footnoteRef/>
      </w:r>
      <w:r>
        <w:rPr>
          <w:rFonts w:ascii="Garamond" w:hAnsi="Garamond"/>
          <w:sz w:val="20"/>
        </w:rPr>
        <w:t xml:space="preserve"> See supra note 37.</w:t>
      </w:r>
    </w:p>
  </w:footnote>
  <w:footnote w:id="40">
    <w:p>
      <w:pPr>
        <w:pStyle w:val="FootnoteText"/>
      </w:pPr>
      <w:r>
        <w:rPr>
          <w:rStyle w:val="FootnoteReference"/>
          <w:rFonts w:ascii="Garamond" w:hAnsi="Garamond"/>
          <w:sz w:val="20"/>
        </w:rPr>
        <w:footnoteRef/>
      </w:r>
      <w:r>
        <w:rPr>
          <w:rFonts w:ascii="Garamond" w:hAnsi="Garamond"/>
          <w:sz w:val="20"/>
        </w:rPr>
        <w:t xml:space="preserve"> U.S. Gov't Accountability Off., GAO-24-106643, Rental Housing: Information on Institutional Investment in Single-Family Homes 18-22 (May 2024), https://www.gao.gov/assets/gao-24-106643.pdf (reviewing 74 studies and finding mixed evidence on price, rent, and homeownership effects).</w:t>
      </w:r>
    </w:p>
  </w:footnote>
  <w:footnote w:id="41">
    <w:p>
      <w:pPr>
        <w:pStyle w:val="FootnoteText"/>
      </w:pPr>
      <w:r>
        <w:rPr>
          <w:rStyle w:val="FootnoteReference"/>
          <w:rFonts w:ascii="Garamond" w:hAnsi="Garamond"/>
          <w:sz w:val="20"/>
        </w:rPr>
        <w:footnoteRef/>
      </w:r>
      <w:r>
        <w:rPr>
          <w:rFonts w:ascii="Garamond" w:hAnsi="Garamond"/>
          <w:sz w:val="20"/>
        </w:rPr>
        <w:t xml:space="preserve"> Nat'l Low Income Hous. Coal., Evictions Higher in Single Family Rentals with Large Corporate Owners and Institutional Investors, https://nlihc.org/resource/evictions-higher-single-family-rentals-large-corporate-owners-and-institutional-investors.</w:t>
      </w:r>
    </w:p>
  </w:footnote>
  <w:footnote w:id="42">
    <w:p>
      <w:pPr>
        <w:pStyle w:val="FootnoteText"/>
      </w:pPr>
      <w:r>
        <w:rPr>
          <w:rStyle w:val="FootnoteReference"/>
          <w:rFonts w:ascii="Garamond" w:hAnsi="Garamond"/>
          <w:sz w:val="20"/>
        </w:rPr>
        <w:footnoteRef/>
      </w:r>
      <w:r>
        <w:rPr>
          <w:rFonts w:ascii="Garamond" w:hAnsi="Garamond"/>
          <w:sz w:val="20"/>
        </w:rPr>
        <w:t xml:space="preserve"> H. Select Subcomm. on the Coronavirus Crisis, Press Release, New Select Subcommittee Report Reveals Corporate Landlords Used Abusive Tactics to Evict Struggling Americans During Height of Pandemic (July 28, 2022), https://coronavirus-democrats-oversight.house.gov/.</w:t>
      </w:r>
    </w:p>
  </w:footnote>
  <w:footnote w:id="43">
    <w:p>
      <w:pPr>
        <w:pStyle w:val="FootnoteText"/>
      </w:pPr>
      <w:r>
        <w:rPr>
          <w:rStyle w:val="FootnoteReference"/>
          <w:rFonts w:ascii="Garamond" w:hAnsi="Garamond"/>
          <w:sz w:val="20"/>
        </w:rPr>
        <w:footnoteRef/>
      </w:r>
      <w:r>
        <w:rPr>
          <w:rFonts w:ascii="Garamond" w:hAnsi="Garamond"/>
          <w:sz w:val="20"/>
        </w:rPr>
        <w:t xml:space="preserve"> Hous. Initiative at UPenn, Philadelphia's Corporate Investors 1–15 (Oct. 2025) (finding that high-volume investors in Philadelphia had a 14% eviction filing rate compared to 4% for smaller investors and less than 1% for individual homebuyers).</w:t>
      </w:r>
    </w:p>
  </w:footnote>
  <w:footnote w:id="44">
    <w:p>
      <w:pPr>
        <w:pStyle w:val="FootnoteText"/>
      </w:pPr>
      <w:r>
        <w:rPr>
          <w:rStyle w:val="FootnoteReference"/>
          <w:rFonts w:ascii="Garamond" w:hAnsi="Garamond"/>
          <w:sz w:val="20"/>
        </w:rPr>
        <w:footnoteRef/>
      </w:r>
      <w:r>
        <w:rPr>
          <w:rFonts w:ascii="Garamond" w:hAnsi="Garamond"/>
          <w:sz w:val="20"/>
        </w:rPr>
        <w:t xml:space="preserve"> Katie Fallon, Owen Noble &amp; Kathryn Reynolds, Institutional Owners in Single-Family Rental Properties 1–2, Urban Inst. (Aug. 2023), https://www.urban.org/research/publication/institutional-owners-single-family-rental-properties (finding that institutional SFR operators file evictions more frequently than smaller SFR owners and that the 5 largest institutional investors' top 20 zip codes had a 40.2% Black population versus 13.4% nationally).</w:t>
      </w:r>
    </w:p>
  </w:footnote>
  <w:footnote w:id="45">
    <w:p>
      <w:pPr>
        <w:pStyle w:val="FootnoteText"/>
      </w:pPr>
      <w:r>
        <w:rPr>
          <w:rStyle w:val="FootnoteReference"/>
          <w:rFonts w:ascii="Garamond" w:hAnsi="Garamond"/>
          <w:sz w:val="20"/>
        </w:rPr>
        <w:footnoteRef/>
      </w:r>
      <w:r>
        <w:rPr>
          <w:rFonts w:ascii="Garamond" w:hAnsi="Garamond"/>
          <w:sz w:val="20"/>
        </w:rPr>
        <w:t xml:space="preserve"> Mari, F., A $60 Billion Housing Grab by Wall Street, N.Y. Times (Mar. 4, 2020), https://www.nytimes.com/2020/03/04/magazine/wall-street-landlords.html. See also Conlin, M., Spiders, Sewage and a Flurry of Fees: The Other Side of Renting a House from Wall Street, Reuters (July 27, 2018), https://www.reuters.com/investigates/special-report/usa-housing-invitation/ (finding ancillary fees lifted Invitation Homes' earnings 20 to 30 percent).</w:t>
      </w:r>
    </w:p>
  </w:footnote>
  <w:footnote w:id="46">
    <w:p>
      <w:pPr>
        <w:pStyle w:val="FootnoteText"/>
      </w:pPr>
      <w:r>
        <w:rPr>
          <w:rStyle w:val="FootnoteReference"/>
          <w:rFonts w:ascii="Garamond" w:hAnsi="Garamond"/>
          <w:sz w:val="20"/>
        </w:rPr>
        <w:footnoteRef/>
      </w:r>
      <w:r>
        <w:rPr>
          <w:rFonts w:ascii="Garamond" w:hAnsi="Garamond"/>
          <w:sz w:val="20"/>
        </w:rPr>
        <w:t xml:space="preserve"> See Dep't of Justice, Complaint, United States v. RealPage, Inc., No. 1:24-cv-00710 (M.D.N.C. filed Aug. 23, 2024).</w:t>
      </w:r>
    </w:p>
  </w:footnote>
  <w:footnote w:id="47">
    <w:p>
      <w:pPr>
        <w:pStyle w:val="FootnoteText"/>
      </w:pPr>
      <w:r>
        <w:rPr>
          <w:rStyle w:val="FootnoteReference"/>
          <w:rFonts w:ascii="Garamond" w:hAnsi="Garamond"/>
          <w:sz w:val="20"/>
        </w:rPr>
        <w:footnoteRef/>
      </w:r>
      <w:r>
        <w:rPr>
          <w:rFonts w:ascii="Garamond" w:hAnsi="Garamond"/>
          <w:sz w:val="20"/>
        </w:rPr>
        <w:t xml:space="preserve"> Press Release, Dep't of Justice, Justice Department Requires RealPage to End Sharing Competitively Sensitive Information (Nov. 24, 2025), https://www.justice.gov/opa/pr/justice-department-requires-realpage-end-sharing-competitively-sensitive-information-and.</w:t>
      </w:r>
    </w:p>
  </w:footnote>
  <w:footnote w:id="48">
    <w:p>
      <w:pPr>
        <w:pStyle w:val="FootnoteText"/>
      </w:pPr>
      <w:r>
        <w:rPr>
          <w:rStyle w:val="FootnoteReference"/>
          <w:rFonts w:ascii="Garamond" w:hAnsi="Garamond"/>
          <w:sz w:val="20"/>
        </w:rPr>
        <w:footnoteRef/>
      </w:r>
      <w:r>
        <w:rPr>
          <w:rFonts w:ascii="Garamond" w:hAnsi="Garamond"/>
          <w:sz w:val="20"/>
        </w:rPr>
        <w:t xml:space="preserve"> Stateline, Cities Lead Bans on Algorithmic Rent Hikes as States Lag Behind (Mar. 28, 2025), https://stateline.org/2025/03/28/cities-lead-bans-on-algorithmic-rent-hikes-as-states-lag-behind/.</w:t>
      </w:r>
    </w:p>
  </w:footnote>
  <w:footnote w:id="49">
    <w:p>
      <w:pPr>
        <w:pStyle w:val="FootnoteText"/>
      </w:pPr>
      <w:r>
        <w:rPr>
          <w:rStyle w:val="FootnoteReference"/>
          <w:rFonts w:ascii="Garamond" w:hAnsi="Garamond"/>
          <w:sz w:val="20"/>
        </w:rPr>
        <w:footnoteRef/>
      </w:r>
      <w:r>
        <w:rPr>
          <w:rFonts w:ascii="Garamond" w:hAnsi="Garamond"/>
          <w:sz w:val="20"/>
        </w:rPr>
        <w:t xml:space="preserve"> Abood, M., Wall Street Landlords Turn America Dream into a Nightmare 7 (ACCE Institute 2018) (estimating that institutional acquisition diverts approximately $226,200 in potential homeowner equity per household into investor profits, a practice the report terms "equity mining").</w:t>
      </w:r>
    </w:p>
  </w:footnote>
  <w:footnote w:id="50">
    <w:p>
      <w:pPr>
        <w:pStyle w:val="FootnoteText"/>
      </w:pPr>
      <w:r>
        <w:rPr>
          <w:rStyle w:val="FootnoteReference"/>
          <w:rFonts w:ascii="Garamond" w:hAnsi="Garamond"/>
          <w:sz w:val="20"/>
        </w:rPr>
        <w:footnoteRef/>
      </w:r>
      <w:r>
        <w:rPr>
          <w:rFonts w:ascii="Garamond" w:hAnsi="Garamond"/>
          <w:sz w:val="20"/>
        </w:rPr>
        <w:t xml:space="preserve"> Suzanne Lanyi Charles, The Financialization of Single-Family Rental Housing: An Examination of Real Estate Investment Trusts' Ownership of Single-Family Houses in the Atlanta Metropolitan Area, 42 J. Urb. Aff. 1321, 1322 (2019).</w:t>
      </w:r>
    </w:p>
  </w:footnote>
  <w:footnote w:id="51">
    <w:p>
      <w:pPr>
        <w:pStyle w:val="FootnoteText"/>
      </w:pPr>
      <w:r>
        <w:rPr>
          <w:rStyle w:val="FootnoteReference"/>
          <w:rFonts w:ascii="Garamond" w:hAnsi="Garamond"/>
          <w:sz w:val="20"/>
        </w:rPr>
        <w:footnoteRef/>
      </w:r>
      <w:r>
        <w:rPr>
          <w:rFonts w:ascii="Garamond" w:hAnsi="Garamond"/>
          <w:sz w:val="20"/>
        </w:rPr>
        <w:t xml:space="preserve"> U.S. Census Bureau, New Residential Construction, Permits, Starts, and Completions (2023). See also Joint Ctr. for Hous. Studies of Harv. Univ., State of the Nation's Housing 2022, at 12 (2022) (noting construction material and labor costs doubled from 2001 to 2019).</w:t>
      </w:r>
    </w:p>
  </w:footnote>
  <w:footnote w:id="52">
    <w:p>
      <w:pPr>
        <w:pStyle w:val="FootnoteText"/>
      </w:pPr>
      <w:r>
        <w:rPr>
          <w:rStyle w:val="FootnoteReference"/>
          <w:rFonts w:ascii="Garamond" w:hAnsi="Garamond"/>
          <w:sz w:val="20"/>
        </w:rPr>
        <w:footnoteRef/>
      </w:r>
      <w:r>
        <w:rPr>
          <w:rFonts w:ascii="Garamond" w:hAnsi="Garamond"/>
          <w:sz w:val="20"/>
        </w:rPr>
        <w:t xml:space="preserve"> See Freddie Mac, Housing Supply: A Growing Deficit (2021).</w:t>
      </w:r>
    </w:p>
  </w:footnote>
  <w:footnote w:id="53">
    <w:p>
      <w:pPr>
        <w:pStyle w:val="FootnoteText"/>
      </w:pPr>
      <w:r>
        <w:rPr>
          <w:rStyle w:val="FootnoteReference"/>
          <w:rFonts w:ascii="Garamond" w:hAnsi="Garamond"/>
          <w:sz w:val="20"/>
        </w:rPr>
        <w:footnoteRef/>
      </w:r>
      <w:r>
        <w:rPr>
          <w:rFonts w:ascii="Garamond" w:hAnsi="Garamond"/>
          <w:sz w:val="20"/>
        </w:rPr>
        <w:t xml:space="preserve"> Joint Ctr. for Hous. Studies of Harv. Univ., 8 Facts About Investor Activity in the Single-Family Rental Market 2–6 (July 2023) (reporting that non-individual investors owned 25% of single-family rental properties by 2021, up from 17% in 2001, and that 81,000 single-family rental homes were started in 2022, representing 8% of all single-family starts and an all-time high).</w:t>
      </w:r>
    </w:p>
  </w:footnote>
  <w:footnote w:id="54">
    <w:p>
      <w:pPr>
        <w:pStyle w:val="FootnoteText"/>
      </w:pPr>
      <w:r>
        <w:rPr>
          <w:rStyle w:val="FootnoteReference"/>
          <w:rFonts w:ascii="Garamond" w:hAnsi="Garamond"/>
          <w:sz w:val="20"/>
        </w:rPr>
        <w:footnoteRef/>
      </w:r>
      <w:r>
        <w:rPr>
          <w:rFonts w:ascii="Garamond" w:hAnsi="Garamond"/>
          <w:sz w:val="20"/>
        </w:rPr>
        <w:t xml:space="preserve"> How Institutional Landlords Are Changing the Housing Market: Hearing Before the S. Comm. on Banking, Hous., &amp; Urban Affairs, 117th Cong. (Feb. 10, 2022), https://www.congress.gov/117/chrg/CHRG-117shrg52881/CHRG-117shrg52881.pdf (testimony of Michael Waller, Georgia Appleseed Center for Law and Justice; Tobias Peter, American Enterprise Institute; and Sally Martin, Cleveland Housing Court, among others).</w:t>
      </w:r>
    </w:p>
  </w:footnote>
  <w:footnote w:id="55">
    <w:p>
      <w:pPr>
        <w:pStyle w:val="FootnoteText"/>
      </w:pPr>
      <w:r>
        <w:rPr>
          <w:rStyle w:val="FootnoteReference"/>
          <w:rFonts w:ascii="Garamond" w:hAnsi="Garamond"/>
          <w:sz w:val="20"/>
        </w:rPr>
        <w:footnoteRef/>
      </w:r>
      <w:r>
        <w:rPr>
          <w:rFonts w:ascii="Garamond" w:hAnsi="Garamond"/>
          <w:sz w:val="20"/>
        </w:rPr>
        <w:t xml:space="preserve"> Where Have All the Houses Gone? Private Equity, Single Family Rentals, and America's Neighborhoods: Hearing Before the Subcomm. on Oversight &amp; Investigations of the H. Comm. on Fin. Servs., 117th Cong. (June 28, 2022), https://www.congress.gov/117/chrg/CHRG-117hhrg48334/CHRG-117hhrg48334.pdf.</w:t>
      </w:r>
    </w:p>
  </w:footnote>
  <w:footnote w:id="56">
    <w:p>
      <w:pPr>
        <w:pStyle w:val="FootnoteText"/>
      </w:pPr>
      <w:r>
        <w:rPr>
          <w:rStyle w:val="FootnoteReference"/>
          <w:rFonts w:ascii="Garamond" w:hAnsi="Garamond"/>
          <w:sz w:val="20"/>
        </w:rPr>
        <w:footnoteRef/>
      </w:r>
      <w:r>
        <w:rPr>
          <w:rFonts w:ascii="Garamond" w:hAnsi="Garamond"/>
          <w:sz w:val="20"/>
        </w:rPr>
        <w:t xml:space="preserve"> White House, Blueprint for a Renters Bill of Rights (Jan. 2023), https://www.whitehouse.gov/wp-content/uploads/2023/01/White-House-Blueprint-for-a-Renters-Bill-of-Rights.pdf.</w:t>
      </w:r>
    </w:p>
  </w:footnote>
  <w:footnote w:id="57">
    <w:p>
      <w:pPr>
        <w:pStyle w:val="FootnoteText"/>
      </w:pPr>
      <w:r>
        <w:rPr>
          <w:rStyle w:val="FootnoteReference"/>
          <w:rFonts w:ascii="Garamond" w:hAnsi="Garamond"/>
          <w:sz w:val="20"/>
        </w:rPr>
        <w:footnoteRef/>
      </w:r>
      <w:r>
        <w:rPr>
          <w:rFonts w:ascii="Garamond" w:hAnsi="Garamond"/>
          <w:sz w:val="20"/>
        </w:rPr>
        <w:t xml:space="preserve"> See supra note 46.</w:t>
      </w:r>
    </w:p>
  </w:footnote>
  <w:footnote w:id="58">
    <w:p>
      <w:pPr>
        <w:pStyle w:val="FootnoteText"/>
      </w:pPr>
      <w:r>
        <w:rPr>
          <w:rStyle w:val="FootnoteReference"/>
          <w:rFonts w:ascii="Garamond" w:hAnsi="Garamond"/>
          <w:sz w:val="20"/>
        </w:rPr>
        <w:footnoteRef/>
      </w:r>
      <w:r>
        <w:rPr>
          <w:rFonts w:ascii="Garamond" w:hAnsi="Garamond"/>
          <w:sz w:val="20"/>
        </w:rPr>
        <w:t xml:space="preserve"> Fed. Trade Comm'n, Press Release, FTC Takes Action Against Invitation Homes for Deceptive Junk Fees, Misleading Tenants, Failing to Maintain Properties, and Wrongfully Withholding Security Deposits (Sept. 12, 2024) (imposing a $48 million fine).</w:t>
      </w:r>
    </w:p>
  </w:footnote>
  <w:footnote w:id="59">
    <w:p>
      <w:pPr>
        <w:pStyle w:val="FootnoteText"/>
      </w:pPr>
      <w:r>
        <w:rPr>
          <w:rStyle w:val="FootnoteReference"/>
          <w:rFonts w:ascii="Garamond" w:hAnsi="Garamond"/>
          <w:sz w:val="20"/>
        </w:rPr>
        <w:footnoteRef/>
      </w:r>
      <w:r>
        <w:rPr>
          <w:rFonts w:ascii="Garamond" w:hAnsi="Garamond"/>
          <w:sz w:val="20"/>
        </w:rPr>
        <w:t xml:space="preserve"> Press Release, Fed. Trade Comm'n, Greystar Agrees to Pay $24 Million to Stop Deceptive Advertising Practices (Dec. 2025), https://www.ftc.gov/news-events/news/press-releases/2025/12/greystar-agrees-pay-24-million-stop-deceptive-advertising-practices-result-ftc-colorado-lawsuit.</w:t>
      </w:r>
    </w:p>
  </w:footnote>
  <w:footnote w:id="60">
    <w:p>
      <w:pPr>
        <w:pStyle w:val="FootnoteText"/>
      </w:pPr>
      <w:r>
        <w:rPr>
          <w:rStyle w:val="FootnoteReference"/>
          <w:rFonts w:ascii="Garamond" w:hAnsi="Garamond"/>
          <w:sz w:val="20"/>
        </w:rPr>
        <w:footnoteRef/>
      </w:r>
      <w:r>
        <w:rPr>
          <w:rFonts w:ascii="Garamond" w:hAnsi="Garamond"/>
          <w:sz w:val="20"/>
        </w:rPr>
        <w:t xml:space="preserve"> Press Release, Minn. Att'y Gen., Attorney General Ellison Reaches Landmark Settlement with Single-Family Rental-Home Landlords (Mar. 15, 2024), https://www.ag.state.mn.us/Office/Communications/2024/03/15_HavenBrookHomes.asp.</w:t>
      </w:r>
    </w:p>
  </w:footnote>
  <w:footnote w:id="61">
    <w:p>
      <w:pPr>
        <w:pStyle w:val="FootnoteText"/>
      </w:pPr>
      <w:r>
        <w:rPr>
          <w:rStyle w:val="FootnoteReference"/>
          <w:rFonts w:ascii="Garamond" w:hAnsi="Garamond"/>
          <w:sz w:val="20"/>
        </w:rPr>
        <w:footnoteRef/>
      </w:r>
      <w:r>
        <w:rPr>
          <w:rFonts w:ascii="Garamond" w:hAnsi="Garamond"/>
          <w:sz w:val="20"/>
        </w:rPr>
        <w:t xml:space="preserve"> Id. The settlement also required compliance with habitability terms, early lease termination rights, $1,000 per household relocation assistance, and return of security deposits with interest.</w:t>
      </w:r>
    </w:p>
  </w:footnote>
  <w:footnote w:id="62">
    <w:p>
      <w:pPr>
        <w:pStyle w:val="FootnoteText"/>
      </w:pPr>
      <w:r>
        <w:rPr>
          <w:rStyle w:val="FootnoteReference"/>
          <w:rFonts w:ascii="Garamond" w:hAnsi="Garamond"/>
          <w:sz w:val="20"/>
        </w:rPr>
        <w:footnoteRef/>
      </w:r>
      <w:r>
        <w:rPr>
          <w:rFonts w:ascii="Garamond" w:hAnsi="Garamond"/>
          <w:sz w:val="20"/>
        </w:rPr>
        <w:t xml:space="preserve"> Id.; See also Private Equity Stakeholder Project, Progress Residential Must Pay Minnesota Tenants Millions in Restitution, Debt Forgiveness (Apr. 2024), https://pestakeholder.org/news/progress-residential-to-pay-mn-tenants-millions/.</w:t>
      </w:r>
    </w:p>
  </w:footnote>
  <w:footnote w:id="63">
    <w:p>
      <w:pPr>
        <w:pStyle w:val="FootnoteText"/>
      </w:pPr>
      <w:r>
        <w:rPr>
          <w:rStyle w:val="FootnoteReference"/>
          <w:rFonts w:ascii="Garamond" w:hAnsi="Garamond"/>
          <w:sz w:val="20"/>
        </w:rPr>
        <w:footnoteRef/>
      </w:r>
      <w:r>
        <w:rPr>
          <w:rFonts w:ascii="Garamond" w:hAnsi="Garamond"/>
          <w:sz w:val="20"/>
        </w:rPr>
        <w:t xml:space="preserve"> Press Release, Cal. Att'y Gen., Attorney General Bonta Announces $3.7 Million Settlement with Invitation Homes for Unlawful Rent Increases (Jan. 2024), https://oag.ca.gov/system/files/attachments/press-docs/Complaint%20%28People%20v.%20Invitation%20Homes%29.pdf.</w:t>
      </w:r>
    </w:p>
  </w:footnote>
  <w:footnote w:id="64">
    <w:p>
      <w:pPr>
        <w:pStyle w:val="FootnoteText"/>
      </w:pPr>
      <w:r>
        <w:rPr>
          <w:rStyle w:val="FootnoteReference"/>
          <w:rFonts w:ascii="Garamond" w:hAnsi="Garamond"/>
          <w:sz w:val="20"/>
        </w:rPr>
        <w:footnoteRef/>
      </w:r>
      <w:r>
        <w:rPr>
          <w:rFonts w:ascii="Garamond" w:hAnsi="Garamond"/>
          <w:sz w:val="20"/>
        </w:rPr>
        <w:t xml:space="preserve"> Am. Enter. Inst., Institutional Investors in the U.S. Housing Market: Myths and Realities (Aug. 2025), https://www.aei.org/research-products/report/institutional-investors-in-the-u-s-housing-market-myths-and-realities/ (documenting that lawmakers in at least 22 states introduced institutional investor legislation in 2025).</w:t>
      </w:r>
    </w:p>
  </w:footnote>
  <w:footnote w:id="65">
    <w:p>
      <w:pPr>
        <w:pStyle w:val="FootnoteText"/>
      </w:pPr>
      <w:r>
        <w:rPr>
          <w:rStyle w:val="FootnoteReference"/>
          <w:rFonts w:ascii="Garamond" w:hAnsi="Garamond"/>
          <w:sz w:val="20"/>
        </w:rPr>
        <w:footnoteRef/>
      </w:r>
      <w:r>
        <w:rPr>
          <w:rFonts w:ascii="Garamond" w:hAnsi="Garamond"/>
          <w:sz w:val="20"/>
        </w:rPr>
        <w:t xml:space="preserve"> S.B. 1079, 2019-2020 Leg., Reg. Sess. (Cal. 2020), https://leginfo.legislature.ca.gov/faces/billNavClient.xhtml?bill_id=201920200SB1079.</w:t>
      </w:r>
    </w:p>
  </w:footnote>
  <w:footnote w:id="66">
    <w:p>
      <w:pPr>
        <w:pStyle w:val="FootnoteText"/>
      </w:pPr>
      <w:r>
        <w:rPr>
          <w:rStyle w:val="FootnoteReference"/>
          <w:rFonts w:ascii="Garamond" w:hAnsi="Garamond"/>
          <w:sz w:val="20"/>
        </w:rPr>
        <w:footnoteRef/>
      </w:r>
      <w:r>
        <w:rPr>
          <w:rFonts w:ascii="Garamond" w:hAnsi="Garamond"/>
          <w:sz w:val="20"/>
        </w:rPr>
        <w:t xml:space="preserve"> A.B. A3009C, N.Y. Assemb. (N.Y. 2025), https://www.nysenate.gov/legislation/bills/2025/A3009/amendment/C.</w:t>
      </w:r>
    </w:p>
  </w:footnote>
  <w:footnote w:id="67">
    <w:p>
      <w:pPr>
        <w:pStyle w:val="FootnoteText"/>
      </w:pPr>
      <w:r>
        <w:rPr>
          <w:rStyle w:val="FootnoteReference"/>
          <w:rFonts w:ascii="Garamond" w:hAnsi="Garamond"/>
          <w:sz w:val="20"/>
        </w:rPr>
        <w:footnoteRef/>
      </w:r>
      <w:r>
        <w:rPr>
          <w:rFonts w:ascii="Garamond" w:hAnsi="Garamond"/>
          <w:sz w:val="20"/>
        </w:rPr>
        <w:t xml:space="preserve"> H.B. 399, 2025-2026 Gen. Assemb., Reg. Sess. (Ga. 2025), https://legiscan.com/GA/bill/HB399/2025.</w:t>
      </w:r>
    </w:p>
  </w:footnote>
  <w:footnote w:id="68">
    <w:p>
      <w:pPr>
        <w:pStyle w:val="FootnoteText"/>
      </w:pPr>
      <w:r>
        <w:rPr>
          <w:rStyle w:val="FootnoteReference"/>
          <w:rFonts w:ascii="Garamond" w:hAnsi="Garamond"/>
          <w:sz w:val="20"/>
        </w:rPr>
        <w:footnoteRef/>
      </w:r>
      <w:r>
        <w:rPr>
          <w:rFonts w:ascii="Garamond" w:hAnsi="Garamond"/>
          <w:sz w:val="20"/>
        </w:rPr>
        <w:t xml:space="preserve"> S.B. 17, 89th Leg., Reg. Sess. (Tex. 2025), https://capitol.texas.gov/tlodocs/89R/billtext/html/SB00017S.htm.</w:t>
      </w:r>
    </w:p>
  </w:footnote>
  <w:footnote w:id="69">
    <w:p>
      <w:pPr>
        <w:pStyle w:val="FootnoteText"/>
      </w:pPr>
      <w:r>
        <w:rPr>
          <w:rStyle w:val="FootnoteReference"/>
          <w:rFonts w:ascii="Garamond" w:hAnsi="Garamond"/>
          <w:sz w:val="20"/>
        </w:rPr>
        <w:footnoteRef/>
      </w:r>
      <w:r>
        <w:rPr>
          <w:rFonts w:ascii="Garamond" w:hAnsi="Garamond"/>
          <w:sz w:val="20"/>
        </w:rPr>
        <w:t xml:space="preserve"> City of Carmel, Ind., Rental Cap Ordinance (June 3, 2025).</w:t>
      </w:r>
    </w:p>
  </w:footnote>
  <w:footnote w:id="70">
    <w:p>
      <w:pPr>
        <w:pStyle w:val="FootnoteText"/>
      </w:pPr>
      <w:r>
        <w:rPr>
          <w:rStyle w:val="FootnoteReference"/>
          <w:rFonts w:ascii="Garamond" w:hAnsi="Garamond"/>
          <w:sz w:val="20"/>
        </w:rPr>
        <w:footnoteRef/>
      </w:r>
      <w:r>
        <w:rPr>
          <w:rFonts w:ascii="Garamond" w:hAnsi="Garamond"/>
          <w:sz w:val="20"/>
        </w:rPr>
        <w:t xml:space="preserve"> Clayton Cnty., Ga., Ordinance 2021-67 (Apr. 6, 2021), https://www.claytoncountyga.gov/press-release/code-amendment-approved-to-regulate-rental-or-leasing-of-single-family-subdivisions/.</w:t>
      </w:r>
    </w:p>
  </w:footnote>
  <w:footnote w:id="71">
    <w:p>
      <w:pPr>
        <w:pStyle w:val="FootnoteText"/>
      </w:pPr>
      <w:r>
        <w:rPr>
          <w:rStyle w:val="FootnoteReference"/>
          <w:rFonts w:ascii="Garamond" w:hAnsi="Garamond"/>
          <w:sz w:val="20"/>
        </w:rPr>
        <w:footnoteRef/>
      </w:r>
      <w:r>
        <w:rPr>
          <w:rFonts w:ascii="Garamond" w:hAnsi="Garamond"/>
          <w:sz w:val="20"/>
        </w:rPr>
        <w:t xml:space="preserve"> Cherokee Cnty., Ga., Ordinance No. 2022-O-005 (Feb. 15, 2022), https://www.cherokeecountyga.gov/_resources/Ordinance-2022O005-Amending-Residential-Development-Standards-February-15-2022.pdf.</w:t>
      </w:r>
    </w:p>
  </w:footnote>
  <w:footnote w:id="72">
    <w:p>
      <w:pPr>
        <w:pStyle w:val="FootnoteText"/>
      </w:pPr>
      <w:r>
        <w:rPr>
          <w:rStyle w:val="FootnoteReference"/>
          <w:rFonts w:ascii="Garamond" w:hAnsi="Garamond"/>
          <w:sz w:val="20"/>
        </w:rPr>
        <w:footnoteRef/>
      </w:r>
      <w:r>
        <w:rPr>
          <w:rFonts w:ascii="Garamond" w:hAnsi="Garamond"/>
          <w:sz w:val="20"/>
        </w:rPr>
        <w:t xml:space="preserve"> Forsyth Cnty., Ga., UDC Amendment, CUP for Build to Rent (July 26, 2022), https://www.forsythco.com/Portals/0/Documents/CommunityDevelopment/UDC%20Ordinance%20Changes/2022%20UDC%20Modifications/2022-07-26%20UDC%20Amendment%20RE%20Establishment%20of%20CUP%20for%20Build%20to%20Rent%20(revised).pdf.</w:t>
      </w:r>
    </w:p>
  </w:footnote>
  <w:footnote w:id="73">
    <w:p>
      <w:pPr>
        <w:pStyle w:val="FootnoteText"/>
      </w:pPr>
      <w:r>
        <w:rPr>
          <w:rStyle w:val="FootnoteReference"/>
          <w:rFonts w:ascii="Garamond" w:hAnsi="Garamond"/>
          <w:sz w:val="20"/>
        </w:rPr>
        <w:footnoteRef/>
      </w:r>
      <w:r>
        <w:rPr>
          <w:rFonts w:ascii="Garamond" w:hAnsi="Garamond"/>
          <w:sz w:val="20"/>
        </w:rPr>
        <w:t xml:space="preserve"> See supra note 37.</w:t>
      </w:r>
    </w:p>
  </w:footnote>
  <w:footnote w:id="74">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1001(b)(1) (2026), enrolled text at https://www.congress.gov/119/bills/hr6644/BILLS-119hr6644enr.pdf; the Senate vehicle was S. 2651, 119th Cong. (2026), https://www.congress.gov/bill/119th-congress/senate-bill/2651/text; See also Multifamily Dive, Senate Passes Housing Bill with Single-Family Rental Forced Sale Provision (Mar. 2026), https://www.multifamilydive.com/news/senate-passes-housing-bill-sfr-forced-sale-provision/814605/.</w:t>
      </w:r>
    </w:p>
  </w:footnote>
  <w:footnote w:id="75">
    <w:p>
      <w:pPr>
        <w:pStyle w:val="FootnoteText"/>
      </w:pPr>
      <w:r>
        <w:rPr>
          <w:rStyle w:val="FootnoteReference"/>
          <w:rFonts w:ascii="Garamond" w:hAnsi="Garamond"/>
          <w:sz w:val="20"/>
        </w:rPr>
        <w:footnoteRef/>
      </w:r>
      <w:r>
        <w:rPr>
          <w:rFonts w:ascii="Garamond" w:hAnsi="Garamond"/>
          <w:sz w:val="20"/>
        </w:rPr>
        <w:t xml:space="preserve"> 172 Cong. Rec. S888–S895 (daily ed. Mar. 5, 2026) (statement of Sen. Warnock introducing S.A. 4343, the "Homes Are For People, Not Corporations" amendment to H.R. 6644, defining "large institutional investor" as any entity with an interest in 350 or more single-family homes, prohibiting such entities from purchasing additional single-family homes, requiring divestiture to individual homebuyers within seven years, granting existing tenants a right of first refusal, and imposing civil penalties up to $1 million or three times the purchase price per violation).</w:t>
      </w:r>
    </w:p>
  </w:footnote>
  <w:footnote w:id="76">
    <w:p>
      <w:pPr>
        <w:pStyle w:val="FootnoteText"/>
      </w:pPr>
      <w:r>
        <w:rPr>
          <w:rStyle w:val="FootnoteReference"/>
          <w:rFonts w:ascii="Garamond" w:hAnsi="Garamond"/>
          <w:sz w:val="20"/>
        </w:rPr>
        <w:footnoteRef/>
      </w:r>
      <w:r>
        <w:rPr>
          <w:rFonts w:ascii="Garamond" w:hAnsi="Garamond"/>
          <w:sz w:val="20"/>
        </w:rPr>
        <w:t xml:space="preserve"> Joseph V. Gatti &amp; Alice S. Hrdy, Congress Limits Institutional Acquisition of Single-Family Homes, Morgan Lewis LawFlash (July 7, 2026), https://www.morganlewis.com/pubs/2026/07/congress-limits-institutional-acquisition-of-single-family-homes. Reporting the enacted definitions ("large institutional investor" = investment control of 350 or more single-family homes, with attribution through ownership, general-partner or managing-member status, or investment-manager or adviser role; "single-family home" = a structure of two or fewer dwelling units for a single household, excluding manufactured homes; "purchase" = a transfer through merger, acquisition, or bulk purchase), the enumerated exceptions (new construction, build-to-rent, renovate-to-rent, rent-to-own, and homeownership programs, plus debt-collection, loss-mitigation, and inter-investor transfers), the absence of any divestment requirement for pre-enactment homes, the Treasury-led rulemaking (with HUD, FHA, and SEC), and the timeline (Congress passed the bill June 23, 2026; presentment June 29, 2026; ten-day signing window). A secondary law-firm client alert; pin substantive points to the enrolled bill before filing.</w:t>
      </w:r>
    </w:p>
  </w:footnote>
  <w:footnote w:id="77">
    <w:p>
      <w:pPr>
        <w:pStyle w:val="FootnoteText"/>
      </w:pPr>
      <w:r>
        <w:rPr>
          <w:rStyle w:val="FootnoteReference"/>
          <w:rFonts w:ascii="Garamond" w:hAnsi="Garamond"/>
          <w:sz w:val="20"/>
        </w:rPr>
        <w:footnoteRef/>
      </w:r>
      <w:r>
        <w:rPr>
          <w:rFonts w:ascii="Garamond" w:hAnsi="Garamond"/>
          <w:sz w:val="20"/>
        </w:rPr>
        <w:t xml:space="preserve"> See supra note 76.</w:t>
      </w:r>
    </w:p>
  </w:footnote>
  <w:footnote w:id="78">
    <w:p>
      <w:pPr>
        <w:pStyle w:val="FootnoteText"/>
      </w:pPr>
      <w:r>
        <w:rPr>
          <w:rStyle w:val="FootnoteReference"/>
          <w:rFonts w:ascii="Garamond" w:hAnsi="Garamond"/>
          <w:sz w:val="20"/>
        </w:rPr>
        <w:footnoteRef/>
      </w:r>
      <w:r>
        <w:rPr>
          <w:rFonts w:ascii="Garamond" w:hAnsi="Garamond"/>
          <w:sz w:val="20"/>
        </w:rPr>
        <w:t xml:space="preserve"> See supra note 76.</w:t>
      </w:r>
    </w:p>
  </w:footnote>
  <w:footnote w:id="79">
    <w:p>
      <w:pPr>
        <w:pStyle w:val="FootnoteText"/>
      </w:pPr>
      <w:r>
        <w:rPr>
          <w:rStyle w:val="FootnoteReference"/>
          <w:rFonts w:ascii="Garamond" w:hAnsi="Garamond"/>
          <w:sz w:val="20"/>
        </w:rPr>
        <w:footnoteRef/>
      </w:r>
      <w:r>
        <w:rPr>
          <w:rFonts w:ascii="Garamond" w:hAnsi="Garamond"/>
          <w:sz w:val="20"/>
        </w:rPr>
        <w:t xml:space="preserve"> 21st Century ROAD to Housing Act, H.R. 6644 (as amended by Senate), 119th Cong. (2026); Laurel Wamsley, Senate Passes Bipartisan Housing Bill Targeting Large Investors and Easing Regulations, NPR (Mar. 12, 2026), https://www.npr.org/2026/03/12/nx-s1-5742566/senate-bipartisan-housing-bill-investors-ban.</w:t>
      </w:r>
    </w:p>
  </w:footnote>
  <w:footnote w:id="80">
    <w:p>
      <w:pPr>
        <w:pStyle w:val="FootnoteText"/>
      </w:pPr>
      <w:r>
        <w:rPr>
          <w:rStyle w:val="FootnoteReference"/>
          <w:rFonts w:ascii="Garamond" w:hAnsi="Garamond"/>
          <w:sz w:val="20"/>
        </w:rPr>
        <w:footnoteRef/>
      </w:r>
      <w:r>
        <w:rPr>
          <w:rFonts w:ascii="Garamond" w:hAnsi="Garamond"/>
          <w:sz w:val="20"/>
        </w:rPr>
        <w:t xml:space="preserve"> See supra note 10.</w:t>
      </w:r>
    </w:p>
  </w:footnote>
  <w:footnote w:id="81">
    <w:p>
      <w:pPr>
        <w:pStyle w:val="FootnoteText"/>
      </w:pPr>
      <w:r>
        <w:rPr>
          <w:rStyle w:val="FootnoteReference"/>
          <w:rFonts w:ascii="Garamond" w:hAnsi="Garamond"/>
          <w:sz w:val="20"/>
        </w:rPr>
        <w:footnoteRef/>
      </w:r>
      <w:r>
        <w:rPr>
          <w:rFonts w:ascii="Garamond" w:hAnsi="Garamond"/>
          <w:sz w:val="20"/>
        </w:rPr>
        <w:t xml:space="preserve"> See supra note 76.</w:t>
      </w:r>
    </w:p>
  </w:footnote>
  <w:footnote w:id="82">
    <w:p>
      <w:pPr>
        <w:pStyle w:val="FootnoteText"/>
      </w:pPr>
      <w:r>
        <w:rPr>
          <w:rStyle w:val="FootnoteReference"/>
          <w:rFonts w:ascii="Garamond" w:hAnsi="Garamond"/>
          <w:sz w:val="20"/>
        </w:rPr>
        <w:footnoteRef/>
      </w:r>
      <w:r>
        <w:rPr>
          <w:rFonts w:ascii="Garamond" w:hAnsi="Garamond"/>
          <w:sz w:val="20"/>
        </w:rPr>
        <w:t xml:space="preserve"> See supra note 10.</w:t>
      </w:r>
    </w:p>
  </w:footnote>
  <w:footnote w:id="83">
    <w:p>
      <w:pPr>
        <w:pStyle w:val="FootnoteText"/>
      </w:pPr>
      <w:r>
        <w:rPr>
          <w:rStyle w:val="FootnoteReference"/>
          <w:rFonts w:ascii="Garamond" w:hAnsi="Garamond"/>
          <w:sz w:val="20"/>
        </w:rPr>
        <w:footnoteRef/>
      </w:r>
      <w:r>
        <w:rPr>
          <w:rFonts w:ascii="Garamond" w:hAnsi="Garamond"/>
          <w:sz w:val="20"/>
        </w:rPr>
        <w:t xml:space="preserve"> See supra note 8.</w:t>
      </w:r>
    </w:p>
  </w:footnote>
  <w:footnote w:id="84">
    <w:p>
      <w:pPr>
        <w:pStyle w:val="FootnoteText"/>
      </w:pPr>
      <w:r>
        <w:rPr>
          <w:rStyle w:val="FootnoteReference"/>
          <w:rFonts w:ascii="Garamond" w:hAnsi="Garamond"/>
          <w:sz w:val="20"/>
        </w:rPr>
        <w:footnoteRef/>
      </w:r>
      <w:r>
        <w:rPr>
          <w:rFonts w:ascii="Garamond" w:hAnsi="Garamond"/>
          <w:sz w:val="20"/>
        </w:rPr>
        <w:t xml:space="preserve"> See supra note 76.</w:t>
      </w:r>
    </w:p>
  </w:footnote>
  <w:footnote w:id="85">
    <w:p>
      <w:pPr>
        <w:pStyle w:val="FootnoteText"/>
      </w:pPr>
      <w:r>
        <w:rPr>
          <w:rStyle w:val="FootnoteReference"/>
          <w:rFonts w:ascii="Garamond" w:hAnsi="Garamond"/>
          <w:sz w:val="20"/>
        </w:rPr>
        <w:footnoteRef/>
      </w:r>
      <w:r>
        <w:rPr>
          <w:rFonts w:ascii="Garamond" w:hAnsi="Garamond"/>
          <w:sz w:val="20"/>
        </w:rPr>
        <w:t xml:space="preserve"> Exec. Order, Promoting Access to Mortgage Credit (Mar. 13, 2026), https://www.whitehouse.gov/presidential-actions/2026/03/promoting-access-to-mortgage-credit/; White House, Fact Sheet: President Donald J. Trump Promotes Access to Mortgage Credit (Mar. 13, 2026), https://www.whitehouse.gov/fact-sheets/2026/03/fact-sheet-president-donald-j-trump-promotes-access-to-mortgage-credit/.</w:t>
      </w:r>
    </w:p>
  </w:footnote>
  <w:footnote w:id="86">
    <w:p>
      <w:pPr>
        <w:pStyle w:val="FootnoteText"/>
      </w:pPr>
      <w:r>
        <w:rPr>
          <w:rStyle w:val="FootnoteReference"/>
          <w:rFonts w:ascii="Garamond" w:hAnsi="Garamond"/>
          <w:sz w:val="20"/>
        </w:rPr>
        <w:footnoteRef/>
      </w:r>
      <w:r>
        <w:rPr>
          <w:rFonts w:ascii="Garamond" w:hAnsi="Garamond"/>
          <w:sz w:val="20"/>
        </w:rPr>
        <w:t xml:space="preserve"> Exec. Order, Removing Regulatory Barriers to Affordable Home Construction (Mar. 13, 2026); White House, Fact Sheet: President Donald J. Trump Removes Regulatory Barriers to Affordable Home Construction (Mar. 13, 2026), https://www.whitehouse.gov/fact-sheets/2026/03/fact-sheet-president-donald-j-trump-removes-regulatory-barriers-to-affordable-home-construction/.</w:t>
      </w:r>
    </w:p>
  </w:footnote>
  <w:footnote w:id="87">
    <w:p>
      <w:pPr>
        <w:pStyle w:val="FootnoteText"/>
      </w:pPr>
      <w:r>
        <w:rPr>
          <w:rStyle w:val="FootnoteReference"/>
          <w:rFonts w:ascii="Garamond" w:hAnsi="Garamond"/>
          <w:sz w:val="20"/>
        </w:rPr>
        <w:footnoteRef/>
      </w:r>
      <w:r>
        <w:rPr>
          <w:rFonts w:ascii="Garamond" w:hAnsi="Garamond"/>
          <w:sz w:val="20"/>
        </w:rPr>
        <w:t xml:space="preserve"> See supra note 76.</w:t>
      </w:r>
    </w:p>
  </w:footnote>
  <w:footnote w:id="88">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1001(a)(2)(C) (2026) (renovate-to-rent: substantial rehabilitation of a home that does not meet structural or core-system elements of local building codes, (a)(2)(C)(i), and improvements of not less than 15 percent of the purchase price, (a)(2)(C)(ii)), enrolled text at https://www.congress.gov/119/bills/hr6644/BILLS-119hr6644enr.pdf.</w:t>
      </w:r>
    </w:p>
  </w:footnote>
  <w:footnote w:id="89">
    <w:p>
      <w:pPr>
        <w:pStyle w:val="FootnoteText"/>
      </w:pPr>
      <w:r>
        <w:rPr>
          <w:rStyle w:val="FootnoteReference"/>
          <w:rFonts w:ascii="Garamond" w:hAnsi="Garamond"/>
          <w:sz w:val="20"/>
        </w:rPr>
        <w:footnoteRef/>
      </w:r>
      <w:r>
        <w:rPr>
          <w:rFonts w:ascii="Garamond" w:hAnsi="Garamond"/>
          <w:sz w:val="20"/>
        </w:rPr>
        <w:t xml:space="preserve"> See supra note 76.</w:t>
      </w:r>
    </w:p>
  </w:footnote>
  <w:footnote w:id="90">
    <w:p>
      <w:pPr>
        <w:pStyle w:val="FootnoteText"/>
      </w:pPr>
      <w:r>
        <w:rPr>
          <w:rStyle w:val="FootnoteReference"/>
          <w:rFonts w:ascii="Garamond" w:hAnsi="Garamond"/>
          <w:sz w:val="20"/>
        </w:rPr>
        <w:footnoteRef/>
      </w:r>
      <w:r>
        <w:rPr>
          <w:rFonts w:ascii="Garamond" w:hAnsi="Garamond"/>
          <w:sz w:val="20"/>
        </w:rPr>
        <w:t xml:space="preserve"> U.S. Census Bureau, Survey of Construction: Definitions, https://www.census.gov/construction/soc/definitions.html.</w:t>
      </w:r>
    </w:p>
  </w:footnote>
  <w:footnote w:id="91">
    <w:p>
      <w:pPr>
        <w:pStyle w:val="FootnoteText"/>
      </w:pPr>
      <w:r>
        <w:rPr>
          <w:rStyle w:val="FootnoteReference"/>
          <w:rFonts w:ascii="Garamond" w:hAnsi="Garamond"/>
          <w:sz w:val="20"/>
        </w:rPr>
        <w:footnoteRef/>
      </w:r>
      <w:r>
        <w:rPr>
          <w:rFonts w:ascii="Garamond" w:hAnsi="Garamond"/>
          <w:sz w:val="20"/>
        </w:rPr>
        <w:t xml:space="preserve"> Chilton et al., supra note 28, at 96.</w:t>
      </w:r>
    </w:p>
  </w:footnote>
  <w:footnote w:id="92">
    <w:p>
      <w:pPr>
        <w:pStyle w:val="FootnoteText"/>
      </w:pPr>
      <w:r>
        <w:rPr>
          <w:rStyle w:val="FootnoteReference"/>
          <w:rFonts w:ascii="Garamond" w:hAnsi="Garamond"/>
          <w:sz w:val="20"/>
        </w:rPr>
        <w:footnoteRef/>
      </w:r>
      <w:r>
        <w:rPr>
          <w:rFonts w:ascii="Garamond" w:hAnsi="Garamond"/>
          <w:sz w:val="20"/>
        </w:rPr>
        <w:t xml:space="preserve"> See supra note 91.</w:t>
      </w:r>
    </w:p>
  </w:footnote>
  <w:footnote w:id="93">
    <w:p>
      <w:pPr>
        <w:pStyle w:val="FootnoteText"/>
      </w:pPr>
      <w:r>
        <w:rPr>
          <w:rStyle w:val="FootnoteReference"/>
          <w:rFonts w:ascii="Garamond" w:hAnsi="Garamond"/>
          <w:sz w:val="20"/>
        </w:rPr>
        <w:footnoteRef/>
      </w:r>
      <w:r>
        <w:rPr>
          <w:rFonts w:ascii="Garamond" w:hAnsi="Garamond"/>
          <w:sz w:val="20"/>
        </w:rPr>
        <w:t xml:space="preserve"> Charles, supra note 4, at 1331–33.</w:t>
      </w:r>
    </w:p>
  </w:footnote>
  <w:footnote w:id="94">
    <w:p>
      <w:pPr>
        <w:pStyle w:val="FootnoteText"/>
      </w:pPr>
      <w:r>
        <w:rPr>
          <w:rStyle w:val="FootnoteReference"/>
          <w:rFonts w:ascii="Garamond" w:hAnsi="Garamond"/>
          <w:sz w:val="20"/>
        </w:rPr>
        <w:footnoteRef/>
      </w:r>
      <w:r>
        <w:rPr>
          <w:rFonts w:ascii="Garamond" w:hAnsi="Garamond"/>
          <w:sz w:val="20"/>
        </w:rPr>
        <w:t xml:space="preserve"> See supra note 17.</w:t>
      </w:r>
    </w:p>
  </w:footnote>
  <w:footnote w:id="95">
    <w:p>
      <w:pPr>
        <w:pStyle w:val="FootnoteText"/>
      </w:pPr>
      <w:r>
        <w:rPr>
          <w:rStyle w:val="FootnoteReference"/>
          <w:rFonts w:ascii="Garamond" w:hAnsi="Garamond"/>
          <w:sz w:val="20"/>
        </w:rPr>
        <w:footnoteRef/>
      </w:r>
      <w:r>
        <w:rPr>
          <w:rFonts w:ascii="Garamond" w:hAnsi="Garamond"/>
          <w:sz w:val="20"/>
        </w:rPr>
        <w:t xml:space="preserve"> See supra note 75.</w:t>
      </w:r>
    </w:p>
  </w:footnote>
  <w:footnote w:id="96">
    <w:p>
      <w:pPr>
        <w:pStyle w:val="FootnoteText"/>
      </w:pPr>
      <w:r>
        <w:rPr>
          <w:rStyle w:val="FootnoteReference"/>
          <w:rFonts w:ascii="Garamond" w:hAnsi="Garamond"/>
          <w:sz w:val="20"/>
        </w:rPr>
        <w:footnoteRef/>
      </w:r>
      <w:r>
        <w:rPr>
          <w:rFonts w:ascii="Garamond" w:hAnsi="Garamond"/>
          <w:sz w:val="20"/>
        </w:rPr>
        <w:t xml:space="preserve"> Laurie Goodman, Amalie Zinn, Kathryn Reynolds &amp; Owen Noble, A Profile of Institutional Investor-Owned Single-Family Rental Properties 1–14, Urban Inst. (Apr. 2023), https://www.urban.org/research/publication/profile-institutional-investor-owned-single-family-rental-properties.</w:t>
      </w:r>
    </w:p>
  </w:footnote>
  <w:footnote w:id="97">
    <w:p>
      <w:pPr>
        <w:pStyle w:val="FootnoteText"/>
      </w:pPr>
      <w:r>
        <w:rPr>
          <w:rStyle w:val="FootnoteReference"/>
          <w:rFonts w:ascii="Garamond" w:hAnsi="Garamond"/>
          <w:sz w:val="20"/>
        </w:rPr>
        <w:footnoteRef/>
      </w:r>
      <w:r>
        <w:rPr>
          <w:rFonts w:ascii="Garamond" w:hAnsi="Garamond"/>
          <w:sz w:val="20"/>
        </w:rPr>
        <w:t xml:space="preserve"> GAO-24-106643, supra note 95, at 37–38 &amp; fig.6 (reporting that as of June 2022, institutional investors with more than 1,000 homes owned 10,560 single-family rental properties in the Nashville-Davidson-Murfreesboro-Franklin MSA, representing 11.4% of the single-family rental market, based on GAO analysis of Urban Institute data).</w:t>
      </w:r>
    </w:p>
  </w:footnote>
  <w:footnote w:id="98">
    <w:p>
      <w:pPr>
        <w:pStyle w:val="FootnoteText"/>
      </w:pPr>
      <w:r>
        <w:rPr>
          <w:rStyle w:val="FootnoteReference"/>
          <w:rFonts w:ascii="Garamond" w:hAnsi="Garamond"/>
          <w:sz w:val="20"/>
        </w:rPr>
        <w:footnoteRef/>
      </w:r>
      <w:r>
        <w:rPr>
          <w:rFonts w:ascii="Garamond" w:hAnsi="Garamond"/>
          <w:sz w:val="20"/>
        </w:rPr>
        <w:t xml:space="preserve"> Austin Harrison, Dan Immergluck &amp; Jeff Walker, Single-Family Rental (SFR) Investor Types, Property Conditions, and Implications for Urban Neighbourhoods: Evidence from Memphis, Tennessee, 40 Hous. Stud. 466 (2025), https://doi.org/10.1080/02673037.2024.2307589.
note ss2021: Mikhail Samarin &amp; Madhuri Sharma, Rent Burden Determinants in Hot and Cold Housing Markets of Davidson and Shelby Counties, Tennessee, 52 Growth &amp; Change 1608 (2021), https://doi.org/10.1111/grow.12496 (mapping distinct spatial patterns of rent burden across the two largest Tennessee counties and modeling its determinants by census tract).</w:t>
      </w:r>
    </w:p>
  </w:footnote>
  <w:footnote w:id="99">
    <w:p>
      <w:pPr>
        <w:pStyle w:val="FootnoteText"/>
      </w:pPr>
      <w:r>
        <w:rPr>
          <w:rStyle w:val="FootnoteReference"/>
          <w:rFonts w:ascii="Garamond" w:hAnsi="Garamond"/>
          <w:sz w:val="20"/>
        </w:rPr>
        <w:footnoteRef/>
      </w:r>
      <w:r>
        <w:rPr>
          <w:rFonts w:ascii="Garamond" w:hAnsi="Garamond"/>
          <w:sz w:val="20"/>
        </w:rPr>
        <w:t xml:space="preserve"> Entity-owned count from the live Davidson cadastral query, https://maps.nashville.gov/arcgis/rest/services/Cadastral/Cadastral_Layers/MapServer/4 (205,933 framework parcels; 16,615 with a business-entity token in the owner name after removing government and trusts; 42,631 non-owner-occupied). Named-operator count from the series' operator crosswalk of July 22, 2026 (3,940 parcels held by national single-family rental operators; the all-operator-attributed set of 4,626 adds builders, build-to-rent platforms, and land bankers), Part I, Appendix Table A1.
New markers introduced in this draft (define on assembly):</w:t>
      </w:r>
    </w:p>
  </w:footnote>
  <w:footnote w:id="100">
    <w:p>
      <w:pPr>
        <w:pStyle w:val="FootnoteText"/>
      </w:pPr>
      <w:r>
        <w:rPr>
          <w:rStyle w:val="FootnoteReference"/>
          <w:rFonts w:ascii="Garamond" w:hAnsi="Garamond"/>
          <w:sz w:val="20"/>
        </w:rPr>
        <w:footnoteRef/>
      </w:r>
      <w:r>
        <w:rPr>
          <w:rFonts w:ascii="Garamond" w:hAnsi="Garamond"/>
          <w:sz w:val="20"/>
        </w:rPr>
        <w:t xml:space="preserve"> Amherst Capital Mgmt., U.S. Single-Family Rental: Institutional Activity in 2016/2017 (Aug. 2017) (early institutional buyers concentrated in Western and Southeastern distressed markets in the early 2010s, led by Invitation Homes and the Colony, Starwood, and Waypoint operators; Phoenix ranked second among institutional markets through 2015 before falling out of the top ten as distressed inventory thinned; Nashville-Davidson-Murfreesboro-Franklin drew 811 institutional purchases in 2016, 56 percent of them by Progress Residential).</w:t>
      </w:r>
    </w:p>
  </w:footnote>
  <w:footnote w:id="101">
    <w:p>
      <w:pPr>
        <w:pStyle w:val="FootnoteText"/>
      </w:pPr>
      <w:r>
        <w:rPr>
          <w:rStyle w:val="FootnoteReference"/>
          <w:rFonts w:ascii="Garamond" w:hAnsi="Garamond"/>
          <w:sz w:val="20"/>
        </w:rPr>
        <w:footnoteRef/>
      </w:r>
      <w:r>
        <w:rPr>
          <w:rFonts w:ascii="Garamond" w:hAnsi="Garamond"/>
          <w:sz w:val="20"/>
        </w:rPr>
        <w:t xml:space="preserve"> See supra note 100.</w:t>
      </w:r>
    </w:p>
  </w:footnote>
  <w:footnote w:id="102">
    <w:p>
      <w:pPr>
        <w:pStyle w:val="FootnoteText"/>
      </w:pPr>
      <w:r>
        <w:rPr>
          <w:rStyle w:val="FootnoteReference"/>
          <w:rFonts w:ascii="Garamond" w:hAnsi="Garamond"/>
          <w:sz w:val="20"/>
        </w:rPr>
        <w:footnoteRef/>
      </w:r>
      <w:r>
        <w:rPr>
          <w:rFonts w:ascii="Garamond" w:hAnsi="Garamond"/>
          <w:sz w:val="20"/>
        </w:rPr>
        <w:t xml:space="preserve"> Chilton et al., supra note 24, at 97–99 (finding that by 2015, SFR REITs owned approximately 2,970 homes in the Nashville metropolitan area, with concentrations in Rutherford County (0.91% of SFR stock), Williamson County (0.83%), and Wilson County (1.17%), predominantly suburban areas outside Davidson County's urban core).</w:t>
      </w:r>
    </w:p>
  </w:footnote>
  <w:footnote w:id="103">
    <w:p>
      <w:pPr>
        <w:pStyle w:val="FootnoteText"/>
      </w:pPr>
      <w:r>
        <w:rPr>
          <w:rStyle w:val="FootnoteReference"/>
          <w:rFonts w:ascii="Garamond" w:hAnsi="Garamond"/>
          <w:sz w:val="20"/>
        </w:rPr>
        <w:footnoteRef/>
      </w:r>
      <w:r>
        <w:rPr>
          <w:rFonts w:ascii="Garamond" w:hAnsi="Garamond"/>
          <w:sz w:val="20"/>
        </w:rPr>
        <w:t xml:space="preserve"> See supra note 100.</w:t>
      </w:r>
    </w:p>
  </w:footnote>
  <w:footnote w:id="104">
    <w:p>
      <w:pPr>
        <w:pStyle w:val="FootnoteText"/>
      </w:pPr>
      <w:r>
        <w:rPr>
          <w:rStyle w:val="FootnoteReference"/>
          <w:rFonts w:ascii="Garamond" w:hAnsi="Garamond"/>
          <w:sz w:val="20"/>
        </w:rPr>
        <w:footnoteRef/>
      </w:r>
      <w:r>
        <w:rPr>
          <w:rFonts w:ascii="Garamond" w:hAnsi="Garamond"/>
          <w:sz w:val="20"/>
        </w:rPr>
        <w:t xml:space="preserve"> Arik, supra note 99, at 2–3 (finding that American Homes 4 Rent was the most active institutional investor in Davidson County from 2018 to 2022, acquiring over 800 single-family homes, nearly 500 of which were purchased in 2020 alone; Progress Residential followed with 661 purchases concentrated in 2018 and 2019; seven large investors with more than 100 homes each accounted for over half of approximately 4,000 investor purchases during the five-year period).</w:t>
      </w:r>
    </w:p>
  </w:footnote>
  <w:footnote w:id="105">
    <w:p>
      <w:pPr>
        <w:pStyle w:val="FootnoteText"/>
      </w:pPr>
      <w:r>
        <w:rPr>
          <w:rStyle w:val="FootnoteReference"/>
          <w:rFonts w:ascii="Garamond" w:hAnsi="Garamond"/>
          <w:sz w:val="20"/>
        </w:rPr>
        <w:footnoteRef/>
      </w:r>
      <w:r>
        <w:rPr>
          <w:rFonts w:ascii="Garamond" w:hAnsi="Garamond"/>
          <w:sz w:val="20"/>
        </w:rPr>
        <w:t xml:space="preserve"> See supra note 104.</w:t>
      </w:r>
    </w:p>
  </w:footnote>
  <w:footnote w:id="106">
    <w:p>
      <w:pPr>
        <w:pStyle w:val="FootnoteText"/>
      </w:pPr>
      <w:r>
        <w:rPr>
          <w:rStyle w:val="FootnoteReference"/>
          <w:rFonts w:ascii="Garamond" w:hAnsi="Garamond"/>
          <w:sz w:val="20"/>
        </w:rPr>
        <w:footnoteRef/>
      </w:r>
      <w:r>
        <w:rPr>
          <w:rFonts w:ascii="Garamond" w:hAnsi="Garamond"/>
          <w:sz w:val="20"/>
        </w:rPr>
        <w:t xml:space="preserve"> Arik, supra note 99, at 3–4 (finding that investor-purchased detached homes in Davidson County were smaller, of lower quality, and appraised at lower values: median appraisal of $296,000 for investor-purchased homes compared to $507,000 for owner-occupied homes).</w:t>
      </w:r>
    </w:p>
  </w:footnote>
  <w:footnote w:id="107">
    <w:p>
      <w:pPr>
        <w:pStyle w:val="FootnoteText"/>
      </w:pPr>
      <w:r>
        <w:rPr>
          <w:rStyle w:val="FootnoteReference"/>
          <w:rFonts w:ascii="Garamond" w:hAnsi="Garamond"/>
          <w:sz w:val="20"/>
        </w:rPr>
        <w:footnoteRef/>
      </w:r>
      <w:r>
        <w:rPr>
          <w:rFonts w:ascii="Garamond" w:hAnsi="Garamond"/>
          <w:sz w:val="20"/>
        </w:rPr>
        <w:t xml:space="preserve"> See supra note 12.</w:t>
      </w:r>
    </w:p>
  </w:footnote>
  <w:footnote w:id="108">
    <w:p>
      <w:pPr>
        <w:pStyle w:val="FootnoteText"/>
      </w:pPr>
      <w:r>
        <w:rPr>
          <w:rStyle w:val="FootnoteReference"/>
          <w:rFonts w:ascii="Garamond" w:hAnsi="Garamond"/>
          <w:sz w:val="20"/>
        </w:rPr>
        <w:footnoteRef/>
      </w:r>
      <w:r>
        <w:rPr>
          <w:rFonts w:ascii="Garamond" w:hAnsi="Garamond"/>
          <w:sz w:val="20"/>
        </w:rPr>
        <w:t xml:space="preserve"> See supra note 97.</w:t>
      </w:r>
    </w:p>
  </w:footnote>
  <w:footnote w:id="109">
    <w:p>
      <w:pPr>
        <w:pStyle w:val="FootnoteText"/>
      </w:pPr>
      <w:r>
        <w:rPr>
          <w:rStyle w:val="FootnoteReference"/>
          <w:rFonts w:ascii="Garamond" w:hAnsi="Garamond"/>
          <w:sz w:val="20"/>
        </w:rPr>
        <w:footnoteRef/>
      </w:r>
      <w:r>
        <w:rPr>
          <w:rFonts w:ascii="Garamond" w:hAnsi="Garamond"/>
          <w:sz w:val="20"/>
        </w:rPr>
        <w:t xml:space="preserve"> Int'l Consortium of Investigative Journalists &amp; Wash. Post, How a Billion-Dollar Housing Bet Upended a Tennessee Neighborhood (Dec. 15, 2021), https://www.icij.org/investigations/pandora-papers/how-a-billion-dollar-housing-bet-upended-a-tennessee-neighborhood/ (nineteen of the thirty-two homes on Tammy Sue Lane bought over six years by the Progress Residential venture, which acquires as many as 2,000 houses a month through a property-search algorithm and rapid all-cash offers). Tammy Sue Lane is in La Vergne, Rutherford County, outside Davidson County.</w:t>
      </w:r>
    </w:p>
  </w:footnote>
  <w:footnote w:id="110">
    <w:p>
      <w:pPr>
        <w:pStyle w:val="FootnoteText"/>
      </w:pPr>
      <w:r>
        <w:rPr>
          <w:rStyle w:val="FootnoteReference"/>
          <w:rFonts w:ascii="Garamond" w:hAnsi="Garamond"/>
          <w:sz w:val="20"/>
        </w:rPr>
        <w:footnoteRef/>
      </w:r>
      <w:r>
        <w:rPr>
          <w:rFonts w:ascii="Garamond" w:hAnsi="Garamond"/>
          <w:sz w:val="20"/>
        </w:rPr>
        <w:t xml:space="preserve"> Invitation Homes Inc., Press Release, Invitation Homes Sells 708 Homes to Tricon Residential (2023). See also Tenn. Hous. Dev. Agency, An Analysis of Investor Purchases of Single-Family Homes in Davidson County, 2018–2022 (May 2024).</w:t>
      </w:r>
    </w:p>
  </w:footnote>
  <w:footnote w:id="111">
    <w:p>
      <w:pPr>
        <w:pStyle w:val="FootnoteText"/>
      </w:pPr>
      <w:r>
        <w:rPr>
          <w:rStyle w:val="FootnoteReference"/>
          <w:rFonts w:ascii="Garamond" w:hAnsi="Garamond"/>
          <w:sz w:val="20"/>
        </w:rPr>
        <w:footnoteRef/>
      </w:r>
      <w:r>
        <w:rPr>
          <w:rFonts w:ascii="Garamond" w:hAnsi="Garamond"/>
          <w:sz w:val="20"/>
        </w:rPr>
        <w:t xml:space="preserve"> Spencer Woodman, Margot Gibbs &amp; Peter Whoriskey, How a Billion Dollar Housing Bet Upended a Tennessee Neighborhood, Int'l Consortium of Investigative Journalists (Dec. 15, 2021), https://www.icij.org/investigations/pandora-papers/how-a-billion-dollar-housing-bet-upended-a-tennessee-neighborhood/.</w:t>
      </w:r>
    </w:p>
  </w:footnote>
  <w:footnote w:id="112">
    <w:p>
      <w:pPr>
        <w:pStyle w:val="FootnoteText"/>
      </w:pPr>
      <w:r>
        <w:rPr>
          <w:rStyle w:val="FootnoteReference"/>
          <w:rFonts w:ascii="Garamond" w:hAnsi="Garamond"/>
          <w:sz w:val="20"/>
        </w:rPr>
        <w:footnoteRef/>
      </w:r>
      <w:r>
        <w:rPr>
          <w:rFonts w:ascii="Garamond" w:hAnsi="Garamond"/>
          <w:sz w:val="20"/>
        </w:rPr>
        <w:t xml:space="preserve"> See supra note 109.</w:t>
      </w:r>
    </w:p>
  </w:footnote>
  <w:footnote w:id="113">
    <w:p>
      <w:pPr>
        <w:pStyle w:val="FootnoteText"/>
      </w:pPr>
      <w:r>
        <w:rPr>
          <w:rStyle w:val="FootnoteReference"/>
          <w:rFonts w:ascii="Garamond" w:hAnsi="Garamond"/>
          <w:sz w:val="20"/>
        </w:rPr>
        <w:footnoteRef/>
      </w:r>
      <w:r>
        <w:rPr>
          <w:rFonts w:ascii="Garamond" w:hAnsi="Garamond"/>
          <w:sz w:val="20"/>
        </w:rPr>
        <w:t xml:space="preserve"> Private Equity Stakeholder Project, Progress Residential Preys on Renters as It Buys Up Homes in Tennessee and the U.S. South (Apr. 2023), https://pestakeholder.org/wp-content/uploads/2023/04/PESP_Report_NRHC_Progress_April2023_final-1.pdf.</w:t>
      </w:r>
    </w:p>
  </w:footnote>
  <w:footnote w:id="114">
    <w:p>
      <w:pPr>
        <w:pStyle w:val="FootnoteText"/>
      </w:pPr>
      <w:r>
        <w:rPr>
          <w:rStyle w:val="FootnoteReference"/>
          <w:rFonts w:ascii="Garamond" w:hAnsi="Garamond"/>
          <w:sz w:val="20"/>
        </w:rPr>
        <w:footnoteRef/>
      </w:r>
      <w:r>
        <w:rPr>
          <w:rFonts w:ascii="Garamond" w:hAnsi="Garamond"/>
          <w:sz w:val="20"/>
        </w:rPr>
        <w:t xml:space="preserve"> H.B. 2210 / S.B. 2490, 113th Tenn. Gen. Assembly (2024) ("End Hedge Fund Control of Tennessee Homes Act"), https://trackbill.com/bill/tennessee-senate-bill-2490-business-organizations-as-introduced-enacts-the-end-hedge-fund-control-of-tennessee-homes-act-amends-tca-title-4-title-13-title-47-title-48-title-62-title-66-and-title-67/2502819/.</w:t>
      </w:r>
    </w:p>
  </w:footnote>
  <w:footnote w:id="115">
    <w:p>
      <w:pPr>
        <w:pStyle w:val="FootnoteText"/>
      </w:pPr>
      <w:r>
        <w:rPr>
          <w:rStyle w:val="FootnoteReference"/>
          <w:rFonts w:ascii="Garamond" w:hAnsi="Garamond"/>
          <w:sz w:val="20"/>
        </w:rPr>
        <w:footnoteRef/>
      </w:r>
      <w:r>
        <w:rPr>
          <w:rFonts w:ascii="Garamond" w:hAnsi="Garamond"/>
          <w:sz w:val="20"/>
        </w:rPr>
        <w:t xml:space="preserve"> S.B. 242 / H.B. 298, 114th Tenn. Gen. Assembly (2025) ("Homes Not Hedge Funds Act"), https://www.capitol.tn.gov/Bills/114/Bill/SB0242.pdf.</w:t>
      </w:r>
    </w:p>
  </w:footnote>
  <w:footnote w:id="116">
    <w:p>
      <w:pPr>
        <w:pStyle w:val="FootnoteText"/>
      </w:pPr>
      <w:r>
        <w:rPr>
          <w:rStyle w:val="FootnoteReference"/>
          <w:rFonts w:ascii="Garamond" w:hAnsi="Garamond"/>
          <w:sz w:val="20"/>
        </w:rPr>
        <w:footnoteRef/>
      </w:r>
      <w:r>
        <w:rPr>
          <w:rFonts w:ascii="Garamond" w:hAnsi="Garamond"/>
          <w:sz w:val="20"/>
        </w:rPr>
        <w:t xml:space="preserve"> See Sen. Charlane Oliver, The Homes Not Hedge Fund Act Has Passed in Senate, Substack (Mar. 9, 2025), https://senatorcharlaneoliver.substack.com/p/the-homes-not-hedge-fund-act-has (reporting 31-1 Senate vote).</w:t>
      </w:r>
    </w:p>
  </w:footnote>
  <w:footnote w:id="117">
    <w:p>
      <w:pPr>
        <w:pStyle w:val="FootnoteText"/>
      </w:pPr>
      <w:r>
        <w:rPr>
          <w:rStyle w:val="FootnoteReference"/>
          <w:rFonts w:ascii="Garamond" w:hAnsi="Garamond"/>
          <w:sz w:val="20"/>
        </w:rPr>
        <w:footnoteRef/>
      </w:r>
      <w:r>
        <w:rPr>
          <w:rFonts w:ascii="Garamond" w:hAnsi="Garamond"/>
          <w:sz w:val="20"/>
        </w:rPr>
        <w:t xml:space="preserve"> See 'Homes Not Hedge Funds' Bill Fails in Tennessee State House, Chattanooga Times Free Press (Mar. 15, 2025), https://www.timesfreepress.com/news/2025/mar/15/homes-not-hedge-funds-bill-fails-in-tennessee/; see also Senate Unites to Pass Affordable Housing Bill, House Democrat Kills It, Tennessee Star (Mar. 2025), https://www.yahoo.com/news/articles/senate-unites-pass-affordable-housing-184335711.html.</w:t>
      </w:r>
    </w:p>
  </w:footnote>
  <w:footnote w:id="118">
    <w:p>
      <w:pPr>
        <w:pStyle w:val="FootnoteText"/>
      </w:pPr>
      <w:r>
        <w:rPr>
          <w:rStyle w:val="FootnoteReference"/>
          <w:rFonts w:ascii="Garamond" w:hAnsi="Garamond"/>
          <w:sz w:val="20"/>
        </w:rPr>
        <w:footnoteRef/>
      </w:r>
      <w:r>
        <w:rPr>
          <w:rFonts w:ascii="Garamond" w:hAnsi="Garamond"/>
          <w:sz w:val="20"/>
        </w:rPr>
        <w:t xml:space="preserve"> U.S. Dep't of Hous. &amp; Urban Dev. &amp; U.S. Census Bureau, Residential Construction Permits by County (HUD GIS, State of the Cities Data Systems, updated Nov. 16, 2023, published July 29, 2025), https://hudgis-hud.opendata.arcgis.com/datasets/HUD::residential-construction-permits-by-county/explore (Davidson County ranked 25th nationally in 2014, 22nd in 2015, 19th in 2016, 31st in 2017, 34th in 2018, 16th in 2019, 9th in 2020, 12th in 2021, and 13th in 2022).</w:t>
      </w:r>
    </w:p>
  </w:footnote>
  <w:footnote w:id="119">
    <w:p>
      <w:pPr>
        <w:pStyle w:val="FootnoteText"/>
      </w:pPr>
      <w:r>
        <w:rPr>
          <w:rStyle w:val="FootnoteReference"/>
          <w:rFonts w:ascii="Garamond" w:hAnsi="Garamond"/>
          <w:sz w:val="20"/>
        </w:rPr>
        <w:footnoteRef/>
      </w:r>
      <w:r>
        <w:rPr>
          <w:rFonts w:ascii="Garamond" w:hAnsi="Garamond"/>
          <w:sz w:val="20"/>
        </w:rPr>
        <w:t xml:space="preserve"> U.S. Census Bureau, Building Permits Survey, Davidson County, Tenn. (annual, 1990-2025) (author's compilation of single-family, two-family, three-to-four-unit, and five-or-more-unit permits; Davidson County permitted 16,310 units in 2021, including 12,164 in structures of five or more units, and single-family permits peaked at 4,105; five-or-more-unit permits fell from 11,246 in 2022 to 4,138 in 2024, and single-family permits to 2,722), https://www.census.gov/construction/bps/.</w:t>
      </w:r>
    </w:p>
  </w:footnote>
  <w:footnote w:id="120">
    <w:p>
      <w:pPr>
        <w:pStyle w:val="FootnoteText"/>
      </w:pPr>
      <w:r>
        <w:rPr>
          <w:rStyle w:val="FootnoteReference"/>
          <w:rFonts w:ascii="Garamond" w:hAnsi="Garamond"/>
          <w:sz w:val="20"/>
        </w:rPr>
        <w:footnoteRef/>
      </w:r>
      <w:r>
        <w:rPr>
          <w:rFonts w:ascii="Garamond" w:hAnsi="Garamond"/>
          <w:sz w:val="20"/>
        </w:rPr>
        <w:t xml:space="preserve"> See supra note 119.</w:t>
      </w:r>
    </w:p>
  </w:footnote>
  <w:footnote w:id="121">
    <w:p>
      <w:pPr>
        <w:pStyle w:val="FootnoteText"/>
      </w:pPr>
      <w:r>
        <w:rPr>
          <w:rStyle w:val="FootnoteReference"/>
          <w:rFonts w:ascii="Garamond" w:hAnsi="Garamond"/>
          <w:sz w:val="20"/>
        </w:rPr>
        <w:footnoteRef/>
      </w:r>
      <w:r>
        <w:rPr>
          <w:rFonts w:ascii="Garamond" w:hAnsi="Garamond"/>
          <w:sz w:val="20"/>
        </w:rPr>
        <w:t xml:space="preserve"> Anca Gagiuc, After Supply Surge, Nashville Navigates Transition, Multihousing News (Apr. 15, 2026), https://www.multihousingnews.com/what-nashville-renters-see-as-supply-peaks-fade/ (Yardi Matrix data: Nashville multifamily deliveries peaked at 14,723 units in 2024; average advertised asking rent fell 1.2 percent year over year to $1,642 in February 2026; stabilized occupancy 93.7 percent, below the healthy threshold). Secondary industry source; treat as directional pending a primary Metro figure.</w:t>
      </w:r>
    </w:p>
  </w:footnote>
  <w:footnote w:id="122">
    <w:p>
      <w:pPr>
        <w:pStyle w:val="FootnoteText"/>
      </w:pPr>
      <w:r>
        <w:rPr>
          <w:rStyle w:val="FootnoteReference"/>
          <w:rFonts w:ascii="Garamond" w:hAnsi="Garamond"/>
          <w:sz w:val="20"/>
        </w:rPr>
        <w:footnoteRef/>
      </w:r>
      <w:r>
        <w:rPr>
          <w:rFonts w:ascii="Garamond" w:hAnsi="Garamond"/>
          <w:sz w:val="20"/>
        </w:rPr>
        <w:t xml:space="preserve"> Zillow Research, New Construction Homes Sell at a Discount Relative to Existing Homes (2024), https://www.zillow.com/research/new-con-existing-price-34235/; see also In the Nashville Area, New Houses Are Cheaper per Square Foot than Old Ones, Axios Nashville (Aug. 14, 2024), https://www.axios.com/local/nashville/2024/08/14/nashville-new-home-prices (Nashville metropolitan-area new homes selling for $7.10 less per square foot than existing homes, per Zillow; Davidson County new homes $288 per square foot against $267 for existing, per Greater Nashville Realtors data).</w:t>
      </w:r>
    </w:p>
  </w:footnote>
  <w:footnote w:id="123">
    <w:p>
      <w:pPr>
        <w:pStyle w:val="FootnoteText"/>
      </w:pPr>
      <w:r>
        <w:rPr>
          <w:rStyle w:val="FootnoteReference"/>
          <w:rFonts w:ascii="Garamond" w:hAnsi="Garamond"/>
          <w:sz w:val="20"/>
        </w:rPr>
        <w:footnoteRef/>
      </w:r>
      <w:r>
        <w:rPr>
          <w:rFonts w:ascii="Garamond" w:hAnsi="Garamond"/>
          <w:sz w:val="20"/>
        </w:rPr>
        <w:t xml:space="preserve"> See supra note 122.</w:t>
      </w:r>
    </w:p>
  </w:footnote>
  <w:footnote w:id="124">
    <w:p>
      <w:pPr>
        <w:pStyle w:val="FootnoteText"/>
      </w:pPr>
      <w:r>
        <w:rPr>
          <w:rStyle w:val="FootnoteReference"/>
          <w:rFonts w:ascii="Garamond" w:hAnsi="Garamond"/>
          <w:sz w:val="20"/>
        </w:rPr>
        <w:footnoteRef/>
      </w:r>
      <w:r>
        <w:rPr>
          <w:rFonts w:ascii="Garamond" w:hAnsi="Garamond"/>
          <w:sz w:val="20"/>
        </w:rPr>
        <w:t xml:space="preserve"> Id. at 25 (calculating affordability gap using Zillow Home Value Index and American Community Survey median household income data).</w:t>
      </w:r>
    </w:p>
  </w:footnote>
  <w:footnote w:id="125">
    <w:p>
      <w:pPr>
        <w:pStyle w:val="FootnoteText"/>
      </w:pPr>
      <w:r>
        <w:rPr>
          <w:rStyle w:val="FootnoteReference"/>
          <w:rFonts w:ascii="Garamond" w:hAnsi="Garamond"/>
          <w:sz w:val="20"/>
        </w:rPr>
        <w:footnoteRef/>
      </w:r>
      <w:r>
        <w:rPr>
          <w:rFonts w:ascii="Garamond" w:hAnsi="Garamond"/>
          <w:sz w:val="20"/>
        </w:rPr>
        <w:t xml:space="preserve"> Id. at 30 (citing American Community Survey 2023 1-Year Estimates).</w:t>
      </w:r>
    </w:p>
  </w:footnote>
  <w:footnote w:id="126">
    <w:p>
      <w:pPr>
        <w:pStyle w:val="FootnoteText"/>
      </w:pPr>
      <w:r>
        <w:rPr>
          <w:rStyle w:val="FootnoteReference"/>
          <w:rFonts w:ascii="Garamond" w:hAnsi="Garamond"/>
          <w:sz w:val="20"/>
        </w:rPr>
        <w:footnoteRef/>
      </w:r>
      <w:r>
        <w:rPr>
          <w:rFonts w:ascii="Garamond" w:hAnsi="Garamond"/>
          <w:sz w:val="20"/>
        </w:rPr>
        <w:t xml:space="preserve"> Id. at 31 (citing American Community Survey 2023 data on cost burden by race and ethnicity).</w:t>
      </w:r>
    </w:p>
  </w:footnote>
  <w:footnote w:id="127">
    <w:p>
      <w:pPr>
        <w:pStyle w:val="FootnoteText"/>
      </w:pPr>
      <w:r>
        <w:rPr>
          <w:rStyle w:val="FootnoteReference"/>
          <w:rFonts w:ascii="Garamond" w:hAnsi="Garamond"/>
          <w:sz w:val="20"/>
        </w:rPr>
        <w:footnoteRef/>
      </w:r>
      <w:r>
        <w:rPr>
          <w:rFonts w:ascii="Garamond" w:hAnsi="Garamond"/>
          <w:sz w:val="20"/>
        </w:rPr>
        <w:t xml:space="preserve"> Id. at 19-23 (identifying need for 90,000 new homes over ten years, 175,000 projected population growth, 20,000 affordable units at 60% AMI, and pattern of underestimated growth forecasts).</w:t>
      </w:r>
    </w:p>
  </w:footnote>
  <w:footnote w:id="128">
    <w:p>
      <w:pPr>
        <w:pStyle w:val="FootnoteText"/>
      </w:pPr>
      <w:r>
        <w:rPr>
          <w:rStyle w:val="FootnoteReference"/>
          <w:rFonts w:ascii="Garamond" w:hAnsi="Garamond"/>
          <w:sz w:val="20"/>
        </w:rPr>
        <w:footnoteRef/>
      </w:r>
      <w:r>
        <w:rPr>
          <w:rFonts w:ascii="Garamond" w:hAnsi="Garamond"/>
          <w:sz w:val="20"/>
        </w:rPr>
        <w:t xml:space="preserve"> See supra note 126.</w:t>
      </w:r>
    </w:p>
  </w:footnote>
  <w:footnote w:id="129">
    <w:p>
      <w:pPr>
        <w:pStyle w:val="FootnoteText"/>
      </w:pPr>
      <w:r>
        <w:rPr>
          <w:rStyle w:val="FootnoteReference"/>
          <w:rFonts w:ascii="Garamond" w:hAnsi="Garamond"/>
          <w:sz w:val="20"/>
        </w:rPr>
        <w:footnoteRef/>
      </w:r>
      <w:r>
        <w:rPr>
          <w:rFonts w:ascii="Garamond" w:hAnsi="Garamond"/>
          <w:sz w:val="20"/>
        </w:rPr>
        <w:t xml:space="preserve"> Acts 2006, ch. 800, § 1 (eff. July 1, 2006) (codified at Tenn. Code Ann. § 66-28-107); see Tenn. Code Ann. § 66-28-107, https://law.justia.com/codes/tennessee/title-66/chapter-28/part-1/section-66-28-107/.</w:t>
      </w:r>
    </w:p>
  </w:footnote>
  <w:footnote w:id="130">
    <w:p>
      <w:pPr>
        <w:pStyle w:val="FootnoteText"/>
      </w:pPr>
      <w:r>
        <w:rPr>
          <w:rStyle w:val="FootnoteReference"/>
          <w:rFonts w:ascii="Garamond" w:hAnsi="Garamond"/>
          <w:sz w:val="20"/>
        </w:rPr>
        <w:footnoteRef/>
      </w:r>
      <w:r>
        <w:rPr>
          <w:rFonts w:ascii="Garamond" w:hAnsi="Garamond"/>
          <w:sz w:val="20"/>
        </w:rPr>
        <w:t xml:space="preserve"> See supra note 129.</w:t>
      </w:r>
    </w:p>
  </w:footnote>
  <w:footnote w:id="131">
    <w:p>
      <w:pPr>
        <w:pStyle w:val="FootnoteText"/>
      </w:pPr>
      <w:r>
        <w:rPr>
          <w:rStyle w:val="FootnoteReference"/>
          <w:rFonts w:ascii="Garamond" w:hAnsi="Garamond"/>
          <w:sz w:val="20"/>
        </w:rPr>
        <w:footnoteRef/>
      </w:r>
      <w:r>
        <w:rPr>
          <w:rFonts w:ascii="Garamond" w:hAnsi="Garamond"/>
          <w:sz w:val="20"/>
        </w:rPr>
        <w:t xml:space="preserve"> Tenn. Code Ann. § 66-28-107(c) (2024), https://law.justia.com/codes/tennessee/title-66/chapter-28/part-1/section-66-28-107/ (limiting the section to a county with a metropolitan form of government and a population exceeding 500,000).</w:t>
      </w:r>
    </w:p>
  </w:footnote>
  <w:footnote w:id="132">
    <w:p>
      <w:pPr>
        <w:pStyle w:val="FootnoteText"/>
      </w:pPr>
      <w:r>
        <w:rPr>
          <w:rStyle w:val="FootnoteReference"/>
          <w:rFonts w:ascii="Garamond" w:hAnsi="Garamond"/>
          <w:sz w:val="20"/>
        </w:rPr>
        <w:footnoteRef/>
      </w:r>
      <w:r>
        <w:rPr>
          <w:rFonts w:ascii="Garamond" w:hAnsi="Garamond"/>
          <w:sz w:val="20"/>
        </w:rPr>
        <w:t xml:space="preserve"> 2014 Tenn. Pub. Acts ch. 845, §§ 1–5 (eff. Apr. 28, 2014) (became law without the governor's signature). Section 1 rewrote subsec. (a)(1)(A) to require a physical address that "does not include a post office box"; section 2 added subsec. (a)(3) requiring notice of a change of ownership within thirty days; sections 3 and 4 conformed the fine and hearing provisions in subsec. (b) to reach a failure to report a change of ownership. See Tenn. Code Ann. § 66-28-107 (historical and statutory notes), https://law.justia.com/codes/tennessee/title-66/chapter-28/part-1/section-66-28-107/.</w:t>
      </w:r>
    </w:p>
  </w:footnote>
  <w:footnote w:id="133">
    <w:p>
      <w:pPr>
        <w:pStyle w:val="FootnoteText"/>
      </w:pPr>
      <w:r>
        <w:rPr>
          <w:rStyle w:val="FootnoteReference"/>
          <w:rFonts w:ascii="Garamond" w:hAnsi="Garamond"/>
          <w:sz w:val="20"/>
        </w:rPr>
        <w:footnoteRef/>
      </w:r>
      <w:r>
        <w:rPr>
          <w:rFonts w:ascii="Garamond" w:hAnsi="Garamond"/>
          <w:sz w:val="20"/>
        </w:rPr>
        <w:t xml:space="preserve"> Metro. Council of Nashville &amp; Davidson Cnty., Resolution RS2014-1030 (adopted Mar. 18, 2014) (supporting HB2276/SB2413 to require a physical address and notice of change of ownership), https://legisarchive.nashville.gov/mc/resolutions/term_2011_2015/rs2014_1030.htm.</w:t>
      </w:r>
    </w:p>
  </w:footnote>
  <w:footnote w:id="134">
    <w:p>
      <w:pPr>
        <w:pStyle w:val="FootnoteText"/>
      </w:pPr>
      <w:r>
        <w:rPr>
          <w:rStyle w:val="FootnoteReference"/>
          <w:rFonts w:ascii="Garamond" w:hAnsi="Garamond"/>
          <w:sz w:val="20"/>
        </w:rPr>
        <w:footnoteRef/>
      </w:r>
      <w:r>
        <w:rPr>
          <w:rFonts w:ascii="Garamond" w:hAnsi="Garamond"/>
          <w:sz w:val="20"/>
        </w:rPr>
        <w:t xml:space="preserve"> Metro. Council of Nashville &amp; Davidson Cnty., Ordinance BL2007-1550 (2007) (adding Metro Code ch. 16.33, Rental Inspections, and designating rental inspection districts under Tenn. Code Ann. § 13-21-301 et seq.), https://legisarchive.nashville.gov/mc/ordinances/term_2003_2007/bl2007_1550.html.</w:t>
      </w:r>
    </w:p>
  </w:footnote>
  <w:footnote w:id="135">
    <w:p>
      <w:pPr>
        <w:pStyle w:val="FootnoteText"/>
      </w:pPr>
      <w:r>
        <w:rPr>
          <w:rStyle w:val="FootnoteReference"/>
          <w:rFonts w:ascii="Garamond" w:hAnsi="Garamond"/>
          <w:sz w:val="20"/>
        </w:rPr>
        <w:footnoteRef/>
      </w:r>
      <w:r>
        <w:rPr>
          <w:rFonts w:ascii="Garamond" w:hAnsi="Garamond"/>
          <w:sz w:val="20"/>
        </w:rPr>
        <w:t xml:space="preserve"> Metro. Council of Nashville &amp; Davidson Cnty., Resolution RS2017-742 (adopted June 6, 2017) (requesting revision of the Landlord Registration Form because Codes was "often unable to reach landlords to resolve violations"), https://legisarchive.nashville.gov/mc/resolutions/term_2015_2019/rs2017_742.htm.</w:t>
      </w:r>
    </w:p>
  </w:footnote>
  <w:footnote w:id="136">
    <w:p>
      <w:pPr>
        <w:pStyle w:val="FootnoteText"/>
      </w:pPr>
      <w:r>
        <w:rPr>
          <w:rStyle w:val="FootnoteReference"/>
          <w:rFonts w:ascii="Garamond" w:hAnsi="Garamond"/>
          <w:sz w:val="20"/>
        </w:rPr>
        <w:footnoteRef/>
      </w:r>
      <w:r>
        <w:rPr>
          <w:rFonts w:ascii="Garamond" w:hAnsi="Garamond"/>
          <w:sz w:val="20"/>
        </w:rPr>
        <w:t xml:space="preserve"> Metro. Council of Nashville &amp; Davidson Cnty., Resolution RS2023-2032 (adopted Mar. 21, 2023) (requesting that the registration form require acknowledgment of the number of unrelated persons per dwelling unit).</w:t>
      </w:r>
    </w:p>
  </w:footnote>
  <w:footnote w:id="137">
    <w:p>
      <w:pPr>
        <w:pStyle w:val="FootnoteText"/>
      </w:pPr>
      <w:r>
        <w:rPr>
          <w:rStyle w:val="FootnoteReference"/>
          <w:rFonts w:ascii="Garamond" w:hAnsi="Garamond"/>
          <w:sz w:val="20"/>
        </w:rPr>
        <w:footnoteRef/>
      </w:r>
      <w:r>
        <w:rPr>
          <w:rFonts w:ascii="Garamond" w:hAnsi="Garamond"/>
          <w:sz w:val="20"/>
        </w:rPr>
        <w:t xml:space="preserve"> Metro. Gov't of Nashville &amp; Davidson Cnty., Tenn., Code of Ordinances § 16.33.170 (Required registration) (Ord. BL2022-1471, introduced Sept. 27, 2022, passed on third reading May 16, 2023, effective May 26, 2023), https://www.nashville.gov/sites/default/files/2023-08/Landlord-Registration-BL2022-1471.pdf; see also Metro Code § 16.33.170, https://library.municode.com/tn/metro_government_of_nashville_and_davidson_county/codes/code_of_ordinances?nodeId=CD_TIT16BUCO_CH16.33REIN. Chapter 16.33 (Rental Inspections and Required Registration) is distinct from Chapter 16.24 (Property Standards), the inspection authority under which property-standards service requests and CALLR citations are brought.</w:t>
      </w:r>
    </w:p>
  </w:footnote>
  <w:footnote w:id="138">
    <w:p>
      <w:pPr>
        <w:pStyle w:val="FootnoteText"/>
      </w:pPr>
      <w:r>
        <w:rPr>
          <w:rStyle w:val="FootnoteReference"/>
          <w:rFonts w:ascii="Garamond" w:hAnsi="Garamond"/>
          <w:sz w:val="20"/>
        </w:rPr>
        <w:footnoteRef/>
      </w:r>
      <w:r>
        <w:rPr>
          <w:rFonts w:ascii="Garamond" w:hAnsi="Garamond"/>
          <w:sz w:val="20"/>
        </w:rPr>
        <w:t xml:space="preserve"> Landlord Registration, Metro. Nashville Dep't of Codes &amp; Bldg. Safety, Property Standards Div., https://www.nashville.gov/departments/codes/property-standards/landlord-registration (registration of single-family and two-to-four-unit residences, ten-dollar annual fee for all units owned, physical-address requirement, ePermits filing, and fifty-dollar weekly noncompliance fine).</w:t>
      </w:r>
    </w:p>
  </w:footnote>
  <w:footnote w:id="139">
    <w:p>
      <w:pPr>
        <w:pStyle w:val="FootnoteText"/>
      </w:pPr>
      <w:r>
        <w:rPr>
          <w:rStyle w:val="FootnoteReference"/>
          <w:rFonts w:ascii="Garamond" w:hAnsi="Garamond"/>
          <w:sz w:val="20"/>
        </w:rPr>
        <w:footnoteRef/>
      </w:r>
      <w:r>
        <w:rPr>
          <w:rFonts w:ascii="Garamond" w:hAnsi="Garamond"/>
          <w:sz w:val="20"/>
        </w:rPr>
        <w:t xml:space="preserve"> See supra note 138.</w:t>
      </w:r>
    </w:p>
  </w:footnote>
  <w:footnote w:id="140">
    <w:p>
      <w:pPr>
        <w:pStyle w:val="FootnoteText"/>
      </w:pPr>
      <w:r>
        <w:rPr>
          <w:rStyle w:val="FootnoteReference"/>
          <w:rFonts w:ascii="Garamond" w:hAnsi="Garamond"/>
          <w:sz w:val="20"/>
        </w:rPr>
        <w:footnoteRef/>
      </w:r>
      <w:r>
        <w:rPr>
          <w:rFonts w:ascii="Garamond" w:hAnsi="Garamond"/>
          <w:sz w:val="20"/>
        </w:rPr>
        <w:t xml:space="preserve"> See supra note 138.</w:t>
      </w:r>
    </w:p>
  </w:footnote>
  <w:footnote w:id="141">
    <w:p>
      <w:pPr>
        <w:pStyle w:val="FootnoteText"/>
      </w:pPr>
      <w:r>
        <w:rPr>
          <w:rStyle w:val="FootnoteReference"/>
          <w:rFonts w:ascii="Garamond" w:hAnsi="Garamond"/>
          <w:sz w:val="20"/>
        </w:rPr>
        <w:footnoteRef/>
      </w:r>
      <w:r>
        <w:rPr>
          <w:rFonts w:ascii="Garamond" w:hAnsi="Garamond"/>
          <w:sz w:val="20"/>
        </w:rPr>
        <w:t xml:space="preserve"> 2025 Tenn. S.B. 592 (Walley) / H.B. 648 (Jones), 114th Gen. Assemb., 1st Reg. Sess. (introduced Feb. 2025) (proposing a single registration form for properties of five or more units and the deletion of subsec. (c) to let any municipal, metropolitan, or county government adopt registration by ordinance or resolution). The bills did not pass.</w:t>
      </w:r>
    </w:p>
  </w:footnote>
  <w:footnote w:id="142">
    <w:p>
      <w:pPr>
        <w:pStyle w:val="FootnoteText"/>
      </w:pPr>
      <w:r>
        <w:rPr>
          <w:rStyle w:val="FootnoteReference"/>
          <w:rFonts w:ascii="Garamond" w:hAnsi="Garamond"/>
          <w:sz w:val="20"/>
        </w:rPr>
        <w:footnoteRef/>
      </w:r>
      <w:r>
        <w:rPr>
          <w:rFonts w:ascii="Garamond" w:hAnsi="Garamond"/>
          <w:sz w:val="20"/>
        </w:rPr>
        <w:t xml:space="preserve"> Tenn. Mun. League, Residential Rental Property Registries (2025), https://www.tml1.org/sites/default/files/uploads/pdf/residential-rental-property-registries-2025-with-sponsors.pdf ("[T]his registry addresses many of the challenges of contacting non-resident owners. However, it only applies to Nashville.").</w:t>
      </w:r>
    </w:p>
  </w:footnote>
  <w:footnote w:id="143">
    <w:p>
      <w:pPr>
        <w:pStyle w:val="FootnoteText"/>
      </w:pPr>
      <w:r>
        <w:rPr>
          <w:rStyle w:val="FootnoteReference"/>
          <w:rFonts w:ascii="Garamond" w:hAnsi="Garamond"/>
          <w:sz w:val="20"/>
        </w:rPr>
        <w:footnoteRef/>
      </w:r>
      <w:r>
        <w:rPr>
          <w:rFonts w:ascii="Garamond" w:hAnsi="Garamond"/>
          <w:sz w:val="20"/>
        </w:rPr>
        <w:t xml:space="preserve"> See supra note 15.</w:t>
      </w:r>
    </w:p>
  </w:footnote>
  <w:footnote w:id="144">
    <w:p>
      <w:pPr>
        <w:pStyle w:val="FootnoteText"/>
      </w:pPr>
      <w:r>
        <w:rPr>
          <w:rStyle w:val="FootnoteReference"/>
          <w:rFonts w:ascii="Garamond" w:hAnsi="Garamond"/>
          <w:sz w:val="20"/>
        </w:rPr>
        <w:footnoteRef/>
      </w:r>
      <w:r>
        <w:rPr>
          <w:rFonts w:ascii="Garamond" w:hAnsi="Garamond"/>
          <w:sz w:val="20"/>
        </w:rPr>
        <w:t xml:space="preserve"> Tenn. Code Ann. §§ 29-18-101 to -135 (forcible entry and detainer), https://law.justia.com/codes/tennessee/title-29/chapter-18/.</w:t>
      </w:r>
    </w:p>
  </w:footnote>
  <w:footnote w:id="145">
    <w:p>
      <w:pPr>
        <w:pStyle w:val="FootnoteText"/>
      </w:pPr>
      <w:r>
        <w:rPr>
          <w:rStyle w:val="FootnoteReference"/>
          <w:rFonts w:ascii="Garamond" w:hAnsi="Garamond"/>
          <w:sz w:val="20"/>
        </w:rPr>
        <w:footnoteRef/>
      </w:r>
      <w:r>
        <w:rPr>
          <w:rFonts w:ascii="Garamond" w:hAnsi="Garamond"/>
          <w:sz w:val="20"/>
        </w:rPr>
        <w:t xml:space="preserve"> Tenn. Code Ann. § 29-18-102 (forcible detainer defined), § 29-18-107 (jurisdiction of general sessions courts), § 29-18-108 (appeal), § 29-18-126 (ten-day appeal period), https://law.justia.com/codes/tennessee/title-29/chapter-18/part-1/.</w:t>
      </w:r>
    </w:p>
  </w:footnote>
  <w:footnote w:id="146">
    <w:p>
      <w:pPr>
        <w:pStyle w:val="FootnoteText"/>
      </w:pPr>
      <w:r>
        <w:rPr>
          <w:rStyle w:val="FootnoteReference"/>
          <w:rFonts w:ascii="Garamond" w:hAnsi="Garamond"/>
          <w:sz w:val="20"/>
        </w:rPr>
        <w:footnoteRef/>
      </w:r>
      <w:r>
        <w:rPr>
          <w:rFonts w:ascii="Garamond" w:hAnsi="Garamond"/>
          <w:sz w:val="20"/>
        </w:rPr>
        <w:t xml:space="preserve"> Metro. Gov't of Nashville &amp; Davidson Cnty., Tenn., Code of Ordinances § 11.22.010 (required notice for increases of residential rent) (Ord. BL2020-149, introduced Apr. 21, 2020) and § 11.22.030 (required notice for termination or non-renewal of a lease; notice of change in ownership within fourteen days) (Ord. BL2020-456 (2020)), https://library.municode.com/tn/metro_government_of_nashville_and_davidson_county/codes/code_of_ordinances?nodeId=CD_TIT11PUPEMOWE_DIVIGERE_CH11.22RELATERE; § 11.22.040 (state law controls over any conflicting provision of the chapter). Ordinance BL2026-1382 (enacted June 16, 2026) (eviction right-to-counsel program administered by the Housing Division of the Department of Planning), https://councilwatch.pamphleteer.co/legislation/BL2026-1382. Norma Jean Upshaw Act, 2023 Tenn. Pub. Acts ch. 400 (S.B. 717 / H.B. 988, eff. July 1, 2023) (sixty days' notice of termination for older tenants current on rent whose displacement is for new development), https://legiscan.com/TN/bill/SB0717/2023.</w:t>
      </w:r>
    </w:p>
  </w:footnote>
  <w:footnote w:id="147">
    <w:p>
      <w:pPr>
        <w:pStyle w:val="FootnoteText"/>
      </w:pPr>
      <w:r>
        <w:rPr>
          <w:rStyle w:val="FootnoteReference"/>
          <w:rFonts w:ascii="Garamond" w:hAnsi="Garamond"/>
          <w:sz w:val="20"/>
        </w:rPr>
        <w:footnoteRef/>
      </w:r>
      <w:r>
        <w:rPr>
          <w:rFonts w:ascii="Garamond" w:hAnsi="Garamond"/>
          <w:sz w:val="20"/>
        </w:rPr>
        <w:t xml:space="preserve"> Metro. Council of Nashville &amp; Davidson Cnty., Resolution RS2022-1559 (appropriating $2,600,851 in federal relief funds for legal representation of low- and moderate-income renters against eviction); Resolution RS2024-274 ($2,395,322); Resolution RS2025-1256 (reallocating $2,220,235), Metro Council legislative record, https://nashville.legistar.com/Legislation.aspx.</w:t>
      </w:r>
    </w:p>
  </w:footnote>
  <w:footnote w:id="148">
    <w:p>
      <w:pPr>
        <w:pStyle w:val="FootnoteText"/>
      </w:pPr>
      <w:r>
        <w:rPr>
          <w:rStyle w:val="FootnoteReference"/>
          <w:rFonts w:ascii="Garamond" w:hAnsi="Garamond"/>
          <w:sz w:val="20"/>
        </w:rPr>
        <w:footnoteRef/>
      </w:r>
      <w:r>
        <w:rPr>
          <w:rFonts w:ascii="Garamond" w:hAnsi="Garamond"/>
          <w:sz w:val="20"/>
        </w:rPr>
        <w:t xml:space="preserve"> Metro. Nashville Dep't of Codes &amp; Bldg. Safety, ePermits, Case endpoint, https://epermits.nashville.gov/api/permit/1.0/Case?$filter=caseTypeID%20eq%20176&amp;$inlinecount=allpages&amp;$top=100&amp;$orderby=caseID%20asc; CaseAddress and CasePeople endpoints at https://epermits.nashville.gov/api/permit/1.0/CaseAddress and https://epermits.nashville.gov/api/permit/1.0/CasePeople, each filtered by caseID. Pagination is capped at 100 records per call. Author's pull of July 9, 2026: 26,468 registration cases, 50,526 parcel-rows, 38,938 of them matching the framework single-family universe.</w:t>
      </w:r>
    </w:p>
  </w:footnote>
  <w:footnote w:id="149">
    <w:p>
      <w:pPr>
        <w:pStyle w:val="FootnoteText"/>
      </w:pPr>
      <w:r>
        <w:rPr>
          <w:rStyle w:val="FootnoteReference"/>
          <w:rFonts w:ascii="Garamond" w:hAnsi="Garamond"/>
          <w:sz w:val="20"/>
        </w:rPr>
        <w:footnoteRef/>
      </w:r>
      <w:r>
        <w:rPr>
          <w:rFonts w:ascii="Garamond" w:hAnsi="Garamond"/>
          <w:sz w:val="20"/>
        </w:rPr>
        <w:t xml:space="preserve"> ePermits Case endpoint, caseTypeID 218 (property-standards request for service) and caseSubTypeID 937 (CALLR, landlord-registration violation), https://epermits.nashville.gov/api/permit/1.0/Case?$filter=caseSubTypeID%20eq%20937&amp;$inlinecount=allpages&amp;$top=100; CaseViolation endpoint, https://epermits.nashville.gov/api/permit/1.0/CaseViolation (violation codes CAAA_LANDLORD_REGSTR and CALL_LANDLORD_REGSTR; 2,300 violations, 2008 through 2026, 2,298 with a resolved party).</w:t>
      </w:r>
    </w:p>
  </w:footnote>
  <w:footnote w:id="150">
    <w:p>
      <w:pPr>
        <w:pStyle w:val="FootnoteText"/>
      </w:pPr>
      <w:r>
        <w:rPr>
          <w:rStyle w:val="FootnoteReference"/>
          <w:rFonts w:ascii="Garamond" w:hAnsi="Garamond"/>
          <w:sz w:val="20"/>
        </w:rPr>
        <w:footnoteRef/>
      </w:r>
      <w:r>
        <w:rPr>
          <w:rFonts w:ascii="Garamond" w:hAnsi="Garamond"/>
          <w:sz w:val="20"/>
        </w:rPr>
        <w:t xml:space="preserve"> U.S. Census Bureau, American Community Survey 5-Year Estimates, tables B25003, B25032, and B25070, https://api.census.gov/data/2024/acs/acs5 (2020 to 2024) and earlier vintages at the same endpoint pattern (for example https://api.census.gov/data/2021/acs/acs5).</w:t>
      </w:r>
    </w:p>
  </w:footnote>
  <w:footnote w:id="151">
    <w:p>
      <w:pPr>
        <w:pStyle w:val="FootnoteText"/>
      </w:pPr>
      <w:r>
        <w:rPr>
          <w:rStyle w:val="FootnoteReference"/>
          <w:rFonts w:ascii="Garamond" w:hAnsi="Garamond"/>
          <w:sz w:val="20"/>
        </w:rPr>
        <w:footnoteRef/>
      </w:r>
      <w:r>
        <w:rPr>
          <w:rFonts w:ascii="Garamond" w:hAnsi="Garamond"/>
          <w:sz w:val="20"/>
        </w:rPr>
        <w:t xml:space="preserve"> Davidson County Circuit Court Clerk, CaseLink public case search, https://caselink.nashville.gov/public/, searched by party name for every shell in each named operator's family on June 17 to 18 and June 30, 2026. CaseLink is a stateful search with no bookmarkable result URLs, so filings are cited by docket number. 2,049 detainer warrants with an operator or its shell as plaintiff; replication file (docket, filing date, plaintiff, parent operator) in the online data appendix.</w:t>
      </w:r>
    </w:p>
  </w:footnote>
  <w:footnote w:id="152">
    <w:p>
      <w:pPr>
        <w:pStyle w:val="FootnoteText"/>
      </w:pPr>
      <w:r>
        <w:rPr>
          <w:rStyle w:val="FootnoteReference"/>
          <w:rFonts w:ascii="Garamond" w:hAnsi="Garamond"/>
          <w:sz w:val="20"/>
        </w:rPr>
        <w:footnoteRef/>
      </w:r>
      <w:r>
        <w:rPr>
          <w:rFonts w:ascii="Garamond" w:hAnsi="Garamond"/>
          <w:sz w:val="20"/>
        </w:rPr>
        <w:t xml:space="preserve"> See supra note 99.</w:t>
      </w:r>
    </w:p>
  </w:footnote>
  <w:footnote w:id="153">
    <w:p>
      <w:pPr>
        <w:pStyle w:val="FootnoteText"/>
      </w:pPr>
      <w:r>
        <w:rPr>
          <w:rStyle w:val="FootnoteReference"/>
          <w:rFonts w:ascii="Garamond" w:hAnsi="Garamond"/>
          <w:sz w:val="20"/>
        </w:rPr>
        <w:footnoteRef/>
      </w:r>
      <w:r>
        <w:rPr>
          <w:rFonts w:ascii="Garamond" w:hAnsi="Garamond"/>
          <w:sz w:val="20"/>
        </w:rPr>
        <w:t xml:space="preserve"> See supra note 16.</w:t>
      </w:r>
    </w:p>
  </w:footnote>
  <w:footnote w:id="154">
    <w:p>
      <w:pPr>
        <w:pStyle w:val="FootnoteText"/>
      </w:pPr>
      <w:r>
        <w:rPr>
          <w:rStyle w:val="FootnoteReference"/>
          <w:rFonts w:ascii="Garamond" w:hAnsi="Garamond"/>
          <w:sz w:val="20"/>
        </w:rPr>
        <w:footnoteRef/>
      </w:r>
      <w:r>
        <w:rPr>
          <w:rFonts w:ascii="Garamond" w:hAnsi="Garamond"/>
          <w:sz w:val="20"/>
        </w:rPr>
        <w:t xml:space="preserve"> See supra note 16.</w:t>
      </w:r>
    </w:p>
  </w:footnote>
  <w:footnote w:id="155">
    <w:p>
      <w:pPr>
        <w:pStyle w:val="FootnoteText"/>
      </w:pPr>
      <w:r>
        <w:rPr>
          <w:rStyle w:val="FootnoteReference"/>
          <w:rFonts w:ascii="Garamond" w:hAnsi="Garamond"/>
          <w:sz w:val="20"/>
        </w:rPr>
        <w:footnoteRef/>
      </w:r>
      <w:r>
        <w:rPr>
          <w:rFonts w:ascii="Garamond" w:hAnsi="Garamond"/>
          <w:sz w:val="20"/>
        </w:rPr>
        <w:t xml:space="preserve"> See supra note 91.</w:t>
      </w:r>
    </w:p>
  </w:footnote>
  <w:footnote w:id="156">
    <w:p>
      <w:pPr>
        <w:pStyle w:val="FootnoteText"/>
      </w:pPr>
      <w:r>
        <w:rPr>
          <w:rStyle w:val="FootnoteReference"/>
          <w:rFonts w:ascii="Garamond" w:hAnsi="Garamond"/>
          <w:sz w:val="20"/>
        </w:rPr>
        <w:footnoteRef/>
      </w:r>
      <w:r>
        <w:rPr>
          <w:rFonts w:ascii="Garamond" w:hAnsi="Garamond"/>
          <w:sz w:val="20"/>
        </w:rPr>
        <w:t xml:space="preserve"> See supra note 17.</w:t>
      </w:r>
    </w:p>
  </w:footnote>
  <w:footnote w:id="157">
    <w:p>
      <w:pPr>
        <w:pStyle w:val="FootnoteText"/>
      </w:pPr>
      <w:r>
        <w:rPr>
          <w:rStyle w:val="FootnoteReference"/>
          <w:rFonts w:ascii="Garamond" w:hAnsi="Garamond"/>
          <w:sz w:val="20"/>
        </w:rPr>
        <w:footnoteRef/>
      </w:r>
      <w:r>
        <w:rPr>
          <w:rFonts w:ascii="Garamond" w:hAnsi="Garamond"/>
          <w:sz w:val="20"/>
        </w:rPr>
        <w:t xml:space="preserve"> See supra note 106.</w:t>
      </w:r>
    </w:p>
  </w:footnote>
  <w:footnote w:id="158">
    <w:p>
      <w:pPr>
        <w:pStyle w:val="FootnoteText"/>
      </w:pPr>
      <w:r>
        <w:rPr>
          <w:rStyle w:val="FootnoteReference"/>
          <w:rFonts w:ascii="Garamond" w:hAnsi="Garamond"/>
          <w:sz w:val="20"/>
        </w:rPr>
        <w:footnoteRef/>
      </w:r>
      <w:r>
        <w:rPr>
          <w:rFonts w:ascii="Garamond" w:hAnsi="Garamond"/>
          <w:sz w:val="20"/>
        </w:rPr>
        <w:t xml:space="preserve"> See supra note 106.</w:t>
      </w:r>
    </w:p>
  </w:footnote>
  <w:footnote w:id="159">
    <w:p>
      <w:pPr>
        <w:pStyle w:val="FootnoteText"/>
      </w:pPr>
      <w:r>
        <w:rPr>
          <w:rStyle w:val="FootnoteReference"/>
          <w:rFonts w:ascii="Garamond" w:hAnsi="Garamond"/>
          <w:sz w:val="20"/>
        </w:rPr>
        <w:footnoteRef/>
      </w:r>
      <w:r>
        <w:rPr>
          <w:rFonts w:ascii="Garamond" w:hAnsi="Garamond"/>
          <w:sz w:val="20"/>
        </w:rPr>
        <w:t xml:space="preserve"> See supra note 98.</w:t>
      </w:r>
    </w:p>
  </w:footnote>
  <w:footnote w:id="160">
    <w:p>
      <w:pPr>
        <w:pStyle w:val="FootnoteText"/>
      </w:pPr>
      <w:r>
        <w:rPr>
          <w:rStyle w:val="FootnoteReference"/>
          <w:rFonts w:ascii="Garamond" w:hAnsi="Garamond"/>
          <w:sz w:val="20"/>
        </w:rPr>
        <w:footnoteRef/>
      </w:r>
      <w:r>
        <w:rPr>
          <w:rFonts w:ascii="Garamond" w:hAnsi="Garamond"/>
          <w:sz w:val="20"/>
        </w:rPr>
        <w:t xml:space="preserve"> [missing footnote ss2021]</w:t>
      </w:r>
    </w:p>
  </w:footnote>
  <w:footnote w:id="161">
    <w:p>
      <w:pPr>
        <w:pStyle w:val="FootnoteText"/>
      </w:pPr>
      <w:r>
        <w:rPr>
          <w:rStyle w:val="FootnoteReference"/>
          <w:rFonts w:ascii="Garamond" w:hAnsi="Garamond"/>
          <w:sz w:val="20"/>
        </w:rPr>
        <w:footnoteRef/>
      </w:r>
      <w:r>
        <w:rPr>
          <w:rFonts w:ascii="Garamond" w:hAnsi="Garamond"/>
          <w:sz w:val="20"/>
        </w:rPr>
        <w:t xml:space="preserve"> Madhuri Sharma &amp; Mikhail Samarin, Rental Tenure and Rent Burden: Progress in Interdisciplinary Scholarship and Pathways for Geographical Research, 87 GeoJournal 3403 (2022), https://doi.org/10.1007/s10708-021-10417-2 (reviewing rental-housing financialization, the post-foreclosure proliferation of single-family rentals, and the determinants of rent burden).</w:t>
      </w:r>
    </w:p>
  </w:footnote>
  <w:footnote w:id="162">
    <w:p>
      <w:pPr>
        <w:pStyle w:val="FootnoteText"/>
      </w:pPr>
      <w:r>
        <w:rPr>
          <w:rStyle w:val="FootnoteReference"/>
          <w:rFonts w:ascii="Garamond" w:hAnsi="Garamond"/>
          <w:sz w:val="20"/>
        </w:rPr>
        <w:footnoteRef/>
      </w:r>
      <w:r>
        <w:rPr>
          <w:rFonts w:ascii="Garamond" w:hAnsi="Garamond"/>
          <w:sz w:val="20"/>
        </w:rPr>
        <w:t xml:space="preserve"> Madhuri Sharma &amp; Mikhail Samarin, Rent-Burdened in the South? A Neighborhood-Scale Analysis of Diversity and Immigrants in Nashville, Tennessee, 114 Geographical Rev. 277 (2024), https://doi.org/10.1080/00167428.2023.2217266 (constructing a tract-scale Rent Burden Index for the Nashville metropolitan area from principal components of demographic, economic, and housing variables).</w:t>
      </w:r>
    </w:p>
  </w:footnote>
  <w:footnote w:id="163">
    <w:p>
      <w:pPr>
        <w:pStyle w:val="FootnoteText"/>
      </w:pPr>
      <w:r>
        <w:rPr>
          <w:rStyle w:val="FootnoteReference"/>
          <w:rFonts w:ascii="Garamond" w:hAnsi="Garamond"/>
          <w:sz w:val="20"/>
        </w:rPr>
        <w:footnoteRef/>
      </w:r>
      <w:r>
        <w:rPr>
          <w:rFonts w:ascii="Garamond" w:hAnsi="Garamond"/>
          <w:sz w:val="20"/>
        </w:rPr>
        <w:t xml:space="preserve"> Author's point-in-polygon join of the July 14, 2026 grounded cadastral (206,067 framework parcels with coordinates) to the 487 Davidson block groups scored on the renter-vulnerability index built from the American Community Survey 2020 to 2024 five-year estimates, https://api.census.gov/data/2024/acs/acs5. See Appendix Table A2 and Appendix D.7.</w:t>
      </w:r>
    </w:p>
  </w:footnote>
  <w:footnote w:id="164">
    <w:p>
      <w:pPr>
        <w:pStyle w:val="FootnoteText"/>
      </w:pPr>
      <w:r>
        <w:rPr>
          <w:rStyle w:val="FootnoteReference"/>
          <w:rFonts w:ascii="Garamond" w:hAnsi="Garamond"/>
          <w:sz w:val="20"/>
        </w:rPr>
        <w:footnoteRef/>
      </w:r>
      <w:r>
        <w:rPr>
          <w:rFonts w:ascii="Garamond" w:hAnsi="Garamond"/>
          <w:sz w:val="20"/>
        </w:rPr>
        <w:t xml:space="preserve"> Author's analysis of ePermits landlord registration cases (case type 176), supra note dsreg, matched by parcel identifier to each operator's framework parcels under the series' July 22, 2026 attribution and to the current owner's acquisition date in the ParcelHistory ownership layer, https://maps.nashville.gov/arcgis2/rest/services/Parcels/ParcelHistory/MapServer/2. See Appendix Table A1 for the three measures and their definitions.</w:t>
      </w:r>
    </w:p>
  </w:footnote>
  <w:footnote w:id="165">
    <w:p>
      <w:pPr>
        <w:pStyle w:val="FootnoteText"/>
      </w:pPr>
      <w:r>
        <w:rPr>
          <w:rStyle w:val="FootnoteReference"/>
          <w:rFonts w:ascii="Garamond" w:hAnsi="Garamond"/>
          <w:sz w:val="20"/>
        </w:rPr>
        <w:footnoteRef/>
      </w:r>
      <w:r>
        <w:rPr>
          <w:rFonts w:ascii="Garamond" w:hAnsi="Garamond"/>
          <w:sz w:val="20"/>
        </w:rPr>
        <w:t xml:space="preserve"> Am. Homes 4 Rent, Annual Report (Form 10-K), at 8–10 (Feb. 2024) (SEC File No. 001-36013).</w:t>
      </w:r>
    </w:p>
  </w:footnote>
  <w:footnote w:id="166">
    <w:p>
      <w:pPr>
        <w:pStyle w:val="FootnoteText"/>
      </w:pPr>
      <w:r>
        <w:rPr>
          <w:rStyle w:val="FootnoteReference"/>
          <w:rFonts w:ascii="Garamond" w:hAnsi="Garamond"/>
          <w:sz w:val="20"/>
        </w:rPr>
        <w:footnoteRef/>
      </w:r>
      <w:r>
        <w:rPr>
          <w:rFonts w:ascii="Garamond" w:hAnsi="Garamond"/>
          <w:sz w:val="20"/>
        </w:rPr>
        <w:t xml:space="preserve"> Registration parcel-rows by year of issue on each operator's parcels and the manager named on the filing (CasePeople role PSPROPMGR), from the July 9, 2026 pull, supra note dsreg: American Homes 4 Rent 438 rows issued in 2012, 17 in 2013, and 150 in 2014, in cases listing 442 parcels at a time, with American Homes 4 Rent as its own manager; Progress Residential 208 rows in 2022 and 678 in 2024, manager Progress Residential or Progress Residential Property Managers; Amherst 1,137 rows in 2025, manager Main Street Renewal; Tricon 173 rows in 2025.</w:t>
      </w:r>
    </w:p>
  </w:footnote>
  <w:footnote w:id="167">
    <w:p>
      <w:pPr>
        <w:pStyle w:val="FootnoteText"/>
      </w:pPr>
      <w:r>
        <w:rPr>
          <w:rStyle w:val="FootnoteReference"/>
          <w:rFonts w:ascii="Garamond" w:hAnsi="Garamond"/>
          <w:sz w:val="20"/>
        </w:rPr>
        <w:footnoteRef/>
      </w:r>
      <w:r>
        <w:rPr>
          <w:rFonts w:ascii="Garamond" w:hAnsi="Garamond"/>
          <w:sz w:val="20"/>
        </w:rPr>
        <w:t xml:space="preserve"> See supra note 164.</w:t>
      </w:r>
    </w:p>
  </w:footnote>
  <w:footnote w:id="168">
    <w:p>
      <w:pPr>
        <w:pStyle w:val="FootnoteText"/>
      </w:pPr>
      <w:r>
        <w:rPr>
          <w:rStyle w:val="FootnoteReference"/>
          <w:rFonts w:ascii="Garamond" w:hAnsi="Garamond"/>
          <w:sz w:val="20"/>
        </w:rPr>
        <w:footnoteRef/>
      </w:r>
      <w:r>
        <w:rPr>
          <w:rFonts w:ascii="Garamond" w:hAnsi="Garamond"/>
          <w:sz w:val="20"/>
        </w:rPr>
        <w:t xml:space="preserve"> See supra note 14.</w:t>
      </w:r>
    </w:p>
  </w:footnote>
  <w:footnote w:id="169">
    <w:p>
      <w:pPr>
        <w:pStyle w:val="FootnoteText"/>
      </w:pPr>
      <w:r>
        <w:rPr>
          <w:rStyle w:val="FootnoteReference"/>
          <w:rFonts w:ascii="Garamond" w:hAnsi="Garamond"/>
          <w:sz w:val="20"/>
        </w:rPr>
        <w:footnoteRef/>
      </w:r>
      <w:r>
        <w:rPr>
          <w:rFonts w:ascii="Garamond" w:hAnsi="Garamond"/>
          <w:sz w:val="20"/>
        </w:rPr>
        <w:t xml:space="preserve"> ePermits Case No. 3316346, https://epermits.nashville.gov/api/permit/1.0/Case/3316346 (applicant: Swinehart, William Edgar &amp; Vicki O.). Acquisition date from the Davidson County chain of title, https://maps.nashville.gov/arcgis2/rest/services/Parcels/ParcelHistory/MapServer/2.</w:t>
      </w:r>
    </w:p>
  </w:footnote>
  <w:footnote w:id="170">
    <w:p>
      <w:pPr>
        <w:pStyle w:val="FootnoteText"/>
      </w:pPr>
      <w:r>
        <w:rPr>
          <w:rStyle w:val="FootnoteReference"/>
          <w:rFonts w:ascii="Garamond" w:hAnsi="Garamond"/>
          <w:sz w:val="20"/>
        </w:rPr>
        <w:footnoteRef/>
      </w:r>
      <w:r>
        <w:rPr>
          <w:rFonts w:ascii="Garamond" w:hAnsi="Garamond"/>
          <w:sz w:val="20"/>
        </w:rPr>
        <w:t xml:space="preserve"> The applicant field returns the cited party on the single-case call, https://epermits.nashville.gov/api/permit/1.0/Case/{caseID}, and returns empty on the batched collection query. Sixteen citations record an applicant naming a 350-plus operator. Three more, all older American Homes 4 Rent shells, are recovered from the chain of title where the field is blank.</w:t>
      </w:r>
    </w:p>
  </w:footnote>
  <w:footnote w:id="171">
    <w:p>
      <w:pPr>
        <w:pStyle w:val="FootnoteText"/>
      </w:pPr>
      <w:r>
        <w:rPr>
          <w:rStyle w:val="FootnoteReference"/>
          <w:rFonts w:ascii="Garamond" w:hAnsi="Garamond"/>
          <w:sz w:val="20"/>
        </w:rPr>
        <w:footnoteRef/>
      </w:r>
      <w:r>
        <w:rPr>
          <w:rFonts w:ascii="Garamond" w:hAnsi="Garamond"/>
          <w:sz w:val="20"/>
        </w:rPr>
        <w:t xml:space="preserve"> Owner type assigned by precedence, Government over Bank/Lender over Trust over Corporate over Individual, per the series owner-classification methodology. The Federal Home Loan Mortgage Corporation classifies as a bank or lender, not an institutional investor.</w:t>
      </w:r>
    </w:p>
  </w:footnote>
  <w:footnote w:id="172">
    <w:p>
      <w:pPr>
        <w:pStyle w:val="FootnoteText"/>
      </w:pPr>
      <w:r>
        <w:rPr>
          <w:rStyle w:val="FootnoteReference"/>
          <w:rFonts w:ascii="Garamond" w:hAnsi="Garamond"/>
          <w:sz w:val="20"/>
        </w:rPr>
        <w:footnoteRef/>
      </w:r>
      <w:r>
        <w:rPr>
          <w:rFonts w:ascii="Garamond" w:hAnsi="Garamond"/>
          <w:sz w:val="20"/>
        </w:rPr>
        <w:t xml:space="preserve"> The single-family universe is a dwelling-unit count of one or two, a permitted land-use description, and a feature type other than multistory condominium, multistory common area, or open space. Applied as a flag, 1,694 citations fall inside, 212 outside, and 392 parcels do not resolve.</w:t>
      </w:r>
    </w:p>
  </w:footnote>
  <w:footnote w:id="173">
    <w:p>
      <w:pPr>
        <w:pStyle w:val="FootnoteText"/>
      </w:pPr>
      <w:r>
        <w:rPr>
          <w:rStyle w:val="FootnoteReference"/>
          <w:rFonts w:ascii="Garamond" w:hAnsi="Garamond"/>
          <w:sz w:val="20"/>
        </w:rPr>
        <w:footnoteRef/>
      </w:r>
      <w:r>
        <w:rPr>
          <w:rFonts w:ascii="Garamond" w:hAnsi="Garamond"/>
          <w:sz w:val="20"/>
        </w:rPr>
        <w:t xml:space="preserve"> Holdings reconstructed as the holding interval containing the citation date, across every borrower shell of the operator. https://maps.nashville.gov/arcgis2/rest/services/Parcels/ParcelHistory/MapServer/2.</w:t>
      </w:r>
    </w:p>
  </w:footnote>
  <w:footnote w:id="174">
    <w:p>
      <w:pPr>
        <w:pStyle w:val="FootnoteText"/>
      </w:pPr>
      <w:r>
        <w:rPr>
          <w:rStyle w:val="FootnoteReference"/>
          <w:rFonts w:ascii="Garamond" w:hAnsi="Garamond"/>
          <w:sz w:val="20"/>
        </w:rPr>
        <w:footnoteRef/>
      </w:r>
      <w:r>
        <w:rPr>
          <w:rFonts w:ascii="Garamond" w:hAnsi="Garamond"/>
          <w:sz w:val="20"/>
        </w:rPr>
        <w:t xml:space="preserve"> ePermits CaseTask endpoint, https://epermits.nashville.gov/api/permit/1.0/CaseTask (task codes PSINITINSP and PSVIOINSP inspection, PSABATESNT abate notice, PSWRRNT warrant or citation, PSCORT Environmental Court).</w:t>
      </w:r>
    </w:p>
  </w:footnote>
  <w:footnote w:id="175">
    <w:p>
      <w:pPr>
        <w:pStyle w:val="FootnoteText"/>
      </w:pPr>
      <w:r>
        <w:rPr>
          <w:rStyle w:val="FootnoteReference"/>
          <w:rFonts w:ascii="Garamond" w:hAnsi="Garamond"/>
          <w:sz w:val="20"/>
        </w:rPr>
        <w:footnoteRef/>
      </w:r>
      <w:r>
        <w:rPr>
          <w:rFonts w:ascii="Garamond" w:hAnsi="Garamond"/>
          <w:sz w:val="20"/>
        </w:rPr>
        <w:t xml:space="preserve"> ePermits Case Nos. 3387569 and 4023696, https://epermits.nashville.gov/api/permit/1.0/Case/3387569 and https://epermits.nashville.gov/api/permit/1.0/Case/4023696.</w:t>
      </w:r>
    </w:p>
  </w:footnote>
  <w:footnote w:id="176">
    <w:p>
      <w:pPr>
        <w:pStyle w:val="FootnoteText"/>
      </w:pPr>
      <w:r>
        <w:rPr>
          <w:rStyle w:val="FootnoteReference"/>
          <w:rFonts w:ascii="Garamond" w:hAnsi="Garamond"/>
          <w:sz w:val="20"/>
        </w:rPr>
        <w:footnoteRef/>
      </w:r>
      <w:r>
        <w:rPr>
          <w:rFonts w:ascii="Garamond" w:hAnsi="Garamond"/>
          <w:sz w:val="20"/>
        </w:rPr>
        <w:t xml:space="preserve"> ePermits CaseViolation endpoint, supra note enf1. ePermits carries two code generations for a single condition, CAAA_OPEN_STORAGE and CAAH_OPN_STOR. Counts consolidate them, and a case is counted once per condition.</w:t>
      </w:r>
    </w:p>
  </w:footnote>
  <w:footnote w:id="177">
    <w:p>
      <w:pPr>
        <w:pStyle w:val="FootnoteText"/>
      </w:pPr>
      <w:r>
        <w:rPr>
          <w:rStyle w:val="FootnoteReference"/>
          <w:rFonts w:ascii="Garamond" w:hAnsi="Garamond"/>
          <w:sz w:val="20"/>
        </w:rPr>
        <w:footnoteRef/>
      </w:r>
      <w:r>
        <w:rPr>
          <w:rFonts w:ascii="Garamond" w:hAnsi="Garamond"/>
          <w:sz w:val="20"/>
        </w:rPr>
        <w:t xml:space="preserve"> The companion violation on Case No. 3387569 is CAAZ_USE_NOT_PERMIT, citing Metro Code § 17.08.030.</w:t>
      </w:r>
    </w:p>
  </w:footnote>
  <w:footnote w:id="178">
    <w:p>
      <w:pPr>
        <w:pStyle w:val="FootnoteText"/>
      </w:pPr>
      <w:r>
        <w:rPr>
          <w:rStyle w:val="FootnoteReference"/>
          <w:rFonts w:ascii="Garamond" w:hAnsi="Garamond"/>
          <w:sz w:val="20"/>
        </w:rPr>
        <w:footnoteRef/>
      </w:r>
      <w:r>
        <w:rPr>
          <w:rFonts w:ascii="Garamond" w:hAnsi="Garamond"/>
          <w:sz w:val="20"/>
        </w:rPr>
        <w:t xml:space="preserve"> Davidson County Circuit Court Clerk, CaseLink public case search, https://caselink.nashville.gov/public/. CaseLink is a stateful search returning no bookmarkable result URLs, so cases are cited by docket number. 1,843 dockets returned across thirty-four operator shell stems, searched by party name with the role filter set to all.</w:t>
      </w:r>
    </w:p>
  </w:footnote>
  <w:footnote w:id="179">
    <w:p>
      <w:pPr>
        <w:pStyle w:val="FootnoteText"/>
      </w:pPr>
      <w:r>
        <w:rPr>
          <w:rStyle w:val="FootnoteReference"/>
          <w:rFonts w:ascii="Garamond" w:hAnsi="Garamond"/>
          <w:sz w:val="20"/>
        </w:rPr>
        <w:footnoteRef/>
      </w:r>
      <w:r>
        <w:rPr>
          <w:rFonts w:ascii="Garamond" w:hAnsi="Garamond"/>
          <w:sz w:val="20"/>
        </w:rPr>
        <w:t xml:space="preserve"> Wood's at Neelys Bend v. ARC Rental MSR I, LLC, No. 18GC26857 (Davidson Cnty. Gen. Sess. Ct., filed Dec. 14, 2018); Metro Codes v. ARC Rental MSR I, LLC, No. 19GC4781 (Davidson Cnty. Gen. Sess. Ct., filed Mar. 7, 2019).</w:t>
      </w:r>
    </w:p>
  </w:footnote>
  <w:footnote w:id="180">
    <w:p>
      <w:pPr>
        <w:pStyle w:val="FootnoteText"/>
      </w:pPr>
      <w:r>
        <w:rPr>
          <w:rStyle w:val="FootnoteReference"/>
          <w:rFonts w:ascii="Garamond" w:hAnsi="Garamond"/>
          <w:sz w:val="20"/>
        </w:rPr>
        <w:footnoteRef/>
      </w:r>
      <w:r>
        <w:rPr>
          <w:rFonts w:ascii="Garamond" w:hAnsi="Garamond"/>
          <w:sz w:val="20"/>
        </w:rPr>
        <w:t xml:space="preserve"> See supra note 178.</w:t>
      </w:r>
    </w:p>
  </w:footnote>
  <w:footnote w:id="181">
    <w:p>
      <w:pPr>
        <w:pStyle w:val="FootnoteText"/>
      </w:pPr>
      <w:r>
        <w:rPr>
          <w:rStyle w:val="FootnoteReference"/>
          <w:rFonts w:ascii="Garamond" w:hAnsi="Garamond"/>
          <w:sz w:val="20"/>
        </w:rPr>
        <w:footnoteRef/>
      </w:r>
      <w:r>
        <w:rPr>
          <w:rFonts w:ascii="Garamond" w:hAnsi="Garamond"/>
          <w:sz w:val="20"/>
        </w:rPr>
        <w:t xml:space="preserve"> Jung Hyun Choi, Laurie Goodman &amp; Daniel Pang, The Growing Divergence Between Single-Family and Multifamily Rental Prices (Urban Inst. Apr. 14, 2025), https://www.urban.org/research/publication/growing-divergence-single-and-multifamily-rental-prices (single-family rental price growth ran parallel to multifamily through 2021 and then far exceeded it, widening the price gap between the two unit types after 2022).
The three markers below are taken from the sources at the end of your uploaded document (Copy of Part_Who_Rents_Nashville), not invented. Renumber into the note 1..note N series on assembly.</w:t>
      </w:r>
    </w:p>
  </w:footnote>
  <w:footnote w:id="182">
    <w:p>
      <w:pPr>
        <w:pStyle w:val="FootnoteText"/>
      </w:pPr>
      <w:r>
        <w:rPr>
          <w:rStyle w:val="FootnoteReference"/>
          <w:rFonts w:ascii="Garamond" w:hAnsi="Garamond"/>
          <w:sz w:val="20"/>
        </w:rPr>
        <w:footnoteRef/>
      </w:r>
      <w:r>
        <w:rPr>
          <w:rFonts w:ascii="Garamond" w:hAnsi="Garamond"/>
          <w:sz w:val="20"/>
        </w:rPr>
        <w:t xml:space="preserve"> UHS, supra note 121, at 35 (citing Eviction Tracking System Version 2.0, Princeton University Eviction Lab (2020), showing 1,478 filings in February 2024 and a filing rate 45% above pre-pandemic baselines).</w:t>
      </w:r>
    </w:p>
  </w:footnote>
  <w:footnote w:id="183">
    <w:p>
      <w:pPr>
        <w:pStyle w:val="FootnoteText"/>
      </w:pPr>
      <w:r>
        <w:rPr>
          <w:rStyle w:val="FootnoteReference"/>
          <w:rFonts w:ascii="Garamond" w:hAnsi="Garamond"/>
          <w:sz w:val="20"/>
        </w:rPr>
        <w:footnoteRef/>
      </w:r>
      <w:r>
        <w:rPr>
          <w:rFonts w:ascii="Garamond" w:hAnsi="Garamond"/>
          <w:sz w:val="20"/>
        </w:rPr>
        <w:t xml:space="preserve"> Eviction Lab, Eviction Tracking System, Davidson County tract-month series, https://evictionlab.org/eviction-tracking/, joined to institutional parcel counts by tract from the grounded cadastral. The association is reported as a direction; the tract-level coefficients from the June 2026 join were not re-run on the July attribution and are not stated.</w:t>
      </w:r>
    </w:p>
  </w:footnote>
  <w:footnote w:id="184">
    <w:p>
      <w:pPr>
        <w:pStyle w:val="FootnoteText"/>
      </w:pPr>
      <w:r>
        <w:rPr>
          <w:rStyle w:val="FootnoteReference"/>
          <w:rFonts w:ascii="Garamond" w:hAnsi="Garamond"/>
          <w:sz w:val="20"/>
        </w:rPr>
        <w:footnoteRef/>
      </w:r>
      <w:r>
        <w:rPr>
          <w:rFonts w:ascii="Garamond" w:hAnsi="Garamond"/>
          <w:sz w:val="20"/>
        </w:rPr>
        <w:t xml:space="preserve"> Author's one-method count from the CaseLink search, supra note dsev: detainer warrants in which the operator or one of its shells is the plaintiff, single-family operators only (Starwood's apartment-complex affiliates, which filed 149 warrants as "Starwood Properties," are excluded; Starwood's 361 comprise 353 filings by its STAR securitization borrowers and eight recorded under an Invitation Homes stem). Holdings for the per-100-homes ratios are framework parcels as of July 22, 2026 (Progress 1,232; Amherst 654; Starwood 251; Tricon 276; American Homes 4 Rent 1,092). The ratios are cumulative counts over uneven filing windows, not annual rates. Year series from the filing-date field of the same search.</w:t>
      </w:r>
    </w:p>
  </w:footnote>
  <w:footnote w:id="185">
    <w:p>
      <w:pPr>
        <w:pStyle w:val="FootnoteText"/>
      </w:pPr>
      <w:r>
        <w:rPr>
          <w:rStyle w:val="FootnoteReference"/>
          <w:rFonts w:ascii="Garamond" w:hAnsi="Garamond"/>
          <w:sz w:val="20"/>
        </w:rPr>
        <w:footnoteRef/>
      </w:r>
      <w:r>
        <w:rPr>
          <w:rFonts w:ascii="Garamond" w:hAnsi="Garamond"/>
          <w:sz w:val="20"/>
        </w:rPr>
        <w:t xml:space="preserve"> See supra note 184.</w:t>
      </w:r>
    </w:p>
  </w:footnote>
  <w:footnote w:id="186">
    <w:p>
      <w:pPr>
        <w:pStyle w:val="FootnoteText"/>
      </w:pPr>
      <w:r>
        <w:rPr>
          <w:rStyle w:val="FootnoteReference"/>
          <w:rFonts w:ascii="Garamond" w:hAnsi="Garamond"/>
          <w:sz w:val="20"/>
        </w:rPr>
        <w:footnoteRef/>
      </w:r>
      <w:r>
        <w:rPr>
          <w:rFonts w:ascii="Garamond" w:hAnsi="Garamond"/>
          <w:sz w:val="20"/>
        </w:rPr>
        <w:t xml:space="preserve"> See supra note 184.</w:t>
      </w:r>
    </w:p>
  </w:footnote>
  <w:footnote w:id="187">
    <w:p>
      <w:pPr>
        <w:pStyle w:val="FootnoteText"/>
      </w:pPr>
      <w:r>
        <w:rPr>
          <w:rStyle w:val="FootnoteReference"/>
          <w:rFonts w:ascii="Garamond" w:hAnsi="Garamond"/>
          <w:sz w:val="20"/>
        </w:rPr>
        <w:footnoteRef/>
      </w:r>
      <w:r>
        <w:rPr>
          <w:rFonts w:ascii="Garamond" w:hAnsi="Garamond"/>
          <w:sz w:val="20"/>
        </w:rPr>
        <w:t xml:space="preserve"> See supra note 76.</w:t>
      </w:r>
    </w:p>
  </w:footnote>
  <w:footnote w:id="188">
    <w:p>
      <w:pPr>
        <w:pStyle w:val="FootnoteText"/>
      </w:pPr>
      <w:r>
        <w:rPr>
          <w:rStyle w:val="FootnoteReference"/>
          <w:rFonts w:ascii="Garamond" w:hAnsi="Garamond"/>
          <w:sz w:val="20"/>
        </w:rPr>
        <w:footnoteRef/>
      </w:r>
      <w:r>
        <w:rPr>
          <w:rFonts w:ascii="Garamond" w:hAnsi="Garamond"/>
          <w:sz w:val="20"/>
        </w:rPr>
        <w:t xml:space="preserve"> See supra note 76.</w:t>
      </w:r>
    </w:p>
  </w:footnote>
  <w:footnote w:id="189">
    <w:p>
      <w:pPr>
        <w:pStyle w:val="FootnoteText"/>
      </w:pPr>
      <w:r>
        <w:rPr>
          <w:rStyle w:val="FootnoteReference"/>
          <w:rFonts w:ascii="Garamond" w:hAnsi="Garamond"/>
          <w:sz w:val="20"/>
        </w:rPr>
        <w:footnoteRef/>
      </w:r>
      <w:r>
        <w:rPr>
          <w:rFonts w:ascii="Garamond" w:hAnsi="Garamond"/>
          <w:sz w:val="20"/>
        </w:rPr>
        <w:t xml:space="preserve"> See supra note 88.</w:t>
      </w:r>
    </w:p>
  </w:footnote>
  <w:footnote w:id="190">
    <w:p>
      <w:pPr>
        <w:pStyle w:val="FootnoteText"/>
      </w:pPr>
      <w:r>
        <w:rPr>
          <w:rStyle w:val="FootnoteReference"/>
          <w:rFonts w:ascii="Garamond" w:hAnsi="Garamond"/>
          <w:sz w:val="20"/>
        </w:rPr>
        <w:footnoteRef/>
      </w:r>
      <w:r>
        <w:rPr>
          <w:rFonts w:ascii="Garamond" w:hAnsi="Garamond"/>
          <w:sz w:val="20"/>
        </w:rPr>
        <w:t xml:space="preserve"> Author's analysis of ePermits Building Residential Rehab cases (case type 170) with recorded construction values, https://epermits.nashville.gov/api/permit/1.0/Case?$filter=caseTypeID%20eq%20170&amp;$inlinecount=allpages, joined by parcel to the current owner's acquisition date and sale price in the ParcelHistory ownership layer, https://maps.nashville.gov/arcgis2/rest/services/Parcels/ParcelHistory/MapServer/2, over the 14,193 entity-owned non-owner-occupied framework homes. See Appendix Table C1.</w:t>
      </w:r>
    </w:p>
  </w:footnote>
  <w:footnote w:id="191">
    <w:p>
      <w:pPr>
        <w:pStyle w:val="FootnoteText"/>
      </w:pPr>
      <w:r>
        <w:rPr>
          <w:rStyle w:val="FootnoteReference"/>
          <w:rFonts w:ascii="Garamond" w:hAnsi="Garamond"/>
          <w:sz w:val="20"/>
        </w:rPr>
        <w:footnoteRef/>
      </w:r>
      <w:r>
        <w:rPr>
          <w:rFonts w:ascii="Garamond" w:hAnsi="Garamond"/>
          <w:sz w:val="20"/>
        </w:rPr>
        <w:t xml:space="preserve"> See supra note 190.</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