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aramond" w:hAnsi="Garamond"/>
          <w:b/>
          <w:sz w:val="28"/>
        </w:rPr>
        <w:t>WHO LANDBANKS NASHVILLE?</w:t>
      </w:r>
    </w:p>
    <w:p>
      <w:pPr>
        <w:jc w:val="center"/>
      </w:pPr>
      <w:r>
        <w:rPr>
          <w:rFonts w:ascii="Garamond" w:hAnsi="Garamond"/>
          <w:i/>
          <w:sz w:val="24"/>
        </w:rPr>
        <w:t>Institutional Land Assembly, the Option-Agreement Economy, and the Vacant-Lot Inventory in Davidson County</w:t>
      </w:r>
    </w:p>
    <w:p>
      <w:pPr>
        <w:jc w:val="center"/>
      </w:pPr>
      <w:r>
        <w:rPr>
          <w:rFonts w:ascii="Garamond" w:hAnsi="Garamond"/>
          <w:i/>
          <w:sz w:val="22"/>
        </w:rPr>
        <w:t>By Natalie Baldacci</w:t>
      </w:r>
    </w:p>
    <w:p>
      <w:pPr>
        <w:jc w:val="center"/>
      </w:pPr>
      <w:r>
        <w:rPr>
          <w:rFonts w:ascii="Garamond" w:hAnsi="Garamond"/>
          <w:i/>
          <w:sz w:val="22"/>
        </w:rPr>
        <w:t>Part IV of the series</w:t>
      </w:r>
      <w:r>
        <w:rPr>
          <w:rFonts w:ascii="Garamond" w:hAnsi="Garamond"/>
          <w:i/>
          <w:sz w:val="22"/>
        </w:rPr>
        <w:t xml:space="preserve"> Who Owns Nashville? Wall Street's Quiet Takeover of a City's Housing Market</w:t>
      </w:r>
    </w:p>
    <w:p>
      <w:pPr>
        <w:spacing w:line="240" w:lineRule="auto" w:before="0" w:after="240"/>
        <w:jc w:val="both"/>
      </w:pPr>
      <w:r>
        <w:rPr>
          <w:rFonts w:ascii="Garamond" w:hAnsi="Garamond"/>
          <w:i/>
        </w:rPr>
        <w:t>On October 12, 2023, a recorded easement agreement gave a Davidson County tract a name that most land never carries in the public record: "Land Bank Investor." The instrument defined KLLB AIV LLC, a Kennedy Lewis vehicle mailing from Scottsdale, Arizona, as the Land Bank Investor, grouped it with Lennar, and granted Lennar an option to buy the finished lots through January 7, 2028. KLLB AIV had bought the 14.01-acre tract that same day for $17,385,000, and no house had to rise for years. This Article follows the land that institutional developers and investors buy, hold, and do not build. It identifies the holders four ways, through their own securities filings, through the county transaction record of vacant out-of-state acquisitions and how long they sit, through the roster of known land bankers, and through parcel acreage measured against years held. It shows that seventeen named land-bank and option vehicles held 1,444 Davidson parcels on June 24, 2026 and 993 on October 19, 2026, the difference being lots the builders took down in sixteen weeks; that the county deed record names each land banker, its builder, its project, and its option term; and that the vacant acreage companies hold could carry tens of thousands of the homes Nashville says it needs. The 21st Century ROAD to Housing Act bars buying the finished house. It does not reach the entity that banks the dirt.</w:t>
      </w:r>
    </w:p>
    <w:p>
      <w:pPr>
        <w:spacing w:line="240" w:lineRule="auto" w:after="0"/>
      </w:pPr>
      <w:r>
        <w:rPr>
          <w:rFonts w:ascii="Garamond" w:hAnsi="Garamond"/>
          <w:sz w:val="22"/>
        </w:rPr>
        <w:t>INTRODUCTION</w:t>
      </w:r>
    </w:p>
    <w:p>
      <w:pPr>
        <w:spacing w:line="240" w:lineRule="auto" w:after="0"/>
      </w:pPr>
      <w:r>
        <w:rPr>
          <w:rFonts w:ascii="Garamond" w:hAnsi="Garamond"/>
          <w:sz w:val="22"/>
        </w:rPr>
        <w:t>I. THE STRATEGY: LAND-LIGHT BUILDING AND THE OPTION AGREEMENT</w:t>
      </w:r>
    </w:p>
    <w:p>
      <w:pPr>
        <w:spacing w:line="240" w:lineRule="auto" w:after="0"/>
        <w:ind w:left="720"/>
      </w:pPr>
      <w:r>
        <w:rPr>
          <w:rFonts w:ascii="Garamond" w:hAnsi="Garamond"/>
          <w:sz w:val="22"/>
        </w:rPr>
        <w:t>A. From Vertical Builder to Land-Light Optionor</w:t>
      </w:r>
    </w:p>
    <w:p>
      <w:pPr>
        <w:spacing w:line="240" w:lineRule="auto" w:after="0"/>
        <w:ind w:left="720"/>
      </w:pPr>
      <w:r>
        <w:rPr>
          <w:rFonts w:ascii="Garamond" w:hAnsi="Garamond"/>
          <w:sz w:val="22"/>
        </w:rPr>
        <w:t>B. "Land Bank Investor" Is a Party in the Deed Record</w:t>
      </w:r>
    </w:p>
    <w:p>
      <w:pPr>
        <w:spacing w:line="240" w:lineRule="auto" w:after="0"/>
        <w:ind w:left="720"/>
      </w:pPr>
      <w:r>
        <w:rPr>
          <w:rFonts w:ascii="Garamond" w:hAnsi="Garamond"/>
          <w:sz w:val="22"/>
        </w:rPr>
        <w:t>C. Why Scarcity Pays the Holder</w:t>
      </w:r>
    </w:p>
    <w:p>
      <w:pPr>
        <w:spacing w:line="240" w:lineRule="auto" w:after="0"/>
      </w:pPr>
      <w:r>
        <w:rPr>
          <w:rFonts w:ascii="Garamond" w:hAnsi="Garamond"/>
          <w:sz w:val="22"/>
        </w:rPr>
        <w:t>II. THE FEDERAL FRAME: SUPPLY, FRAGMENTATION, AND THE ROAD ACT</w:t>
      </w:r>
    </w:p>
    <w:p>
      <w:pPr>
        <w:spacing w:line="240" w:lineRule="auto" w:after="0"/>
        <w:ind w:left="720"/>
      </w:pPr>
      <w:r>
        <w:rPr>
          <w:rFonts w:ascii="Garamond" w:hAnsi="Garamond"/>
          <w:sz w:val="22"/>
        </w:rPr>
        <w:t>A. The Shortage as a Land Problem</w:t>
      </w:r>
    </w:p>
    <w:p>
      <w:pPr>
        <w:spacing w:line="240" w:lineRule="auto" w:after="0"/>
        <w:ind w:left="720"/>
      </w:pPr>
      <w:r>
        <w:rPr>
          <w:rFonts w:ascii="Garamond" w:hAnsi="Garamond"/>
          <w:sz w:val="22"/>
        </w:rPr>
        <w:t>B. What the ROAD Act Does and Does Not Reach</w:t>
      </w:r>
    </w:p>
    <w:p>
      <w:pPr>
        <w:spacing w:line="240" w:lineRule="auto" w:after="0"/>
      </w:pPr>
      <w:r>
        <w:rPr>
          <w:rFonts w:ascii="Garamond" w:hAnsi="Garamond"/>
          <w:sz w:val="22"/>
        </w:rPr>
        <w:t>III. WHY NASHVILLE</w:t>
      </w:r>
    </w:p>
    <w:p>
      <w:pPr>
        <w:spacing w:line="240" w:lineRule="auto" w:after="0"/>
      </w:pPr>
      <w:r>
        <w:rPr>
          <w:rFonts w:ascii="Garamond" w:hAnsi="Garamond"/>
          <w:sz w:val="22"/>
        </w:rPr>
        <w:t>IV. DATA, METHODS, AND DEFINITIONS</w:t>
      </w:r>
    </w:p>
    <w:p>
      <w:pPr>
        <w:spacing w:line="240" w:lineRule="auto" w:after="0"/>
        <w:ind w:left="720"/>
      </w:pPr>
      <w:r>
        <w:rPr>
          <w:rFonts w:ascii="Garamond" w:hAnsi="Garamond"/>
          <w:sz w:val="22"/>
        </w:rPr>
        <w:t>A. The Data</w:t>
      </w:r>
    </w:p>
    <w:p>
      <w:pPr>
        <w:spacing w:line="240" w:lineRule="auto" w:after="0"/>
        <w:ind w:left="720"/>
      </w:pPr>
      <w:r>
        <w:rPr>
          <w:rFonts w:ascii="Garamond" w:hAnsi="Garamond"/>
          <w:sz w:val="22"/>
        </w:rPr>
        <w:t>B. Four Ways to Identify a Land Banker</w:t>
      </w:r>
    </w:p>
    <w:p>
      <w:pPr>
        <w:spacing w:line="240" w:lineRule="auto" w:after="0"/>
        <w:ind w:left="720"/>
      </w:pPr>
      <w:r>
        <w:rPr>
          <w:rFonts w:ascii="Garamond" w:hAnsi="Garamond"/>
          <w:sz w:val="22"/>
        </w:rPr>
        <w:t>C. Measuring Buildable Land and Dating Development</w:t>
      </w:r>
    </w:p>
    <w:p>
      <w:pPr>
        <w:spacing w:line="240" w:lineRule="auto" w:after="0"/>
        <w:ind w:left="720"/>
      </w:pPr>
      <w:r>
        <w:rPr>
          <w:rFonts w:ascii="Garamond" w:hAnsi="Garamond"/>
          <w:sz w:val="22"/>
        </w:rPr>
        <w:t>D. Definitions and the Gap</w:t>
      </w:r>
    </w:p>
    <w:p>
      <w:pPr>
        <w:spacing w:line="240" w:lineRule="auto" w:after="0"/>
      </w:pPr>
      <w:r>
        <w:rPr>
          <w:rFonts w:ascii="Garamond" w:hAnsi="Garamond"/>
          <w:sz w:val="22"/>
        </w:rPr>
        <w:t>V. FINDINGS</w:t>
      </w:r>
    </w:p>
    <w:p>
      <w:pPr>
        <w:spacing w:line="240" w:lineRule="auto" w:after="0"/>
        <w:ind w:left="720"/>
      </w:pPr>
      <w:r>
        <w:rPr>
          <w:rFonts w:ascii="Garamond" w:hAnsi="Garamond"/>
          <w:sz w:val="22"/>
        </w:rPr>
        <w:t>A. The Named Land Bankers</w:t>
      </w:r>
    </w:p>
    <w:p>
      <w:pPr>
        <w:spacing w:line="240" w:lineRule="auto" w:after="0"/>
        <w:ind w:left="720"/>
      </w:pPr>
      <w:r>
        <w:rPr>
          <w:rFonts w:ascii="Garamond" w:hAnsi="Garamond"/>
          <w:sz w:val="22"/>
        </w:rPr>
        <w:t>B. Five Operating Structures</w:t>
      </w:r>
    </w:p>
    <w:p>
      <w:pPr>
        <w:spacing w:line="240" w:lineRule="auto" w:after="0"/>
        <w:ind w:left="720"/>
      </w:pPr>
      <w:r>
        <w:rPr>
          <w:rFonts w:ascii="Garamond" w:hAnsi="Garamond"/>
          <w:sz w:val="22"/>
        </w:rPr>
        <w:t>C. How Long They Hold, and the Markup</w:t>
      </w:r>
    </w:p>
    <w:p>
      <w:pPr>
        <w:spacing w:line="240" w:lineRule="auto" w:after="0"/>
        <w:ind w:left="720"/>
      </w:pPr>
      <w:r>
        <w:rPr>
          <w:rFonts w:ascii="Garamond" w:hAnsi="Garamond"/>
          <w:sz w:val="22"/>
        </w:rPr>
        <w:t>D. The Homes the Vacant Land Could Carry</w:t>
      </w:r>
    </w:p>
    <w:p>
      <w:pPr>
        <w:spacing w:line="240" w:lineRule="auto" w:after="0"/>
      </w:pPr>
      <w:r>
        <w:rPr>
          <w:rFonts w:ascii="Garamond" w:hAnsi="Garamond"/>
          <w:sz w:val="22"/>
        </w:rPr>
        <w:t>VI. WHAT THE ACT DOES NOT REACH</w:t>
      </w:r>
    </w:p>
    <w:p>
      <w:pPr>
        <w:spacing w:line="240" w:lineRule="auto" w:after="0"/>
      </w:pPr>
      <w:r>
        <w:rPr>
          <w:rFonts w:ascii="Garamond" w:hAnsi="Garamond"/>
          <w:sz w:val="22"/>
        </w:rPr>
        <w:t>CONCLUSION</w:t>
      </w:r>
    </w:p>
    <w:p>
      <w:pPr>
        <w:spacing w:line="240" w:lineRule="auto" w:after="0"/>
      </w:pPr>
      <w:r>
        <w:rPr>
          <w:rFonts w:ascii="Garamond" w:hAnsi="Garamond"/>
          <w:sz w:val="22"/>
        </w:rPr>
        <w:t>APPENDIX A: RECORDED OPTION AGREEMENTS AND LAND-BANK VEHICLES</w:t>
      </w:r>
    </w:p>
    <w:p>
      <w:pPr>
        <w:spacing w:line="240" w:lineRule="auto" w:after="0"/>
      </w:pPr>
      <w:r>
        <w:rPr>
          <w:rFonts w:ascii="Garamond" w:hAnsi="Garamond"/>
          <w:sz w:val="22"/>
        </w:rPr>
        <w:t>APPENDIX B: VACANT HOLDINGS, HOLD DURATION, AND MARKUP</w:t>
      </w:r>
    </w:p>
    <w:p>
      <w:pPr>
        <w:spacing w:line="240" w:lineRule="auto" w:after="0"/>
      </w:pPr>
      <w:r>
        <w:rPr>
          <w:rFonts w:ascii="Garamond" w:hAnsi="Garamond"/>
          <w:sz w:val="22"/>
        </w:rPr>
        <w:t>APPENDIX C: BUILDABLE CAPACITY OF ENTITY-HELD VACANT LAND</w:t>
      </w:r>
    </w:p>
    <w:p>
      <w:pPr>
        <w:spacing w:line="240" w:lineRule="auto" w:after="0"/>
      </w:pPr>
      <w:r>
        <w:rPr>
          <w:rFonts w:ascii="Garamond" w:hAnsi="Garamond"/>
          <w:sz w:val="22"/>
        </w:rPr>
        <w:t>ONLINE DATA APPENDIX</w:t>
      </w:r>
    </w:p>
    <w:p>
      <w:pPr>
        <w:pStyle w:val="Heading1"/>
        <w:spacing w:before="360"/>
      </w:pPr>
      <w:r>
        <w:t>INTRODUCTION</w:t>
      </w:r>
    </w:p>
    <w:p>
      <w:pPr>
        <w:spacing w:line="480" w:lineRule="auto" w:before="0" w:after="0"/>
        <w:ind w:firstLine="720"/>
      </w:pPr>
      <w:r>
        <w:rPr>
          <w:rFonts w:ascii="Garamond" w:hAnsi="Garamond"/>
        </w:rPr>
        <w:t>On October 12, 2023, KLLB AIV LLC, a Kennedy Lewis vehicle mailing from Scottsdale, Arizona, paid $17,385,000 for a 14.01-acre Davidson County tract and granted Lennar an option to buy the finished lots through January 7, 2028.</w:t>
      </w:r>
      <w:r>
        <w:rPr>
          <w:rStyle w:val="FootnoteReference"/>
        </w:rPr>
        <w:footnoteReference w:id="1"/>
      </w:r>
      <w:r>
        <w:rPr>
          <w:rFonts w:ascii="Garamond" w:hAnsi="Garamond"/>
        </w:rPr>
        <w:t xml:space="preserve"> A recorded easement agreement names the arrangement. It defines KLLB AIV as the "Land Bank Investor," and a recorded declaration of covenants names a TPG Angelo Gordon vehicle the "Land Bank" on a second Lennar project.</w:t>
      </w:r>
      <w:r>
        <w:rPr>
          <w:rStyle w:val="FootnoteReference"/>
        </w:rPr>
        <w:footnoteReference w:id="2"/>
      </w:r>
      <w:r>
        <w:rPr>
          <w:rFonts w:ascii="Garamond" w:hAnsi="Garamond"/>
        </w:rPr>
        <w:t xml:space="preserve"> The category is not an academic gloss laid over ordinary deeds. It is a defined legal party in the Davidson Register of Deeds, and no house has to rise on the City Vista tract for years.</w:t>
      </w:r>
    </w:p>
    <w:p>
      <w:pPr>
        <w:spacing w:line="480" w:lineRule="auto" w:before="0" w:after="0"/>
        <w:ind w:firstLine="720"/>
      </w:pPr>
      <w:r>
        <w:rPr>
          <w:rFonts w:ascii="Garamond" w:hAnsi="Garamond"/>
        </w:rPr>
        <w:t>The transaction is the local settlement of a national shift. The country cannot build enough homes, and the debate about why usually stops at the property line: economists trace the shortage to zoning, permitting delay, labor, and materials.</w:t>
      </w:r>
      <w:r>
        <w:rPr>
          <w:rStyle w:val="FootnoteReference"/>
        </w:rPr>
        <w:footnoteReference w:id="3"/>
      </w:r>
      <w:r>
        <w:rPr>
          <w:rFonts w:ascii="Garamond" w:hAnsi="Garamond"/>
        </w:rPr>
        <w:t xml:space="preserve"> A newer, parcel-level account traces it to the land, where buildable parcels have grown scarce and fragmented and firms that can assemble large parcels hold a decisive edge.</w:t>
      </w:r>
      <w:r>
        <w:rPr>
          <w:rStyle w:val="FootnoteReference"/>
        </w:rPr>
        <w:footnoteReference w:id="4"/>
      </w:r>
      <w:r>
        <w:rPr>
          <w:rFonts w:ascii="Garamond" w:hAnsi="Garamond"/>
        </w:rPr>
        <w:t xml:space="preserve"> Both accounts treat vacant land as land that cannot be built, when some of it is land that will not be built, because the owner earns more by waiting. Meanwhile the builders left the land business. In 2017 the public homebuilders owned 64 percent of their lots; by 2025 they owned 26 percent and held options on the rest.</w:t>
      </w:r>
      <w:r>
        <w:rPr>
          <w:rStyle w:val="FootnoteReference"/>
        </w:rPr>
        <w:footnoteReference w:id="5"/>
      </w:r>
      <w:r>
        <w:rPr>
          <w:rFonts w:ascii="Garamond" w:hAnsi="Garamond"/>
        </w:rPr>
        <w:t xml:space="preserve"> Lennar spun its land into a separate real estate investment trust, Millrose Properties, on February 7, 2025, contributing roughly $5.5 billion in land, and now options that land back through a platform an outside manager runs.</w:t>
      </w:r>
      <w:r>
        <w:rPr>
          <w:rStyle w:val="FootnoteReference"/>
        </w:rPr>
        <w:footnoteReference w:id="6"/>
      </w:r>
      <w:r>
        <w:rPr>
          <w:rFonts w:ascii="Garamond" w:hAnsi="Garamond"/>
        </w:rPr>
        <w:t xml:space="preserve"> The trade calls the model land-light. The land the builders no longer own did not disappear. Funds hold it, and this Article follows the land those funds buy, hold, and do not build.</w:t>
      </w:r>
    </w:p>
    <w:p>
      <w:pPr>
        <w:spacing w:line="480" w:lineRule="auto" w:before="0" w:after="0"/>
        <w:ind w:firstLine="720"/>
      </w:pPr>
      <w:r>
        <w:rPr>
          <w:rFonts w:ascii="Garamond" w:hAnsi="Garamond"/>
        </w:rPr>
        <w:t>The economic implications of the arrangement are not one-sided ex ante. Land banking finances construction: the fund carries land a builder could not, and defenders answer that institutional capital adds housing through build-to-rent and that institutional holdings remain a small share of the national stock.</w:t>
      </w:r>
      <w:r>
        <w:rPr>
          <w:rStyle w:val="FootnoteReference"/>
        </w:rPr>
        <w:footnoteReference w:id="7"/>
      </w:r>
      <w:r>
        <w:rPr>
          <w:rFonts w:ascii="Garamond" w:hAnsi="Garamond"/>
        </w:rPr>
        <w:t xml:space="preserve"> The competing account holds that the same capital withholds developable land to protect price, the practice its critics call land hoarding and the builders call inventory discipline.</w:t>
      </w:r>
      <w:r>
        <w:rPr>
          <w:rStyle w:val="FootnoteReference"/>
        </w:rPr>
        <w:footnoteReference w:id="8"/>
      </w:r>
      <w:r>
        <w:rPr>
          <w:rFonts w:ascii="Garamond" w:hAnsi="Garamond"/>
        </w:rPr>
        <w:t xml:space="preserve"> Which effect dominates on the ground is an empirical question, and a single county's complete parcel record can answer a piece of it that national aggregates cannot: whether named funds acquire buildable land and hold it vacant, for how long, and at what gain.</w:t>
      </w:r>
    </w:p>
    <w:p>
      <w:pPr>
        <w:spacing w:line="480" w:lineRule="auto" w:before="0" w:after="0"/>
        <w:ind w:firstLine="720"/>
      </w:pPr>
      <w:r>
        <w:rPr>
          <w:rFonts w:ascii="Garamond" w:hAnsi="Garamond"/>
        </w:rPr>
        <w:t>This Article measures that piece for Davidson County, Tennessee. It identifies institutional land bankers four ways: through the "land bank" language in their own Securities and Exchange Commission filings; through the county transaction record, which flags vacant land acquired by out-of-state entities and measures how long they hold it; through the published roster of known land bankers, such as Walton; and through the parcel record itself, which pairs each owner's acreage with the years it has held without building.</w:t>
      </w:r>
      <w:r>
        <w:rPr>
          <w:rStyle w:val="FootnoteReference"/>
        </w:rPr>
        <w:footnoteReference w:id="9"/>
      </w:r>
      <w:r>
        <w:rPr>
          <w:rFonts w:ascii="Garamond" w:hAnsi="Garamond"/>
        </w:rPr>
        <w:t xml:space="preserve"> The four methods converge on the same actors, and a fifth signal cuts across them: the recorded option instrument that names the land banker, the builder, the project, the price, and the option expiry in a single document.</w:t>
      </w:r>
      <w:r>
        <w:rPr>
          <w:rStyle w:val="FootnoteReference"/>
        </w:rPr>
        <w:footnoteReference w:id="10"/>
      </w:r>
    </w:p>
    <w:p>
      <w:pPr>
        <w:spacing w:line="480" w:lineRule="auto" w:before="0" w:after="0"/>
        <w:ind w:firstLine="720"/>
      </w:pPr>
      <w:r>
        <w:rPr>
          <w:rFonts w:ascii="Garamond" w:hAnsi="Garamond"/>
        </w:rPr>
        <w:t>The Article first documents the inventory. Seventeen named land-bank and option vehicles held 1,444 Davidson parcels on June 24, 2026 and 993 on October 19, 2026, and the recorded instruments name every party to each arrangement.</w:t>
      </w:r>
      <w:r>
        <w:rPr>
          <w:rStyle w:val="FootnoteReference"/>
        </w:rPr>
        <w:footnoteReference w:id="11"/>
      </w:r>
      <w:r>
        <w:rPr>
          <w:rFonts w:ascii="Garamond" w:hAnsi="Garamond"/>
        </w:rPr>
        <w:t xml:space="preserve"> Five operating structures organize the deals, and nine institutional vehicles feed four national builders: Lennar, Meritage, Beazer, and Clayton.</w:t>
      </w:r>
      <w:r>
        <w:rPr>
          <w:rStyle w:val="FootnoteReference"/>
        </w:rPr>
        <w:footnoteReference w:id="12"/>
      </w:r>
      <w:r>
        <w:rPr>
          <w:rFonts w:ascii="Garamond" w:hAnsi="Garamond"/>
        </w:rPr>
        <w:t xml:space="preserve"> Of 136,605 Davidson parcels that began as vacant land, 43,361 remain vacant today, 21,553 of them under a corporate name, and 9,118 have sat in the same corporate hands for a decade or more.</w:t>
      </w:r>
      <w:r>
        <w:rPr>
          <w:rStyle w:val="FootnoteReference"/>
        </w:rPr>
        <w:footnoteReference w:id="13"/>
      </w:r>
    </w:p>
    <w:p>
      <w:pPr>
        <w:spacing w:line="480" w:lineRule="auto" w:before="0" w:after="0"/>
        <w:ind w:firstLine="720"/>
      </w:pPr>
      <w:r>
        <w:rPr>
          <w:rFonts w:ascii="Garamond" w:hAnsi="Garamond"/>
        </w:rPr>
        <w:t>The record then shows how the hold pays. The land bank subtracts from supply through two levers, metering and markup, and it removes no homes to do so. The recorded deal chains run from fourteen days to 791 days between acquisition and first takedown, and the takedown spreads run from about 16 percent to roughly 106 percent over the fund's cost.</w:t>
      </w:r>
      <w:r>
        <w:rPr>
          <w:rStyle w:val="FootnoteReference"/>
        </w:rPr>
        <w:footnoteReference w:id="14"/>
      </w:r>
      <w:r>
        <w:rPr>
          <w:rFonts w:ascii="Garamond" w:hAnsi="Garamond"/>
        </w:rPr>
        <w:t xml:space="preserve"> The Antioch 15 parcel gained 7.45 times its value over thirty-three months while producing no housing, with a specific-plan rezoning as the value event.</w:t>
      </w:r>
      <w:r>
        <w:rPr>
          <w:rStyle w:val="FootnoteReference"/>
        </w:rPr>
        <w:footnoteReference w:id="15"/>
      </w:r>
      <w:r>
        <w:rPr>
          <w:rFonts w:ascii="Garamond" w:hAnsi="Garamond"/>
        </w:rPr>
        <w:t xml:space="preserve"> The hold is a choice, not a constraint: American Homes 4 Rent, which builds rental homes and earns nothing from idle land, moved from acquisition to plat in one to two years on the same market and through the same permitting office where the funds hold three to four.</w:t>
      </w:r>
      <w:r>
        <w:rPr>
          <w:rStyle w:val="FootnoteReference"/>
        </w:rPr>
        <w:footnoteReference w:id="16"/>
      </w:r>
      <w:r>
        <w:rPr>
          <w:rFonts w:ascii="Garamond" w:hAnsi="Garamond"/>
        </w:rPr>
        <w:t xml:space="preserve"> The vacant land that entity-owned holders, companies rather than people on the deed, warehouse could carry between 26,600 and 72,500 homes, measured two ways so the estimate is bracketed rather than assumed.</w:t>
      </w:r>
      <w:r>
        <w:rPr>
          <w:rStyle w:val="FootnoteReference"/>
        </w:rPr>
        <w:footnoteReference w:id="17"/>
      </w:r>
    </w:p>
    <w:p>
      <w:pPr>
        <w:spacing w:line="480" w:lineRule="auto" w:before="0" w:after="0"/>
        <w:ind w:firstLine="720"/>
      </w:pPr>
      <w:r>
        <w:rPr>
          <w:rFonts w:ascii="Garamond" w:hAnsi="Garamond"/>
        </w:rPr>
        <w:t>The federal response does not reach any of this. Section 1001 of the 21st Century ROAD to Housing Act bars a large institutional investor from purchasing a single-family home, and it defines a single-family home as a structure of two or fewer dwelling units.</w:t>
      </w:r>
      <w:r>
        <w:rPr>
          <w:rStyle w:val="FootnoteReference"/>
        </w:rPr>
        <w:footnoteReference w:id="18"/>
      </w:r>
      <w:r>
        <w:rPr>
          <w:rFonts w:ascii="Garamond" w:hAnsi="Garamond"/>
        </w:rPr>
        <w:t xml:space="preserve"> Raw land holds no structure. An entity that buys raw land, holds it, entitles it, and delivers finished lots to a builder never buys a single-family home within the meaning of the Act, and the Act exempts new construction and build-to-rent, the very channels these vehicles feed.</w:t>
      </w:r>
      <w:r>
        <w:rPr>
          <w:rStyle w:val="FootnoteReference"/>
        </w:rPr>
        <w:footnoteReference w:id="19"/>
      </w:r>
      <w:r>
        <w:rPr>
          <w:rFonts w:ascii="Garamond" w:hAnsi="Garamond"/>
        </w:rPr>
        <w:t xml:space="preserve"> A statute that closes the finished-home channel while holding the land channel open gives the displaced capital an exempt place to go.</w:t>
      </w:r>
    </w:p>
    <w:p>
      <w:pPr>
        <w:spacing w:line="480" w:lineRule="auto" w:before="0" w:after="0"/>
        <w:ind w:firstLine="720"/>
      </w:pPr>
      <w:r>
        <w:rPr>
          <w:rFonts w:ascii="Garamond" w:hAnsi="Garamond"/>
        </w:rPr>
        <w:t>This Article does not measure everything institutional capital does to housing. It does not measure rents, evictions, or the acquisition of finished homes, which earlier Parts of this series cover, and it does not trace the securitized debt behind the vehicles, which the next Part follows. It documents the predevelopment land pipeline: who holds it, under what recorded instruments, for how long, and at what markup.</w:t>
      </w:r>
    </w:p>
    <w:p>
      <w:pPr>
        <w:spacing w:line="480" w:lineRule="auto" w:before="0" w:after="0"/>
        <w:ind w:firstLine="720"/>
      </w:pPr>
      <w:r>
        <w:rPr>
          <w:rFonts w:ascii="Garamond" w:hAnsi="Garamond"/>
        </w:rPr>
        <w:t>A small scholarship measures land banking directly, and none of it reaches this far upstream at this granularity. Whitaker and Fitzpatrick evaluate public land banks empirically; Sasu, Squires, and Javed survey land banking across the literature; two Federal Reserve Bank of Philadelphia working papers trace institutional investors through the single-family market; and Murray shows that land banking constrains housing supply by design.</w:t>
      </w:r>
      <w:r>
        <w:rPr>
          <w:rStyle w:val="FootnoteReference"/>
        </w:rPr>
        <w:footnoteReference w:id="20"/>
      </w:r>
      <w:r>
        <w:rPr>
          <w:rFonts w:ascii="Garamond" w:hAnsi="Garamond"/>
        </w:rPr>
        <w:t xml:space="preserve"> The single-family rental literature studies the acquisition of finished homes and, recently, build-to-rent construction, but it treats the land beneath those communities as a fixed input rather than a contested asset.</w:t>
      </w:r>
      <w:r>
        <w:rPr>
          <w:rStyle w:val="FootnoteReference"/>
        </w:rPr>
        <w:footnoteReference w:id="21"/>
      </w:r>
      <w:r>
        <w:rPr>
          <w:rFonts w:ascii="Garamond" w:hAnsi="Garamond"/>
        </w:rPr>
        <w:t xml:space="preserve"> No published work measures institutional control of the predevelopment land pipeline at parcel granularity in a single county. That gap is where the federal exemption operates, and Davidson County's deed, parcel, and permit records let this Article measure it there.</w:t>
      </w:r>
    </w:p>
    <w:p>
      <w:pPr>
        <w:spacing w:line="480" w:lineRule="auto" w:before="0" w:after="0"/>
        <w:ind w:firstLine="720"/>
      </w:pPr>
      <w:r>
        <w:rPr>
          <w:rFonts w:ascii="Garamond" w:hAnsi="Garamond"/>
        </w:rPr>
        <w:t>The Article proceeds in six parts. Part I explains the land-light strategy and shows that the deed record names the land banker. Part II places the strategy against the supply debate and the ROAD Act. Part III explains why Davidson County is the decisive case. Part IV describes the data, states the four identification methods, and defines the land-banking measure. Part V presents the named holders, the operating structures, the hold times and markups, and the buildable capacity. Part VI turns to what the Act leaves open. The October 2023 City Vista transaction runs through all six.</w:t>
      </w:r>
    </w:p>
    <w:p>
      <w:pPr>
        <w:pStyle w:val="Heading1"/>
        <w:spacing w:before="360"/>
      </w:pPr>
      <w:r>
        <w:t>I. THE STRATEGY: LAND-LIGHT BUILDING AND THE OPTION AGREEMENT</w:t>
      </w:r>
    </w:p>
    <w:p>
      <w:pPr>
        <w:spacing w:line="480" w:lineRule="auto" w:before="0" w:after="0"/>
        <w:ind w:firstLine="720"/>
      </w:pPr>
      <w:r>
        <w:rPr>
          <w:rFonts w:ascii="Garamond" w:hAnsi="Garamond"/>
        </w:rPr>
        <w:t>Part I explains how the largest builders and investors turned land into a held asset, and it shows that the arrangement appears by name in the public record.</w:t>
      </w:r>
    </w:p>
    <w:p>
      <w:pPr>
        <w:pStyle w:val="Heading2"/>
      </w:pPr>
      <w:r>
        <w:t>A. From Vertical Builder to Land-Light Optionor</w:t>
      </w:r>
    </w:p>
    <w:p>
      <w:pPr>
        <w:spacing w:line="480" w:lineRule="auto" w:before="0" w:after="0"/>
        <w:ind w:firstLine="720"/>
      </w:pPr>
      <w:r>
        <w:rPr>
          <w:rFonts w:ascii="Garamond" w:hAnsi="Garamond"/>
        </w:rPr>
        <w:t>Land banking is a financing arrangement in which a capital provider buys land on behalf of a homebuilder and earns a fee to hold it until the builder is ready to build. The mechanics are consistent across deals. A fund, called the land banker, takes title to a tract, often one the builder itself placed under contract and assigned over at closing. The builder pays a large non-refundable deposit and, under a development agreement, does the pre-construction work while the land banker holds title: platting the subdivision, obtaining zoning approvals, and installing roads and utilities. When the market is ready, the builder exercises its option and takes down finished lots in phases, at pre-agreed prices that return the land banker its cost plus a profit. Each takedown is a deed from the land banker to the builder, paired with a partial release that frees that lot from the option. The builder holds a contractual right, not the land, and carries nothing on its balance sheet until it draws a lot down. The land banker holds the dirt, sets the release schedule, and prices the risk.</w:t>
      </w:r>
    </w:p>
    <w:p>
      <w:pPr>
        <w:spacing w:line="480" w:lineRule="auto" w:before="0" w:after="0"/>
        <w:ind w:firstLine="720"/>
      </w:pPr>
      <w:r>
        <w:rPr>
          <w:rFonts w:ascii="Garamond" w:hAnsi="Garamond"/>
        </w:rPr>
        <w:t>The public homebuilders once owned the land they built on, carrying each tract on their own balance sheet from acquisition through finished sale. The land-light model breaks that chain. A separate entity, often a fund or a captive real estate investment trust, owns the tract and grants the builder an option to buy finished lots on a takedown schedule, one phase at a time, as the market absorbs them.</w:t>
      </w:r>
      <w:r>
        <w:rPr>
          <w:rStyle w:val="FootnoteReference"/>
        </w:rPr>
        <w:footnoteReference w:id="22"/>
      </w:r>
      <w:r>
        <w:rPr>
          <w:rFonts w:ascii="Garamond" w:hAnsi="Garamond"/>
        </w:rPr>
        <w:t xml:space="preserve"> The builder books less land risk and a higher return on capital. The holder books the land-value gain. Lennar made the model explicit with the Millrose spin-off, and D.R. Horton and PulteGroup run comparable option and land-banking structures at scale.</w:t>
      </w:r>
      <w:r>
        <w:rPr>
          <w:rStyle w:val="FootnoteReference"/>
        </w:rPr>
        <w:footnoteReference w:id="23"/>
      </w:r>
    </w:p>
    <w:p>
      <w:pPr>
        <w:spacing w:line="480" w:lineRule="auto" w:before="0" w:after="0"/>
        <w:ind w:firstLine="720"/>
      </w:pPr>
      <w:r>
        <w:rPr>
          <w:rFonts w:ascii="Garamond" w:hAnsi="Garamond"/>
        </w:rPr>
        <w:t>The model has a history, and the 2008 financial crisis wrote it. Before the crisis, local builders funded land acquisition through community banks and savings institutions, the decentralized lenders that carried a builder through entitlement and permitting.</w:t>
      </w:r>
      <w:r>
        <w:rPr>
          <w:rStyle w:val="FootnoteReference"/>
        </w:rPr>
        <w:footnoteReference w:id="24"/>
      </w:r>
      <w:r>
        <w:rPr>
          <w:rFonts w:ascii="Garamond" w:hAnsi="Garamond"/>
        </w:rPr>
        <w:t xml:space="preserve"> The crisis closed those channels. Bank regulators shut or forced the merger of hundreds of community banks and thrifts between 2008 and 2015, lenders cut off credit to most small builders, and the number of single-family homebuilders fell by roughly half between 2007 and 2012.</w:t>
      </w:r>
      <w:r>
        <w:rPr>
          <w:rStyle w:val="FootnoteReference"/>
        </w:rPr>
        <w:footnoteReference w:id="25"/>
      </w:r>
      <w:r>
        <w:rPr>
          <w:rFonts w:ascii="Garamond" w:hAnsi="Garamond"/>
        </w:rPr>
        <w:t xml:space="preserve"> Credit did not leave housing; it migrated. The federal response channeled capital and tax relief to the largest publicly traded firms, which raised money on Wall Street, bought their way into recovering markets, and consolidated the industry into a handful of national builders.</w:t>
      </w:r>
      <w:r>
        <w:rPr>
          <w:rStyle w:val="FootnoteReference"/>
        </w:rPr>
        <w:footnoteReference w:id="26"/>
      </w:r>
      <w:r>
        <w:rPr>
          <w:rFonts w:ascii="Garamond" w:hAnsi="Garamond"/>
        </w:rPr>
        <w:t xml:space="preserve"> Those builders answered shareholder demands for capital discipline by holding land off their own books, and private credit and private equity funds moved in to supply the predevelopment capital the regional banks no longer would.</w:t>
      </w:r>
      <w:r>
        <w:rPr>
          <w:rStyle w:val="FootnoteReference"/>
        </w:rPr>
        <w:footnoteReference w:id="27"/>
      </w:r>
      <w:r>
        <w:rPr>
          <w:rFonts w:ascii="Garamond" w:hAnsi="Garamond"/>
        </w:rPr>
        <w:t xml:space="preserve"> Land banking is the instrument that pivot produced: the builder controls the lot pipeline through an option while a fund carries the land.</w:t>
      </w:r>
    </w:p>
    <w:p>
      <w:pPr>
        <w:spacing w:line="480" w:lineRule="auto" w:before="0" w:after="0"/>
        <w:ind w:firstLine="720"/>
      </w:pPr>
      <w:r>
        <w:rPr>
          <w:rFonts w:ascii="Garamond" w:hAnsi="Garamond"/>
        </w:rPr>
        <w:t>The shift is industry-wide and recent. In 2017 the public builders owned 64 percent of their lots and optioned 36 percent; by 2025 they owned 26 percent and held options on the other three-quarters.</w:t>
      </w:r>
      <w:r>
        <w:rPr>
          <w:rStyle w:val="FootnoteReference"/>
        </w:rPr>
        <w:footnoteReference w:id="28"/>
      </w:r>
      <w:r>
        <w:rPr>
          <w:rFonts w:ascii="Garamond" w:hAnsi="Garamond"/>
        </w:rPr>
        <w:t xml:space="preserve"> D.R. Horton now owns or controls more than 600,000 lots, in part through land bankers such as Walton Global, and by mid-2025 it controlled more than seven years of lot supply while owning half the land it held in 2005.</w:t>
      </w:r>
      <w:r>
        <w:rPr>
          <w:rStyle w:val="FootnoteReference"/>
        </w:rPr>
        <w:footnoteReference w:id="29"/>
      </w:r>
      <w:r>
        <w:rPr>
          <w:rFonts w:ascii="Garamond" w:hAnsi="Garamond"/>
        </w:rPr>
        <w:t xml:space="preserve"> Across the industry, Wall Street builders control roughly one million more lots than they did in 2020, and Walton Global launched a $250 million land fund with an unnamed public builder in 2025.</w:t>
      </w:r>
      <w:r>
        <w:rPr>
          <w:rStyle w:val="FootnoteReference"/>
        </w:rPr>
        <w:footnoteReference w:id="30"/>
      </w:r>
      <w:r>
        <w:rPr>
          <w:rFonts w:ascii="Garamond" w:hAnsi="Garamond"/>
        </w:rPr>
        <w:t xml:space="preserve"> Lennar carried $4 billion in off-balance-sheet debt through 116 joint ventures after the financial crisis to extend its land control while keeping the debt off its books.</w:t>
      </w:r>
      <w:r>
        <w:rPr>
          <w:rStyle w:val="FootnoteReference"/>
        </w:rPr>
        <w:footnoteReference w:id="31"/>
      </w:r>
    </w:p>
    <w:p>
      <w:pPr>
        <w:spacing w:line="480" w:lineRule="auto" w:before="0" w:after="0"/>
        <w:ind w:firstLine="720"/>
      </w:pPr>
      <w:r>
        <w:rPr>
          <w:rFonts w:ascii="Garamond" w:hAnsi="Garamond"/>
        </w:rPr>
        <w:t>The newest channel reserves whole developments for institutional owners rather than families. Purpose-built rental construction rose 134 percent after 2019, and the build-to-rent share of single-family starts nearly doubled from 5 percent in 2021 to 9 percent in 2024, a channel the ROAD Act exempts and a separate Part of this series takes up in full.</w:t>
      </w:r>
      <w:r>
        <w:rPr>
          <w:rStyle w:val="FootnoteReference"/>
        </w:rPr>
        <w:footnoteReference w:id="32"/>
      </w:r>
      <w:r>
        <w:rPr>
          <w:rFonts w:ascii="Garamond" w:hAnsi="Garamond"/>
        </w:rPr>
        <w:t xml:space="preserve"> What build-to-rent needs first is land. The funds that assemble and hold that land upstream, before any rental community exists, are this Article's subject.</w:t>
      </w:r>
    </w:p>
    <w:p>
      <w:pPr>
        <w:pStyle w:val="Heading2"/>
      </w:pPr>
      <w:r>
        <w:t>B. "Land Bank Investor" Is a Party in the Deed Record</w:t>
      </w:r>
    </w:p>
    <w:p>
      <w:pPr>
        <w:spacing w:line="480" w:lineRule="auto" w:before="0" w:after="0"/>
        <w:ind w:firstLine="720"/>
      </w:pPr>
      <w:r>
        <w:rPr>
          <w:rFonts w:ascii="Garamond" w:hAnsi="Garamond"/>
        </w:rPr>
        <w:t>Two recorded Davidson instruments use "Land Bank" or "Land Bank Investor" as a defined legal party. The October 12, 2023 Reciprocal Easement Agreement defines KLLB AIV LLC as the "Land Bank Investor" and groups it with Lennar Homes of Tennessee under the single label "Lennar."</w:t>
      </w:r>
      <w:r>
        <w:rPr>
          <w:rStyle w:val="FootnoteReference"/>
        </w:rPr>
        <w:footnoteReference w:id="33"/>
      </w:r>
      <w:r>
        <w:rPr>
          <w:rFonts w:ascii="Garamond" w:hAnsi="Garamond"/>
        </w:rPr>
        <w:t xml:space="preserve"> The August 19, 2025 Declaration of Covenants for Pemberton Townhomes names TPG AG EHC SD (LEN) Multi State 1, LLC the "Land Bank" and Lennar Homes of Tennessee the "Declarant."</w:t>
      </w:r>
      <w:r>
        <w:rPr>
          <w:rStyle w:val="FootnoteReference"/>
        </w:rPr>
        <w:footnoteReference w:id="34"/>
      </w:r>
      <w:r>
        <w:rPr>
          <w:rFonts w:ascii="Garamond" w:hAnsi="Garamond"/>
        </w:rPr>
        <w:t xml:space="preserve"> The label appears across two separate instruments and two separate land bankers. The category exists in the deed record itself, which is why the identification does not depend on inference alone.</w:t>
      </w:r>
    </w:p>
    <w:p>
      <w:pPr>
        <w:spacing w:line="480" w:lineRule="auto" w:before="0" w:after="0"/>
        <w:ind w:firstLine="720"/>
      </w:pPr>
      <w:r>
        <w:rPr>
          <w:rFonts w:ascii="Garamond" w:hAnsi="Garamond"/>
        </w:rPr>
        <w:t>The recorded Memoranda of Option Agreement name the same arrangement even where the instrument omits the "Land Bank" label. Each memorandum recites an owner, a builder, an option to draw the finished lots, and an expiry date, and the Davidson Register of Deeds indexes each one. DRP TN 1, LLC, a Delaware vehicle mailing to a Beazer Homes address in Atlanta, granted Beazer Homes, LLC an option over its Nashville single-family lots by a memorandum dated February 20, 2019 and recorded that month.</w:t>
      </w:r>
      <w:r>
        <w:rPr>
          <w:rStyle w:val="FootnoteReference"/>
        </w:rPr>
        <w:footnoteReference w:id="35"/>
      </w:r>
      <w:r>
        <w:rPr>
          <w:rFonts w:ascii="Garamond" w:hAnsi="Garamond"/>
        </w:rPr>
        <w:t xml:space="preserve"> DRP Multistate 1, LLC granted Clayton Properties Group, Inc. a comparable option by a memorandum dated December 22, 2022.</w:t>
      </w:r>
      <w:r>
        <w:rPr>
          <w:rStyle w:val="FootnoteReference"/>
        </w:rPr>
        <w:footnoteReference w:id="36"/>
      </w:r>
      <w:r>
        <w:rPr>
          <w:rFonts w:ascii="Garamond" w:hAnsi="Garamond"/>
        </w:rPr>
        <w:t xml:space="preserve"> Millrose Properties Tennessee, LLC, the Tennessee arm of Lennar's spun-off land REIT, granted Lennar Homes of Tennessee its option in an instrument recorded in April 2026, and Smith &amp; West, Inc., Domain Timberlake Multistate 2, LLC, and Ashton Nashville Residential appear as parties across the remaining memoranda.</w:t>
      </w:r>
      <w:r>
        <w:rPr>
          <w:rStyle w:val="FootnoteReference"/>
        </w:rPr>
        <w:footnoteReference w:id="37"/>
      </w:r>
      <w:r>
        <w:rPr>
          <w:rFonts w:ascii="Garamond" w:hAnsi="Garamond"/>
        </w:rPr>
        <w:t xml:space="preserve"> Twenty recorded memoranda in the author's assembled source table pair a named owner with a named builder, a dated option term, and a recording number, and each links to its deed image in the county's land-records portal.</w:t>
      </w:r>
      <w:r>
        <w:rPr>
          <w:rStyle w:val="FootnoteReference"/>
        </w:rPr>
        <w:footnoteReference w:id="38"/>
      </w:r>
      <w:r>
        <w:rPr>
          <w:rFonts w:ascii="Garamond" w:hAnsi="Garamond"/>
        </w:rPr>
        <w:t xml:space="preserve"> The pattern is consistent: the entity that holds the dirt and the entity that builds the house are different parties, joined by an option the public record captures in full.</w:t>
      </w:r>
    </w:p>
    <w:p>
      <w:pPr>
        <w:pStyle w:val="Heading2"/>
      </w:pPr>
      <w:r>
        <w:t>C. Why Scarcity Pays the Holder</w:t>
      </w:r>
    </w:p>
    <w:p>
      <w:pPr>
        <w:spacing w:line="480" w:lineRule="auto" w:before="0" w:after="0"/>
        <w:ind w:firstLine="720"/>
      </w:pPr>
      <w:r>
        <w:rPr>
          <w:rFonts w:ascii="Garamond" w:hAnsi="Garamond"/>
        </w:rPr>
        <w:t>The housing shortage is the land banker's business model, not its obstacle. When homes are scarce and prices outrun incomes, the land under those homes rises with them, and the owner who holds vacant land captures that gain without building. The Antioch 15 parcel shows the arithmetic. A local builder bought a 3.63-acre parcel in March 2022 for $420,000, the county rezoned the assemblage as a specific-plan district in February 2025, and the parcel then sold to an institutional land bank in December 2025 for $3,132,000, a 7.45 times markup over thirty-three months, with the rezoning in the middle.</w:t>
      </w:r>
      <w:r>
        <w:rPr>
          <w:rStyle w:val="FootnoteReference"/>
        </w:rPr>
        <w:footnoteReference w:id="39"/>
      </w:r>
      <w:r>
        <w:rPr>
          <w:rFonts w:ascii="Garamond" w:hAnsi="Garamond"/>
        </w:rPr>
        <w:t xml:space="preserve"> The land bank then optioned the lots to Meritage. A 7.45 times gain on land that produced no housing is a reward for holding through an entitlement, not for building.</w:t>
      </w:r>
    </w:p>
    <w:p>
      <w:pPr>
        <w:spacing w:line="480" w:lineRule="auto" w:before="0" w:after="0"/>
        <w:ind w:firstLine="720"/>
      </w:pPr>
      <w:r>
        <w:rPr>
          <w:rFonts w:ascii="Garamond" w:hAnsi="Garamond"/>
        </w:rPr>
        <w:t>The builders describe the strategy in their own terms. The industry calls the gain a "delay premium," the return from holding developable land off the market to create scarcity, and it pairs land banking with "inventory discipline."</w:t>
      </w:r>
      <w:r>
        <w:rPr>
          <w:rStyle w:val="FootnoteReference"/>
        </w:rPr>
        <w:footnoteReference w:id="40"/>
      </w:r>
      <w:r>
        <w:rPr>
          <w:rFonts w:ascii="Garamond" w:hAnsi="Garamond"/>
        </w:rPr>
        <w:t xml:space="preserve"> PulteGroup's chief executive said in 2026 that the company would prioritize price and margin over volume, holding delivery one to two thousand homes below its capacity of thirty-one thousand.</w:t>
      </w:r>
      <w:r>
        <w:rPr>
          <w:rStyle w:val="FootnoteReference"/>
        </w:rPr>
        <w:footnoteReference w:id="41"/>
      </w:r>
      <w:r>
        <w:rPr>
          <w:rFonts w:ascii="Garamond" w:hAnsi="Garamond"/>
        </w:rPr>
        <w:t xml:space="preserve"> Land prices rose two and a half times as fast as labor and materials over the past decade, and in a 2025 survey 63 percent of builders named lot cost and availability their single greatest cost problem, ahead of labor and materials.</w:t>
      </w:r>
      <w:r>
        <w:rPr>
          <w:rStyle w:val="FootnoteReference"/>
        </w:rPr>
        <w:footnoteReference w:id="42"/>
      </w:r>
    </w:p>
    <w:p>
      <w:pPr>
        <w:pStyle w:val="Heading2"/>
      </w:pPr>
      <w:r>
        <w:t>D. The Builders Call It Capital Discipline</w:t>
      </w:r>
    </w:p>
    <w:p>
      <w:pPr>
        <w:spacing w:line="480" w:lineRule="auto" w:before="0" w:after="0"/>
        <w:ind w:firstLine="720"/>
      </w:pPr>
      <w:r>
        <w:rPr>
          <w:rFonts w:ascii="Garamond" w:hAnsi="Garamond"/>
        </w:rPr>
        <w:t>The publicly traded homebuilders present land banking to their investors as prudent, land-light capital discipline. They held an average gross margin near 22 percent over the past decade and met earnings expectations by maximizing price over volume rather than building more.</w:t>
      </w:r>
      <w:r>
        <w:rPr>
          <w:rStyle w:val="FootnoteReference"/>
        </w:rPr>
        <w:footnoteReference w:id="43"/>
      </w:r>
      <w:r>
        <w:rPr>
          <w:rFonts w:ascii="Garamond" w:hAnsi="Garamond"/>
        </w:rPr>
        <w:t xml:space="preserve"> Lennar told investors in March 2024 that it had "continued to migrate to a land-light balance sheet," and D.R. Horton, PulteGroup, and Dream Finders describe the same shift in their filings.</w:t>
      </w:r>
      <w:r>
        <w:rPr>
          <w:rStyle w:val="FootnoteReference"/>
        </w:rPr>
        <w:footnoteReference w:id="44"/>
      </w:r>
      <w:r>
        <w:rPr>
          <w:rFonts w:ascii="Garamond" w:hAnsi="Garamond"/>
        </w:rPr>
        <w:t xml:space="preserve"> NVR pioneered the approach involuntarily, forced after its 1992 bankruptcy into a low-friction lot-takedown model that avoided owning land, and its capital efficiency became the template competitors later chose on purpose.</w:t>
      </w:r>
      <w:r>
        <w:rPr>
          <w:rStyle w:val="FootnoteReference"/>
        </w:rPr>
        <w:footnoteReference w:id="45"/>
      </w:r>
      <w:r>
        <w:rPr>
          <w:rFonts w:ascii="Garamond" w:hAnsi="Garamond"/>
        </w:rPr>
        <w:t xml:space="preserve"> The disclosures resolve into three structures that hold the land the builders no longer own: the builder-affiliated land developer, such as Forestar, which D.R. Horton controls and which invested $685,000,000 in land in a single quarter of fiscal 2025 to reach 106,000 lots; the builder-sponsored REIT, such as Lennar's Millrose, launched with $5.5 billion in land assets and funded by self-renewing capital rather than fundraising; and the third-party credit fund, such as Kennedy Lewis, TPG Angelo Gordon, Brookfield, and Walton Global, whose Builder Land Finance Fund III raises $250,000,000 for a single unnamed public builder and whose companion fund routes offshore capital through a Cayman Islands registration managed from the British Virgin Islands.</w:t>
      </w:r>
      <w:r>
        <w:rPr>
          <w:rStyle w:val="FootnoteReference"/>
        </w:rPr>
        <w:footnoteReference w:id="46"/>
      </w:r>
      <w:r>
        <w:rPr>
          <w:rFonts w:ascii="Garamond" w:hAnsi="Garamond"/>
        </w:rPr>
        <w:t xml:space="preserve"> The filings then disclaim control of the entity that holds the land. Dream Finders states that none of the creditors of its land-bank entities have recourse to its general credit and that it holds no voting rights in them, the language that keeps the land and its debt off the builder's balance sheet.</w:t>
      </w:r>
      <w:r>
        <w:rPr>
          <w:rStyle w:val="FootnoteReference"/>
        </w:rPr>
        <w:footnoteReference w:id="47"/>
      </w:r>
      <w:r>
        <w:rPr>
          <w:rFonts w:ascii="Garamond" w:hAnsi="Garamond"/>
        </w:rPr>
        <w:t xml:space="preserve"> Land banking is a credit product. It requires confidence that the builder will honor its guarantees regardless of the market, which limits it to well-capitalized public builders and the funds that lend to them. The disclosures quantify the scale. Taylor Morrison reported 10,002 lots under land-banking agreements against a $1,792,800,000 aggregate purchase price and $245,500,000 of loss exposure as of March 31, 2026, and it signed a separate $3,000,000,000 land-and-construction facility with Kennedy Lewis, the same fund behind the Davidson KLLB and Millrose vehicles, to scale its build-to-rent brand.</w:t>
      </w:r>
      <w:r>
        <w:rPr>
          <w:rStyle w:val="FootnoteReference"/>
        </w:rPr>
        <w:footnoteReference w:id="48"/>
      </w:r>
      <w:r>
        <w:rPr>
          <w:rFonts w:ascii="Garamond" w:hAnsi="Garamond"/>
        </w:rPr>
        <w:t xml:space="preserve"> The same "land banking" language appears in the filings of United Homes Group, Terra Capital Group, Hovnanian Enterprises, and Nashville Land Fund, Ltd., a roster the full-text EDGAR search returns and Appendix Table A5 collects.</w:t>
      </w:r>
      <w:r>
        <w:rPr>
          <w:rStyle w:val="FootnoteReference"/>
        </w:rPr>
        <w:footnoteReference w:id="49"/>
      </w:r>
      <w:r>
        <w:rPr>
          <w:rFonts w:ascii="Garamond" w:hAnsi="Garamond"/>
        </w:rPr>
        <w:t xml:space="preserve"> What the builders present as capital discipline appears in the Davidson deed record as named funds holding entitled tracts and metering them to Lennar, Meritage, Beazer, and Clayton.</w:t>
      </w:r>
      <w:r>
        <w:rPr>
          <w:rStyle w:val="FootnoteReference"/>
        </w:rPr>
        <w:footnoteReference w:id="50"/>
      </w:r>
    </w:p>
    <w:p>
      <w:pPr>
        <w:pStyle w:val="Heading1"/>
        <w:spacing w:before="360"/>
      </w:pPr>
      <w:r>
        <w:t>II. THE FEDERAL FRAME: SUPPLY, FRAGMENTATION, AND THE ROAD ACT</w:t>
      </w:r>
    </w:p>
    <w:p>
      <w:pPr>
        <w:spacing w:line="480" w:lineRule="auto" w:before="0" w:after="0"/>
        <w:ind w:firstLine="720"/>
      </w:pPr>
      <w:r>
        <w:rPr>
          <w:rFonts w:ascii="Garamond" w:hAnsi="Garamond"/>
        </w:rPr>
        <w:t>Part II places land banking against the two federal frames that claim to address the shortage. Neither reaches the held lot.</w:t>
      </w:r>
    </w:p>
    <w:p>
      <w:pPr>
        <w:pStyle w:val="Heading2"/>
      </w:pPr>
      <w:r>
        <w:t>A. The Shortage as a Land Problem</w:t>
      </w:r>
    </w:p>
    <w:p>
      <w:pPr>
        <w:spacing w:line="480" w:lineRule="auto" w:before="0" w:after="0"/>
        <w:ind w:firstLine="720"/>
      </w:pPr>
      <w:r>
        <w:rPr>
          <w:rFonts w:ascii="Garamond" w:hAnsi="Garamond"/>
        </w:rPr>
        <w:t>The country is short somewhere between 1.5 and 5.5 million homes, and the consensus explanation is supply, driven by land-use regulation, permitting delay, and rising labor and materials costs.</w:t>
      </w:r>
      <w:r>
        <w:rPr>
          <w:rStyle w:val="FootnoteReference"/>
        </w:rPr>
        <w:footnoteReference w:id="51"/>
      </w:r>
      <w:r>
        <w:rPr>
          <w:rFonts w:ascii="Garamond" w:hAnsi="Garamond"/>
        </w:rPr>
        <w:t xml:space="preserve"> The shortfall grew from a long slowdown in production: the housing stock expanded at 1.7 percent a year from 1968 through 2000 but only 0.7 percent in the past decade, while the cost of construction materials and labor doubled between 2001 and 2019.</w:t>
      </w:r>
      <w:r>
        <w:rPr>
          <w:rStyle w:val="FootnoteReference"/>
        </w:rPr>
        <w:footnoteReference w:id="52"/>
      </w:r>
      <w:r>
        <w:rPr>
          <w:rFonts w:ascii="Garamond" w:hAnsi="Garamond"/>
        </w:rPr>
        <w:t xml:space="preserve"> The shortage falls hardest on the least expensive homes, the starter houses first-time buyers rely on. Single-family homes under 1,400 square feet fell from 15 percent of new completions in 1999 to 10 percent in 2024, and from 14 percent to 4 percent among homes built for sale, and the Department of Housing and Urban Development counts only thirty-eight affordable and available units for every hundred extremely-low-income renter households.</w:t>
      </w:r>
      <w:r>
        <w:rPr>
          <w:rStyle w:val="FootnoteReference"/>
        </w:rPr>
        <w:footnoteReference w:id="53"/>
      </w:r>
      <w:r>
        <w:rPr>
          <w:rFonts w:ascii="Garamond" w:hAnsi="Garamond"/>
        </w:rPr>
        <w:t xml:space="preserve"> A shortage measured nationally tells little about any one family, however. What matters is the supply available to a given household, at a given income, for a given kind of home, in a given place. A parcel-level account adds a mechanism the regulatory story misses. Buildable land is fragmented across many small, disjoint lots, and it is increasingly held by firms that can afford to wait; where large buildable parcels are scarce, prices rise faster and construction responds less.</w:t>
      </w:r>
      <w:r>
        <w:rPr>
          <w:rStyle w:val="FootnoteReference"/>
        </w:rPr>
        <w:footnoteReference w:id="54"/>
      </w:r>
      <w:r>
        <w:rPr>
          <w:rFonts w:ascii="Garamond" w:hAnsi="Garamond"/>
        </w:rPr>
        <w:t xml:space="preserve"> Land banking sits inside that mechanism. Every acre an institutional holder warehouses is an acre the shortage prices upward and the holder is paid to keep empty.</w:t>
      </w:r>
    </w:p>
    <w:p>
      <w:pPr>
        <w:spacing w:line="480" w:lineRule="auto" w:before="0" w:after="0"/>
        <w:ind w:firstLine="720"/>
      </w:pPr>
      <w:r>
        <w:rPr>
          <w:rFonts w:ascii="Garamond" w:hAnsi="Garamond"/>
        </w:rPr>
        <w:t>The American Economic Liberties Project frames this as land hoarding, and its account supplies the national backdrop for the Davidson record. The public homebuilders owned 64 percent of their lots in 2017 and only 26 percent by 2025, shifting the rest to options on land that funds hold.</w:t>
      </w:r>
      <w:r>
        <w:rPr>
          <w:rStyle w:val="FootnoteReference"/>
        </w:rPr>
        <w:footnoteReference w:id="55"/>
      </w:r>
      <w:r>
        <w:rPr>
          <w:rFonts w:ascii="Garamond" w:hAnsi="Garamond"/>
        </w:rPr>
        <w:t xml:space="preserve"> D.R. Horton alone controls more than 600,000 lots, in part through land bankers such as Walton Global, and by mid-2025 it held more than seven years of lot supply while owning half the land it held in 2005.</w:t>
      </w:r>
      <w:r>
        <w:rPr>
          <w:rStyle w:val="FootnoteReference"/>
        </w:rPr>
        <w:footnoteReference w:id="56"/>
      </w:r>
      <w:r>
        <w:rPr>
          <w:rFonts w:ascii="Garamond" w:hAnsi="Garamond"/>
        </w:rPr>
        <w:t xml:space="preserve"> Across the industry, Wall Street builders control roughly one million more lots than in 2020.</w:t>
      </w:r>
      <w:r>
        <w:rPr>
          <w:rStyle w:val="FootnoteReference"/>
        </w:rPr>
        <w:footnoteReference w:id="57"/>
      </w:r>
      <w:r>
        <w:rPr>
          <w:rFonts w:ascii="Garamond" w:hAnsi="Garamond"/>
        </w:rPr>
        <w:t xml:space="preserve"> The Project names the return the industry earns for holding developable land off the market a "delay premium," and it pairs the practice with the "inventory discipline" the builders describe to investors, the deliberate metering of supply to protect price.</w:t>
      </w:r>
      <w:r>
        <w:rPr>
          <w:rStyle w:val="FootnoteReference"/>
        </w:rPr>
        <w:footnoteReference w:id="58"/>
      </w:r>
      <w:r>
        <w:rPr>
          <w:rFonts w:ascii="Garamond" w:hAnsi="Garamond"/>
        </w:rPr>
        <w:t xml:space="preserve"> Land banking is the parcel-level instrument of that discipline, and Davidson County records it deed by deed.</w:t>
      </w:r>
    </w:p>
    <w:p>
      <w:pPr>
        <w:spacing w:line="480" w:lineRule="auto" w:before="0" w:after="0"/>
        <w:ind w:firstLine="720"/>
      </w:pPr>
      <w:r>
        <w:rPr>
          <w:rFonts w:ascii="Garamond" w:hAnsi="Garamond"/>
        </w:rPr>
        <w:t>Not everyone reads institutional activity as a subtraction from supply. Defenders argue the opposite: that single-family rental REITs and institutional builders add housing by financing build-to-rent construction and by renovating deteriorated homes that would otherwise fall out of the stock, and that a purchase ban would reduce supply and raise costs for the low-income renters it means to protect.</w:t>
      </w:r>
      <w:r>
        <w:rPr>
          <w:rStyle w:val="FootnoteReference"/>
        </w:rPr>
        <w:footnoteReference w:id="59"/>
      </w:r>
      <w:r>
        <w:rPr>
          <w:rFonts w:ascii="Garamond" w:hAnsi="Garamond"/>
        </w:rPr>
        <w:t xml:space="preserve"> The American Enterprise Institute's housing center puts the empirical case most directly, reporting that institutional investors hold less than one percent of the national single-family stock, that only twenty-two counties reach a five-to-ten percent share, and that institutional buying is a reaction to a regulator-made shortage rather than its cause, so the remedy is to build more, not to ban.</w:t>
      </w:r>
      <w:r>
        <w:rPr>
          <w:rStyle w:val="FootnoteReference"/>
        </w:rPr>
        <w:footnoteReference w:id="60"/>
      </w:r>
      <w:r>
        <w:rPr>
          <w:rFonts w:ascii="Garamond" w:hAnsi="Garamond"/>
        </w:rPr>
        <w:t xml:space="preserve"> This Article does not dispute that institutions build and rehabilitate, that the price-and-rent literature is mixed, or that national market share is small. It draws the distinction the debate elides: the same capital that adds finished units downstream can withhold the land upstream, and the two are not offsetting when they occur on different parcels. A firm that builds a rental community on one tract while banking three others has added the first and subtracted the rest. A national one-percent share also says nothing about concentration in a single growing county, where the land-banking measure isolates the subtraction the aggregate counts obscure.</w:t>
      </w:r>
    </w:p>
    <w:p>
      <w:pPr>
        <w:spacing w:line="480" w:lineRule="auto" w:before="0" w:after="0"/>
        <w:ind w:firstLine="720"/>
      </w:pPr>
      <w:r>
        <w:rPr>
          <w:rFonts w:ascii="Garamond" w:hAnsi="Garamond"/>
        </w:rPr>
        <w:t>The causal backdrop is contested too, and the Article should say so. Its Background traces the shortage in part to the collapse of local finance, following the American Economic Liberties Project. The American Enterprise Institute's housing center disputes that framing directly, arguing that "policy-induced costs and local feasibility barriers act as the primary constraint on new housing production and are more binding than capital availability alone," and that "the empirical record from local housing markets does not support the view that financing is the dominant constraint on housing supply."</w:t>
      </w:r>
      <w:r>
        <w:rPr>
          <w:rStyle w:val="FootnoteReference"/>
        </w:rPr>
        <w:footnoteReference w:id="61"/>
      </w:r>
      <w:r>
        <w:rPr>
          <w:rFonts w:ascii="Garamond" w:hAnsi="Garamond"/>
        </w:rPr>
        <w:t xml:space="preserve"> On its account, if capital were the binding limit, construction would have risen and fallen uniformly with interest rates, and it did not; the constraint is land-use regulation, and the remedy is smaller lots and zoning flexibility rather than any curb on how institutions hold land.</w:t>
      </w:r>
      <w:r>
        <w:rPr>
          <w:rStyle w:val="FootnoteReference"/>
        </w:rPr>
        <w:footnoteReference w:id="62"/>
      </w:r>
      <w:r>
        <w:rPr>
          <w:rFonts w:ascii="Garamond" w:hAnsi="Garamond"/>
        </w:rPr>
        <w:t xml:space="preserve"> That dispute matters for diagnosis and for the financing-side reforms, but it does not reach the parcel record this Article reports. Whether a shortage of capital or a thicket of zoning better explains why so little gets built, the Davidson deed record still shows named funds buying developable land and holding it vacant for years.</w:t>
      </w:r>
    </w:p>
    <w:p>
      <w:pPr>
        <w:pStyle w:val="Heading2"/>
      </w:pPr>
      <w:r>
        <w:t>B. What the ROAD Act Does and Does Not Reach</w:t>
      </w:r>
    </w:p>
    <w:p>
      <w:pPr>
        <w:spacing w:line="480" w:lineRule="auto" w:before="0" w:after="0"/>
        <w:ind w:firstLine="720"/>
      </w:pPr>
      <w:r>
        <w:rPr>
          <w:rFonts w:ascii="Garamond" w:hAnsi="Garamond"/>
        </w:rPr>
        <w:t>Congress moved fast, and along two tracks. The Senate Banking Committee reported the Renewing Opportunity in the American Dream (ROAD) to Housing Act of 2025, while the House Financial Services Committee reported a separate vehicle, the Housing for the 21st Century Act, which became H.R. 6644.</w:t>
      </w:r>
      <w:r>
        <w:rPr>
          <w:rStyle w:val="FootnoteReference"/>
        </w:rPr>
        <w:footnoteReference w:id="63"/>
      </w:r>
      <w:r>
        <w:rPr>
          <w:rFonts w:ascii="Garamond" w:hAnsi="Garamond"/>
        </w:rPr>
        <w:t xml:space="preserve"> The House passed H.R. 6644 by 390 to 9 in February 2026, the Senate replaced it with a substitute retitled the 21st Century ROAD to Housing Act and passed it 89 to 10 in March, and in June the two chambers agreed to the final text, the House 358 to 32 and the Senate 85 to 5. The bill became Public Law 119-101 on July 11, 2026, without the President's signature.</w:t>
      </w:r>
      <w:r>
        <w:rPr>
          <w:rStyle w:val="FootnoteReference"/>
        </w:rPr>
        <w:footnoteReference w:id="64"/>
      </w:r>
      <w:r>
        <w:rPr>
          <w:rFonts w:ascii="Garamond" w:hAnsi="Garamond"/>
        </w:rPr>
        <w:t xml:space="preserve"> The operative provision is Section 1001, titled "Homes Are for People, Not Corporations." It defines a large institutional investor as a for-profit entity that invests in, owns, rents, or manages single-family homes and controls not less than 350 of them, and it defines a single-family home as a structure of two or fewer dwelling units.</w:t>
      </w:r>
      <w:r>
        <w:rPr>
          <w:rStyle w:val="FootnoteReference"/>
        </w:rPr>
        <w:footnoteReference w:id="65"/>
      </w:r>
      <w:r>
        <w:rPr>
          <w:rFonts w:ascii="Garamond" w:hAnsi="Garamond"/>
        </w:rPr>
        <w:t xml:space="preserve"> The section bars that investor from purchasing a single-family home, subject to excepted purchases that include build-to-rent construction, renovate-to-rent programs, rent-to-own and homeownership programs, and loss-mitigation acquisitions, and its investment-control rule reaches past record title to general partners, managing members, investment advisers, and holders of more than twenty-five percent of any equity class.</w:t>
      </w:r>
      <w:r>
        <w:rPr>
          <w:rStyle w:val="FootnoteReference"/>
        </w:rPr>
        <w:footnoteReference w:id="66"/>
      </w:r>
      <w:r>
        <w:rPr>
          <w:rFonts w:ascii="Garamond" w:hAnsi="Garamond"/>
        </w:rPr>
        <w:t xml:space="preserve"> Enforcement runs through civil penalties of up to one million dollars or three times the purchase price, the prohibition takes effect 180 days after enactment, and it sunsets after fifteen years.</w:t>
      </w:r>
      <w:r>
        <w:rPr>
          <w:rStyle w:val="FootnoteReference"/>
        </w:rPr>
        <w:footnoteReference w:id="67"/>
      </w:r>
    </w:p>
    <w:p>
      <w:pPr>
        <w:spacing w:line="480" w:lineRule="auto" w:before="0" w:after="0"/>
        <w:ind w:firstLine="720"/>
      </w:pPr>
      <w:r>
        <w:rPr>
          <w:rFonts w:ascii="Garamond" w:hAnsi="Garamond"/>
        </w:rPr>
        <w:t>The Act protects the finished home, not the vacant lot. The enacted text defines a single-family home as "a structure that contains 2 or fewer dwelling units that are each intended for residential occupancy by a single household," so the ban reaches a structure and nothing else.</w:t>
      </w:r>
      <w:r>
        <w:rPr>
          <w:rStyle w:val="FootnoteReference"/>
        </w:rPr>
        <w:footnoteReference w:id="68"/>
      </w:r>
      <w:r>
        <w:rPr>
          <w:rFonts w:ascii="Garamond" w:hAnsi="Garamond"/>
        </w:rPr>
        <w:t xml:space="preserve"> Raw land holds no structure and no dwelling units. An entity that buys raw land, holds it, plats it, and delivers finished lots to a builder never buys a single-family home within the meaning of the Act. The exemption of the land is not an inference from silence; it follows from the definition, which the prohibition in subsection (b) is expressly limited to. The ban governs the last transaction in the chain and leaves the first, the acquisition of the dirt, entirely open.</w:t>
      </w:r>
    </w:p>
    <w:p>
      <w:pPr>
        <w:spacing w:line="480" w:lineRule="auto" w:before="0" w:after="0"/>
        <w:ind w:firstLine="720"/>
      </w:pPr>
      <w:r>
        <w:rPr>
          <w:rFonts w:ascii="Garamond" w:hAnsi="Garamond"/>
        </w:rPr>
        <w:t>The Act does not merely miss land banking; it pushes capital toward it. Institutional money entered single-family housing through two doors, the finished rental home and the unbuilt lot, and the Act closes the first while holding the second open. An investor barred from buying a standing house, but free to fund a land bank, entitle a tract, and take down new construction or build-to-rent, will move to the channel the statute exempts.</w:t>
      </w:r>
      <w:r>
        <w:rPr>
          <w:rStyle w:val="FootnoteReference"/>
        </w:rPr>
        <w:footnoteReference w:id="69"/>
      </w:r>
      <w:r>
        <w:rPr>
          <w:rFonts w:ascii="Garamond" w:hAnsi="Garamond"/>
        </w:rPr>
        <w:t xml:space="preserve"> The land-banking share was already climbing before the Act for the reasons the Background traces: local builder finance collapsed, private credit and private equity filled the gap, and the public builders learned that holding land off the market pays.</w:t>
      </w:r>
      <w:r>
        <w:rPr>
          <w:rStyle w:val="FootnoteReference"/>
        </w:rPr>
        <w:footnoteReference w:id="70"/>
      </w:r>
      <w:r>
        <w:rPr>
          <w:rFonts w:ascii="Garamond" w:hAnsi="Garamond"/>
        </w:rPr>
        <w:t xml:space="preserve"> The Act adds a legal reason to the financial ones. It makes the finished-home channel riskier and leaves the land channel clean, so the money the ban displaces has an exempt place to go.</w:t>
      </w:r>
    </w:p>
    <w:p>
      <w:pPr>
        <w:spacing w:line="480" w:lineRule="auto" w:before="0" w:after="0"/>
        <w:ind w:firstLine="720"/>
      </w:pPr>
      <w:r>
        <w:rPr>
          <w:rFonts w:ascii="Garamond" w:hAnsi="Garamond"/>
        </w:rPr>
        <w:t>The concern is not that land sits idle but that the idleness is the strategy. The industry holds developable land off the market to protect price, the practice the American Economic Liberties Project calls land hoarding and the builders call inventory discipline, and every acre held back is an acre the shortage prices upward.</w:t>
      </w:r>
      <w:r>
        <w:rPr>
          <w:rStyle w:val="FootnoteReference"/>
        </w:rPr>
        <w:footnoteReference w:id="71"/>
      </w:r>
      <w:r>
        <w:rPr>
          <w:rFonts w:ascii="Garamond" w:hAnsi="Garamond"/>
        </w:rPr>
        <w:t xml:space="preserve"> A fund that meters lots to a builder on a multi-year takedown schedule controls when housing arrives and adds a carry charge to each unit, which raises the price of the homes that do get built and delays the ones that do not.</w:t>
      </w:r>
      <w:r>
        <w:rPr>
          <w:rStyle w:val="FootnoteReference"/>
        </w:rPr>
        <w:footnoteReference w:id="72"/>
      </w:r>
      <w:r>
        <w:rPr>
          <w:rFonts w:ascii="Garamond" w:hAnsi="Garamond"/>
        </w:rPr>
        <w:t xml:space="preserve"> The transaction that does this is invisible to the federal regime, because raw-land acquisition triggers no antitrust disclosure, so the public learns of the hold only from a county deed record most readers never open.</w:t>
      </w:r>
      <w:r>
        <w:rPr>
          <w:rStyle w:val="FootnoteReference"/>
        </w:rPr>
        <w:footnoteReference w:id="73"/>
      </w:r>
      <w:r>
        <w:rPr>
          <w:rFonts w:ascii="Garamond" w:hAnsi="Garamond"/>
        </w:rPr>
        <w:t xml:space="preserve"> A statute that bars institutions from finished homes while the same institutions quietly accumulate the land those homes will sit on treats the symptom and feeds the cause.</w:t>
      </w:r>
    </w:p>
    <w:p>
      <w:pPr>
        <w:pStyle w:val="Heading1"/>
        <w:spacing w:before="360"/>
      </w:pPr>
      <w:r>
        <w:t>III. WHY NASHVILLE</w:t>
      </w:r>
    </w:p>
    <w:p>
      <w:pPr>
        <w:spacing w:line="480" w:lineRule="auto" w:before="0" w:after="0"/>
        <w:ind w:firstLine="720"/>
      </w:pPr>
      <w:r>
        <w:rPr>
          <w:rFonts w:ascii="Garamond" w:hAnsi="Garamond"/>
        </w:rPr>
        <w:t>Nashville built more housing than almost any peer city over the last decade and still fell short of demand, which pushed land values up and rewarded whoever held developable ground.</w:t>
      </w:r>
      <w:r>
        <w:rPr>
          <w:rStyle w:val="FootnoteReference"/>
        </w:rPr>
        <w:footnoteReference w:id="74"/>
      </w:r>
      <w:r>
        <w:rPr>
          <w:rFonts w:ascii="Garamond" w:hAnsi="Garamond"/>
        </w:rPr>
        <w:t xml:space="preserve"> The county carries a large inventory of vacant parcels, and 1,791 of them, covering 7,635 acres, sit with 909 out-of-state entities that acquired the land and built nothing and have held it vacant for a median 4.8 years.</w:t>
      </w:r>
      <w:r>
        <w:rPr>
          <w:rStyle w:val="FootnoteReference"/>
        </w:rPr>
        <w:footnoteReference w:id="75"/>
      </w:r>
      <w:r>
        <w:rPr>
          <w:rFonts w:ascii="Garamond" w:hAnsi="Garamond"/>
        </w:rPr>
        <w:t xml:space="preserve"> The Specific Plan zoning districts, where the county entitles land for future development, concentrate candidate land-bank parcels: land approved to build that is not being built.</w:t>
      </w:r>
      <w:r>
        <w:rPr>
          <w:rStyle w:val="FootnoteReference"/>
        </w:rPr>
        <w:footnoteReference w:id="76"/>
      </w:r>
      <w:r>
        <w:rPr>
          <w:rFonts w:ascii="Garamond" w:hAnsi="Garamond"/>
        </w:rPr>
        <w:t xml:space="preserve"> Assembling a buildable tract in a built-up, fragmented county is hard, and that difficulty is itself an asset to whoever already holds scale.</w:t>
      </w:r>
      <w:r>
        <w:rPr>
          <w:rStyle w:val="FootnoteReference"/>
        </w:rPr>
        <w:footnoteReference w:id="77"/>
      </w:r>
      <w:r>
        <w:rPr>
          <w:rFonts w:ascii="Garamond" w:hAnsi="Garamond"/>
        </w:rPr>
        <w:t xml:space="preserve"> Davidson County is therefore the decisive case, because its growth, its entitlement pipeline, and its complete parcel record let a reader watch land banking happen in the record as it happens on the ground.</w:t>
      </w:r>
    </w:p>
    <w:p>
      <w:pPr>
        <w:pStyle w:val="Heading1"/>
        <w:spacing w:before="360"/>
      </w:pPr>
      <w:r>
        <w:t>IV. DATA, METHODS, AND DEFINITIONS</w:t>
      </w:r>
    </w:p>
    <w:p>
      <w:pPr>
        <w:spacing w:line="480" w:lineRule="auto" w:before="0" w:after="0"/>
        <w:ind w:firstLine="720"/>
      </w:pPr>
      <w:r>
        <w:rPr>
          <w:rFonts w:ascii="Garamond" w:hAnsi="Garamond"/>
        </w:rPr>
        <w:t>Part IV describes the county records this Article reads, states the four ways it identifies a land banker, and defends the definitional choice that sets the count.</w:t>
      </w:r>
    </w:p>
    <w:p>
      <w:pPr>
        <w:pStyle w:val="Heading2"/>
      </w:pPr>
      <w:r>
        <w:t>A. The Data</w:t>
      </w:r>
    </w:p>
    <w:p>
      <w:pPr>
        <w:spacing w:line="480" w:lineRule="auto" w:before="0" w:after="0"/>
        <w:ind w:firstLine="720"/>
      </w:pPr>
      <w:r>
        <w:rPr>
          <w:rFonts w:ascii="Garamond" w:hAnsi="Garamond"/>
        </w:rPr>
        <w:t>Every dataset in this Article is a public government record a reader can replay.</w:t>
      </w:r>
    </w:p>
    <w:p>
      <w:pPr>
        <w:spacing w:line="480" w:lineRule="auto" w:before="0" w:after="0"/>
        <w:ind w:firstLine="720"/>
      </w:pPr>
      <w:r>
        <w:rPr>
          <w:rFonts w:ascii="Garamond" w:hAnsi="Garamond"/>
          <w:b/>
        </w:rPr>
        <w:t>Recorded instruments.</w:t>
      </w:r>
      <w:r>
        <w:rPr>
          <w:rFonts w:ascii="Garamond" w:hAnsi="Garamond"/>
        </w:rPr>
        <w:t xml:space="preserve"> The Davidson County Register of Deeds indexes every deed, easement, declaration of covenants, and memorandum of option agreement, and each instrument links to its recorded image in the county land-records portal. The recorded Memoranda of Option Agreement supply the named land banker, the builder, the project, the consideration, and the option expiry for each documented deal, and twenty of them anchor the option table.</w:t>
      </w:r>
      <w:r>
        <w:rPr>
          <w:rStyle w:val="FootnoteReference"/>
        </w:rPr>
        <w:footnoteReference w:id="78"/>
      </w:r>
    </w:p>
    <w:p>
      <w:pPr>
        <w:spacing w:line="480" w:lineRule="auto" w:before="0" w:after="0"/>
        <w:ind w:firstLine="720"/>
      </w:pPr>
      <w:r>
        <w:rPr>
          <w:rFonts w:ascii="Garamond" w:hAnsi="Garamond"/>
          <w:b/>
        </w:rPr>
        <w:t>The cadastral parcel layer.</w:t>
      </w:r>
      <w:r>
        <w:rPr>
          <w:rFonts w:ascii="Garamond" w:hAnsi="Garamond"/>
        </w:rPr>
        <w:t xml:space="preserve"> The county's current parcel layer carries each parcel's owner of record, the owner's mailing address and state, the land-use description, the acreage, and the land and improvement appraised values. It supplies the current holdings of every named vehicle and the acreage-by-years-held screen.</w:t>
      </w:r>
      <w:r>
        <w:rPr>
          <w:rStyle w:val="FootnoteReference"/>
        </w:rPr>
        <w:footnoteReference w:id="79"/>
      </w:r>
    </w:p>
    <w:p>
      <w:pPr>
        <w:spacing w:line="480" w:lineRule="auto" w:before="0" w:after="0"/>
        <w:ind w:firstLine="720"/>
      </w:pPr>
      <w:r>
        <w:rPr>
          <w:rFonts w:ascii="Garamond" w:hAnsi="Garamond"/>
          <w:b/>
        </w:rPr>
        <w:t>The ParcelHistory ownership and property layers.</w:t>
      </w:r>
      <w:r>
        <w:rPr>
          <w:rFonts w:ascii="Garamond" w:hAnsi="Garamond"/>
        </w:rPr>
        <w:t xml:space="preserve"> The ownership layer records every acquisition, its price, its date, and the owner's mailing state, which dates each hold and flags the out-of-state vacant acquisitions.</w:t>
      </w:r>
      <w:r>
        <w:rPr>
          <w:rStyle w:val="FootnoteReference"/>
        </w:rPr>
        <w:footnoteReference w:id="80"/>
      </w:r>
      <w:r>
        <w:rPr>
          <w:rFonts w:ascii="Garamond" w:hAnsi="Garamond"/>
        </w:rPr>
        <w:t xml:space="preserve"> The property-history layer records subdivision and conveyance events, and the county genealogy record lets the analysis reconstruct retired and split parcels, so a parent tract is followed through its child lots rather than lost when re-parceling mints new identifiers.</w:t>
      </w:r>
      <w:r>
        <w:rPr>
          <w:rStyle w:val="FootnoteReference"/>
        </w:rPr>
        <w:footnoteReference w:id="81"/>
      </w:r>
    </w:p>
    <w:p>
      <w:pPr>
        <w:spacing w:line="480" w:lineRule="auto" w:before="0" w:after="0"/>
        <w:ind w:firstLine="720"/>
      </w:pPr>
      <w:r>
        <w:rPr>
          <w:rFonts w:ascii="Garamond" w:hAnsi="Garamond"/>
          <w:b/>
        </w:rPr>
        <w:t>The assessment history.</w:t>
      </w:r>
      <w:r>
        <w:rPr>
          <w:rFonts w:ascii="Garamond" w:hAnsi="Garamond"/>
        </w:rPr>
        <w:t xml:space="preserve"> The assessor's per-parcel, per-year record states the improvement appraised value in every year, which dates each parcel's development directly and flags the parcels whose land value rises while their improvement value stays at zero.</w:t>
      </w:r>
      <w:r>
        <w:rPr>
          <w:rStyle w:val="FootnoteReference"/>
        </w:rPr>
        <w:footnoteReference w:id="82"/>
      </w:r>
    </w:p>
    <w:p>
      <w:pPr>
        <w:spacing w:line="480" w:lineRule="auto" w:before="0" w:after="0"/>
        <w:ind w:firstLine="720"/>
      </w:pPr>
      <w:r>
        <w:rPr>
          <w:rFonts w:ascii="Garamond" w:hAnsi="Garamond"/>
          <w:b/>
        </w:rPr>
        <w:t>Permits and plats.</w:t>
      </w:r>
      <w:r>
        <w:rPr>
          <w:rFonts w:ascii="Garamond" w:hAnsi="Garamond"/>
        </w:rPr>
        <w:t xml:space="preserve"> The county's permitting record supplies the date of each parcel's first vertical permit and first recorded plat, the two events that end a hold.</w:t>
      </w:r>
      <w:r>
        <w:rPr>
          <w:rStyle w:val="FootnoteReference"/>
        </w:rPr>
        <w:footnoteReference w:id="83"/>
      </w:r>
    </w:p>
    <w:p>
      <w:pPr>
        <w:spacing w:line="480" w:lineRule="auto" w:before="0" w:after="0"/>
        <w:ind w:firstLine="720"/>
      </w:pPr>
      <w:r>
        <w:rPr>
          <w:rFonts w:ascii="Garamond" w:hAnsi="Garamond"/>
          <w:b/>
        </w:rPr>
        <w:t>Securities filings.</w:t>
      </w:r>
      <w:r>
        <w:rPr>
          <w:rFonts w:ascii="Garamond" w:hAnsi="Garamond"/>
        </w:rPr>
        <w:t xml:space="preserve"> A full-text search of Securities and Exchange Commission filings for "land bank" surfaces the builders and funds that describe the strategy in their own disclosures.</w:t>
      </w:r>
      <w:r>
        <w:rPr>
          <w:rStyle w:val="FootnoteReference"/>
        </w:rPr>
        <w:footnoteReference w:id="84"/>
      </w:r>
    </w:p>
    <w:p>
      <w:pPr>
        <w:pStyle w:val="Heading2"/>
      </w:pPr>
      <w:r>
        <w:t>B. Four Ways to Identify a Land Banker</w:t>
      </w:r>
    </w:p>
    <w:p>
      <w:pPr>
        <w:spacing w:line="480" w:lineRule="auto" w:before="0" w:after="0"/>
        <w:ind w:firstLine="720"/>
      </w:pPr>
      <w:r>
        <w:rPr>
          <w:rFonts w:ascii="Garamond" w:hAnsi="Garamond"/>
        </w:rPr>
        <w:t>This Article identifies institutional land bankers four ways, and the methods converge.</w:t>
      </w:r>
    </w:p>
    <w:p>
      <w:pPr>
        <w:spacing w:line="480" w:lineRule="auto" w:before="0" w:after="0"/>
        <w:ind w:firstLine="720"/>
      </w:pPr>
      <w:r>
        <w:rPr>
          <w:rFonts w:ascii="Garamond" w:hAnsi="Garamond"/>
        </w:rPr>
        <w:t>First, securities filings. A keyword search of Securities and Exchange Commission filings for "land bank" surfaces the public builders and funds that describe the strategy in their own disclosures, including Lennar and its Millrose vehicle and the option-and-takedown programs the large builders report.</w:t>
      </w:r>
      <w:r>
        <w:rPr>
          <w:rStyle w:val="FootnoteReference"/>
        </w:rPr>
        <w:footnoteReference w:id="85"/>
      </w:r>
    </w:p>
    <w:p>
      <w:pPr>
        <w:spacing w:line="480" w:lineRule="auto" w:before="0" w:after="0"/>
        <w:ind w:firstLine="720"/>
      </w:pPr>
      <w:r>
        <w:rPr>
          <w:rFonts w:ascii="Garamond" w:hAnsi="Garamond"/>
        </w:rPr>
        <w:t>Second, the transaction record. The Davidson ParcelHistory ownership layer records every acquisition, its price, the owner's mailing state, and the acquisition date. Filtering for vacant land acquired by an entity whose state is not Tennessee, at or near a recorded price of zero for affiliate transfers, and then measuring the interval to the first plat or vertical permit, isolates out-of-state holders and dates how long each has held.</w:t>
      </w:r>
      <w:r>
        <w:rPr>
          <w:rStyle w:val="FootnoteReference"/>
        </w:rPr>
        <w:footnoteReference w:id="86"/>
      </w:r>
    </w:p>
    <w:p>
      <w:pPr>
        <w:spacing w:line="480" w:lineRule="auto" w:before="0" w:after="0"/>
        <w:ind w:firstLine="720"/>
      </w:pPr>
      <w:r>
        <w:rPr>
          <w:rFonts w:ascii="Garamond" w:hAnsi="Garamond"/>
        </w:rPr>
        <w:t>Third, the known-landbanker roster. Published national coverage and industry disclosure name the pure land-banking funds and aggregators, including Walton, and the analysis pulls each named entity's Davidson parcel list and transfer record directly from the county feature service.</w:t>
      </w:r>
      <w:r>
        <w:rPr>
          <w:rStyle w:val="FootnoteReference"/>
        </w:rPr>
        <w:footnoteReference w:id="87"/>
      </w:r>
    </w:p>
    <w:p>
      <w:pPr>
        <w:spacing w:line="480" w:lineRule="auto" w:before="0" w:after="0"/>
        <w:ind w:firstLine="720"/>
      </w:pPr>
      <w:r>
        <w:rPr>
          <w:rFonts w:ascii="Garamond" w:hAnsi="Garamond"/>
        </w:rPr>
        <w:t>Fourth, the parcel record by acreage and time. The cadastral and assessment layers pair each owner's held acreage with the number of years the parcel has sat vacant, so a holder is identified not by its name alone but by the size and duration of its idle holdings.</w:t>
      </w:r>
      <w:r>
        <w:rPr>
          <w:rStyle w:val="FootnoteReference"/>
        </w:rPr>
        <w:footnoteReference w:id="88"/>
      </w:r>
    </w:p>
    <w:p>
      <w:pPr>
        <w:spacing w:line="480" w:lineRule="auto" w:before="0" w:after="0"/>
        <w:ind w:firstLine="720"/>
      </w:pPr>
      <w:r>
        <w:rPr>
          <w:rFonts w:ascii="Garamond" w:hAnsi="Garamond"/>
        </w:rPr>
        <w:t>A fifth signal cuts across all four: the recorded option agreement and the recital language that defines a party as the "Land Bank" or "Land Bank Investor," which names the land banker, the builder, the project, the consideration, and the option term in a single instrument.</w:t>
      </w:r>
      <w:r>
        <w:rPr>
          <w:rStyle w:val="FootnoteReference"/>
        </w:rPr>
        <w:footnoteReference w:id="89"/>
      </w:r>
    </w:p>
    <w:p>
      <w:pPr>
        <w:spacing w:line="480" w:lineRule="auto" w:before="0" w:after="0"/>
        <w:ind w:firstLine="720"/>
      </w:pPr>
      <w:r>
        <w:rPr>
          <w:rFonts w:ascii="Garamond" w:hAnsi="Garamond"/>
        </w:rPr>
        <w:t>Three measurements turn those signals into counts. The holding period runs from the acquisition date to the earlier of the first vertical permit, the first recorded plat, or the present, and it sorts each parcel into one of three bands: under one year, consistent with a normal builder takedown; one to three years, a short-term hold that signals deliberate timing; and more than three years with no permit or plat, an active land bank.</w:t>
      </w:r>
      <w:r>
        <w:rPr>
          <w:rStyle w:val="FootnoteReference"/>
        </w:rPr>
        <w:footnoteReference w:id="90"/>
      </w:r>
      <w:r>
        <w:rPr>
          <w:rFonts w:ascii="Garamond" w:hAnsi="Garamond"/>
        </w:rPr>
        <w:t xml:space="preserve"> The assessment history isolates the holders that profit from the wait. It flags every parcel whose improvement value stays at zero across three or more consecutive assessment years while its land value rises, the signature of an owner banking entitlement and market gains without building.</w:t>
      </w:r>
      <w:r>
        <w:rPr>
          <w:rStyle w:val="FootnoteReference"/>
        </w:rPr>
        <w:footnoteReference w:id="91"/>
      </w:r>
      <w:r>
        <w:rPr>
          <w:rFonts w:ascii="Garamond" w:hAnsi="Garamond"/>
        </w:rPr>
        <w:t xml:space="preserve"> A backward trace through the property-history ancestor chain then finds the last non-builder owner before a homebuilder acquired each raw tract, so an upstream land banker registers even where it has already conveyed the assembled land to the builder. The 305,381 pre-subdivision ownership events in the record supply the population for that trace, and the largest movers through it run from NVR at 1,878 events to Ole South at 740.</w:t>
      </w:r>
      <w:r>
        <w:rPr>
          <w:rStyle w:val="FootnoteReference"/>
        </w:rPr>
        <w:footnoteReference w:id="92"/>
      </w:r>
    </w:p>
    <w:p>
      <w:pPr>
        <w:spacing w:line="480" w:lineRule="auto" w:before="0" w:after="0"/>
        <w:ind w:firstLine="720"/>
      </w:pPr>
      <w:r>
        <w:rPr>
          <w:rFonts w:ascii="Garamond" w:hAnsi="Garamond"/>
        </w:rPr>
        <w:t>A raw hold time is not proof of a strategy, and counting it as one would bias the inventory upward. A parcel can sit vacant for years because permitting stalls, infrastructure lags, or a small builder runs out of money, and a count that treats every long hold as a land bank overstates the institutional inventory by sweeping in the constrained alongside the strategic. Three checks separate the two. First, a same-market benchmark: American Homes 4 Rent builds rental homes, so vacant land is a non-performing asset it has no reason to warehouse, and its one-to-two-year acquisition-to-plat cycle prices what the same permitting office and the same infrastructure permit.</w:t>
      </w:r>
      <w:r>
        <w:rPr>
          <w:rStyle w:val="FootnoteReference"/>
        </w:rPr>
        <w:footnoteReference w:id="93"/>
      </w:r>
      <w:r>
        <w:rPr>
          <w:rFonts w:ascii="Garamond" w:hAnsi="Garamond"/>
        </w:rPr>
        <w:t xml:space="preserve"> A fund that holds three or four years on comparable land is choosing to. Second, the assessment screen: a parcel whose improvement value stays at zero across three or more consecutive years while its land value rises is gaining from the market without building, the signature the screen isolates.</w:t>
      </w:r>
      <w:r>
        <w:rPr>
          <w:rStyle w:val="FootnoteReference"/>
        </w:rPr>
        <w:footnoteReference w:id="94"/>
      </w:r>
      <w:r>
        <w:rPr>
          <w:rFonts w:ascii="Garamond" w:hAnsi="Garamond"/>
        </w:rPr>
        <w:t xml:space="preserve"> Third, the entitled inventory: 5,539 already-platted lots held three years or more carry no entitlement excuse, because the county has already approved them.</w:t>
      </w:r>
      <w:r>
        <w:rPr>
          <w:rStyle w:val="FootnoteReference"/>
        </w:rPr>
        <w:footnoteReference w:id="95"/>
      </w:r>
    </w:p>
    <w:p>
      <w:pPr>
        <w:pStyle w:val="Heading2"/>
      </w:pPr>
      <w:r>
        <w:t>C. Measuring Buildable Land and Dating Development</w:t>
      </w:r>
    </w:p>
    <w:p>
      <w:pPr>
        <w:spacing w:line="480" w:lineRule="auto" w:before="0" w:after="0"/>
        <w:ind w:firstLine="720"/>
      </w:pPr>
      <w:r>
        <w:rPr>
          <w:rFonts w:ascii="Garamond" w:hAnsi="Garamond"/>
        </w:rPr>
        <w:t>The Article measures buildable land the way Katz and Willen do, then extends it. A parcel counts as buildable when the Assessor's land-use description reads residential or vacant and the improvement appraised value is near zero, the same de minimis-structure test Katz and Willen apply to New England, and the analysis reports the strict residential-vacant measure alongside the two looser cuts they use as robustness checks.</w:t>
      </w:r>
      <w:r>
        <w:rPr>
          <w:rStyle w:val="FootnoteReference"/>
        </w:rPr>
        <w:footnoteReference w:id="96"/>
      </w:r>
      <w:r>
        <w:rPr>
          <w:rFonts w:ascii="Garamond" w:hAnsi="Garamond"/>
        </w:rPr>
        <w:t xml:space="preserve"> It then adds two layers their ZIP-level, net-acreage method lacks. It dates each parcel's development directly, from the assessment history, as the year the improvement value rises from near zero and the year-built field populates, which recovers gross rather than net development flows.</w:t>
      </w:r>
      <w:r>
        <w:rPr>
          <w:rStyle w:val="FootnoteReference"/>
        </w:rPr>
        <w:footnoteReference w:id="97"/>
      </w:r>
      <w:r>
        <w:rPr>
          <w:rFonts w:ascii="Garamond" w:hAnsi="Garamond"/>
        </w:rPr>
        <w:t xml:space="preserve"> And it follows parcels through subdivision by reconstructing retired and split parcel geometries from the county genealogy record, so a parent tract is tracked through its child lots rather than lost when re-parceling mints new identifiers.</w:t>
      </w:r>
      <w:r>
        <w:rPr>
          <w:rStyle w:val="FootnoteReference"/>
        </w:rPr>
        <w:footnoteReference w:id="98"/>
      </w:r>
      <w:r>
        <w:rPr>
          <w:rFonts w:ascii="Garamond" w:hAnsi="Garamond"/>
        </w:rPr>
        <w:t xml:space="preserve"> Capacity is reported two ways: a market-norm figure drawn from Katz and Willen's empirical lot-size yield, and a legal figure drawn from the parcel's transaction-year base zoning density.</w:t>
      </w:r>
      <w:r>
        <w:rPr>
          <w:rStyle w:val="FootnoteReference"/>
        </w:rPr>
        <w:footnoteReference w:id="99"/>
      </w:r>
    </w:p>
    <w:p>
      <w:pPr>
        <w:pStyle w:val="Heading2"/>
      </w:pPr>
      <w:r>
        <w:t>D. Definitions and the Gap</w:t>
      </w:r>
    </w:p>
    <w:p>
      <w:pPr>
        <w:spacing w:line="480" w:lineRule="auto" w:before="0" w:after="0"/>
        <w:ind w:firstLine="720"/>
      </w:pPr>
      <w:r>
        <w:rPr>
          <w:rFonts w:ascii="Garamond" w:hAnsi="Garamond"/>
        </w:rPr>
        <w:t>One word carries two opposed meanings, and the paper uses only one. The public land bank is a quasi-governmental entity that absorbs vacant, tax-foreclosed property in declining markets and returns it to use, the model studied in Cleveland and Flint.</w:t>
      </w:r>
      <w:r>
        <w:rPr>
          <w:rStyle w:val="FootnoteReference"/>
        </w:rPr>
        <w:footnoteReference w:id="100"/>
      </w:r>
      <w:r>
        <w:rPr>
          <w:rFonts w:ascii="Garamond" w:hAnsi="Garamond"/>
        </w:rPr>
        <w:t xml:space="preserve"> The institutional land bank is its inverse: it accumulates developable land in growth markets, withholds it through the entitlement horizon, and conveys it to builders at a premium. One disposes of surplus land where demand collapsed; the other concentrates scarce land where demand is rising. This Article concerns only the second.</w:t>
      </w:r>
    </w:p>
    <w:p>
      <w:pPr>
        <w:spacing w:line="480" w:lineRule="auto" w:before="0" w:after="0"/>
        <w:ind w:firstLine="720"/>
      </w:pPr>
      <w:r>
        <w:rPr>
          <w:rFonts w:ascii="Garamond" w:hAnsi="Garamond"/>
        </w:rPr>
        <w:t>No settled definition then separates that institutional land bank from a slow builder, and the distinction drives the count. This Article treats a parcel as land-banked when an institutional entity holds it vacant or unimproved past a defined interval without a recorded plat or vertical permit, and it reports counts sensitive to that interval. The definitional choice is the analysis, because a three-year threshold and a five-year threshold yield different inventories from the same record. A small scholarship measures land banking directly, and this Article extends it from aggregates to the parcel. Whitaker and Fitzpatrick evaluate public land banks empirically; Sasu, Squires, and Javed survey land banking and land markets across the literature; two Federal Reserve Bank of Philadelphia working papers trace institutional investors through the single-family market and the Great Recession; and Murray shows that land banking constrains housing supply by design.</w:t>
      </w:r>
      <w:r>
        <w:rPr>
          <w:rStyle w:val="FootnoteReference"/>
        </w:rPr>
        <w:footnoteReference w:id="101"/>
      </w:r>
    </w:p>
    <w:p>
      <w:pPr>
        <w:spacing w:line="480" w:lineRule="auto" w:before="0" w:after="0"/>
        <w:ind w:firstLine="720"/>
      </w:pPr>
      <w:r>
        <w:rPr>
          <w:rFonts w:ascii="Garamond" w:hAnsi="Garamond"/>
        </w:rPr>
        <w:t>The single-family rental literature has not followed the capital this far upstream, and that omission is the gap this Article fills. The scholarship studies the acquisition of finished homes and, recently, the construction of build-to-rent communities, but it treats the land beneath those communities as a fixed input rather than a contested asset.</w:t>
      </w:r>
      <w:r>
        <w:rPr>
          <w:rStyle w:val="FootnoteReference"/>
        </w:rPr>
        <w:footnoteReference w:id="102"/>
      </w:r>
      <w:r>
        <w:rPr>
          <w:rFonts w:ascii="Garamond" w:hAnsi="Garamond"/>
        </w:rPr>
        <w:t xml:space="preserve"> Nethercote comes closest, flagging the concealment of institutional activity behind limited-liability entities as a barrier to study, but she addresses purpose-built rental development, not the land assembly that precedes it.</w:t>
      </w:r>
      <w:r>
        <w:rPr>
          <w:rStyle w:val="FootnoteReference"/>
        </w:rPr>
        <w:footnoteReference w:id="103"/>
      </w:r>
      <w:r>
        <w:rPr>
          <w:rFonts w:ascii="Garamond" w:hAnsi="Garamond"/>
        </w:rPr>
        <w:t xml:space="preserve"> No published work measures institutional control of the predevelopment land pipeline at parcel granularity in a single county. That gap is where the federal exemption operates: the acquisition literature asks whether institutional purchase removes existing homes from the owner-occupant market, while land banking removes developable lots from the builder pipeline before any home exists. A first-time buyer outbid on a listed home at least had the chance to bid; a buyer in a market where an institutional land banker controls the developable lots in their price range never receives it. The displacement moves from the closing table to the raw parcel, and Davidson County's deed, parcel, and permit records let this Article measure it there.</w:t>
      </w:r>
    </w:p>
    <w:p>
      <w:pPr>
        <w:pStyle w:val="Heading1"/>
        <w:spacing w:before="360"/>
      </w:pPr>
      <w:r>
        <w:t>V. FINDINGS</w:t>
      </w:r>
    </w:p>
    <w:p>
      <w:pPr>
        <w:spacing w:line="480" w:lineRule="auto" w:before="0" w:after="0"/>
        <w:ind w:firstLine="720"/>
      </w:pPr>
      <w:r>
        <w:rPr>
          <w:rFonts w:ascii="Garamond" w:hAnsi="Garamond"/>
        </w:rPr>
        <w:t>Part V presents the named holders, how they operate, how long they hold and at what markup, and the homes their vacant land could carry. Seven facts organize the Part. Seventeen named land-bank and option vehicles held 1,444 Davidson parcels in June 2026 and 993 in October, under recorded land-bank or option structures. The recorded instruments name every party: the land banker, its capital source, the builder, the project, the consideration, and the option expiry. Five operating structures organize the deals, and nine institutional vehicles feed four national builders. The recorded deal chains run from fourteen days to 791 days between acquisition and first takedown, and takedown spreads run from about 16 percent to roughly 106 percent over cost. Of 136,605 Davidson parcels that began vacant, 43,361 remain vacant; corporate owners hold 21,553 of them, and 9,118 have sat in the same corporate hands for a decade or more. The builder that must rent clears land in one to two years, comparable funds hold three to four on the same market, and 6,069 already-approved lots sit unbuilt at a median of 20.6 years. The entity-held vacant land could carry between 26,600 and 72,500 homes. The Sections that follow take each in turn, and the appendix tables carry the numbers.</w:t>
      </w:r>
    </w:p>
    <w:p>
      <w:pPr>
        <w:pStyle w:val="Heading2"/>
      </w:pPr>
      <w:r>
        <w:t>A. The Named Land Bankers</w:t>
      </w:r>
    </w:p>
    <w:p>
      <w:pPr>
        <w:spacing w:line="480" w:lineRule="auto" w:before="0" w:after="0"/>
        <w:ind w:firstLine="720"/>
      </w:pPr>
      <w:r>
        <w:rPr>
          <w:rFonts w:ascii="Garamond" w:hAnsi="Garamond"/>
        </w:rPr>
        <w:t>Seventeen named land-bank and option vehicles held 1,444 Davidson parcels on June 24, 2026, and the same seventeen held 993 on October 19, 2026.</w:t>
      </w:r>
      <w:r>
        <w:rPr>
          <w:rStyle w:val="FootnoteReference"/>
        </w:rPr>
        <w:footnoteReference w:id="104"/>
      </w:r>
      <w:r>
        <w:rPr>
          <w:rFonts w:ascii="Garamond" w:hAnsi="Garamond"/>
        </w:rPr>
        <w:t xml:space="preserve"> The difference of roughly 450 parcels is the takedown schedule running: lots the vehicles conveyed to builders in sixteen weeks. The largest holders today are AMH TN Development (288 parcels), Ava Madison (199), KLLB AIV (122), RSD West Trinity Lane (113), and ACPF Spring Path Antioch (105). TPG AG EHC SD (LEN) Multi State 1 fell from 177 parcels in June to 22 in October as Lennar drew down Pemberton, and KLLB fell from 142 to 122 as City Vista built out.</w:t>
      </w:r>
      <w:r>
        <w:rPr>
          <w:rStyle w:val="FootnoteReference"/>
        </w:rPr>
        <w:footnoteReference w:id="105"/>
      </w:r>
      <w:r>
        <w:rPr>
          <w:rFonts w:ascii="Garamond" w:hAnsi="Garamond"/>
        </w:rPr>
        <w:t xml:space="preserve"> Walton Tennessee shows the pure-aggregator pattern of few parcels and large acreage. It bought three of the four Carothers Crossing parcels, 545 acres combined, in May 2014, and holds nine parcels across 119.8 acres today.</w:t>
      </w:r>
      <w:r>
        <w:rPr>
          <w:rStyle w:val="FootnoteReference"/>
        </w:rPr>
        <w:footnoteReference w:id="106"/>
      </w:r>
      <w:r>
        <w:rPr>
          <w:rFonts w:ascii="Garamond" w:hAnsi="Garamond"/>
        </w:rPr>
        <w:t xml:space="preserve"> Appendix Table A1 lists the nine recorded option agreements with capital source, builder, project, option term, and current parcel count, and Appendix Table A2 lists all seventeen vehicles at both dates.</w:t>
      </w:r>
    </w:p>
    <w:p>
      <w:pPr>
        <w:spacing w:line="480" w:lineRule="auto" w:before="0" w:after="0"/>
        <w:ind w:firstLine="720"/>
      </w:pPr>
      <w:r>
        <w:rPr>
          <w:rFonts w:ascii="Garamond" w:hAnsi="Garamond"/>
        </w:rPr>
        <w:t>The recorded option chains capture only the land banks that take title, so they are a floor. Beyond them, fee-simple holders across five categories warehouse developable Davidson land, each under a name that tells the reader nothing about the parent capital source, and Appendix Table B1 ranks the out-of-state holders among them by acreage.</w:t>
      </w:r>
      <w:r>
        <w:rPr>
          <w:rStyle w:val="FootnoteReference"/>
        </w:rPr>
        <w:footnoteReference w:id="107"/>
      </w:r>
      <w:r>
        <w:rPr>
          <w:rFonts w:ascii="Garamond" w:hAnsi="Garamond"/>
        </w:rPr>
        <w:t xml:space="preserve"> Appendix Table A3 shows how a shell's mailing address on its recorded deed resolves it to the capital behind it. </w:t>
      </w:r>
      <w:r>
        <w:rPr>
          <w:rFonts w:ascii="Garamond" w:hAnsi="Garamond"/>
          <w:b/>
        </w:rPr>
        <w:t>Fund and aggregator vehicles</w:t>
      </w:r>
      <w:r>
        <w:rPr>
          <w:rFonts w:ascii="Garamond" w:hAnsi="Garamond"/>
        </w:rPr>
        <w:t xml:space="preserve"> hold the largest tracts. The Farm Nashville, LLC holds roughly 358 vacant acres at Whites Creek zoned for houses; RRPV Bellevue, backed by Ram Realty Advisors, holds roughly 211 acres it took by quitclaim for ten dollars in September 2019 and has left unplatted more than five years; and DRAPAC Group 46, an Australian land investor operating through Atlanta LLCs, holds roughly 60 acres on Cane Ridge Road and sold a companion 48.54-acre tract to Meritage for $5,350,000.</w:t>
      </w:r>
      <w:r>
        <w:rPr>
          <w:rStyle w:val="FootnoteReference"/>
        </w:rPr>
        <w:footnoteReference w:id="108"/>
      </w:r>
      <w:r>
        <w:rPr>
          <w:rFonts w:ascii="Garamond" w:hAnsi="Garamond"/>
        </w:rPr>
        <w:t xml:space="preserve"> </w:t>
      </w:r>
      <w:r>
        <w:rPr>
          <w:rFonts w:ascii="Garamond" w:hAnsi="Garamond"/>
          <w:b/>
        </w:rPr>
        <w:t>Institutional single-family rental shells</w:t>
      </w:r>
      <w:r>
        <w:rPr>
          <w:rFonts w:ascii="Garamond" w:hAnsi="Garamond"/>
        </w:rPr>
        <w:t xml:space="preserve"> hold pre-vertical land under securitization names. Cove Residential Holdings III, mailing from 555 Madison Avenue in New York, holds seven vacant parcels across 18.24 acres, six taken in a single May 2020 bulk transfer and still vacant nearly six years later in two North Nashville tracts where renter cost burden tops 50 percent.</w:t>
      </w:r>
      <w:r>
        <w:rPr>
          <w:rStyle w:val="FootnoteReference"/>
        </w:rPr>
        <w:footnoteReference w:id="109"/>
      </w:r>
      <w:r>
        <w:rPr>
          <w:rFonts w:ascii="Garamond" w:hAnsi="Garamond"/>
        </w:rPr>
        <w:t xml:space="preserve"> </w:t>
      </w:r>
      <w:r>
        <w:rPr>
          <w:rFonts w:ascii="Garamond" w:hAnsi="Garamond"/>
          <w:b/>
        </w:rPr>
        <w:t>Build-for-rent platforms</w:t>
      </w:r>
      <w:r>
        <w:rPr>
          <w:rFonts w:ascii="Garamond" w:hAnsi="Garamond"/>
        </w:rPr>
        <w:t xml:space="preserve"> park land for future rental communities: AHV, funded by a $500,000,000 Värde Partners land-banking facility announced in June 2022, holds roughly 70 vacant acres across two Owner LLCs.</w:t>
      </w:r>
      <w:r>
        <w:rPr>
          <w:rStyle w:val="FootnoteReference"/>
        </w:rPr>
        <w:footnoteReference w:id="110"/>
      </w:r>
      <w:r>
        <w:rPr>
          <w:rFonts w:ascii="Garamond" w:hAnsi="Garamond"/>
        </w:rPr>
        <w:t xml:space="preserve"> </w:t>
      </w:r>
      <w:r>
        <w:rPr>
          <w:rFonts w:ascii="Garamond" w:hAnsi="Garamond"/>
          <w:b/>
        </w:rPr>
        <w:t>A bank foreclosure pipeline</w:t>
      </w:r>
      <w:r>
        <w:rPr>
          <w:rFonts w:ascii="Garamond" w:hAnsi="Garamond"/>
        </w:rPr>
        <w:t xml:space="preserve"> runs through Pinnacle Financial Partners, whose PNB Holding subsidiaries took at least seven parcels by trustee deed between 2013 and 2025; the deed record shows the pattern on parcel 371171, where Ridgeview Heights, LLC lost the land to Pinnacle National Bank by a $4,441,963 trustee's deed in May 2010 before it passed to a PNB Holding shell.</w:t>
      </w:r>
      <w:r>
        <w:rPr>
          <w:rStyle w:val="FootnoteReference"/>
        </w:rPr>
        <w:footnoteReference w:id="111"/>
      </w:r>
      <w:r>
        <w:rPr>
          <w:rFonts w:ascii="Garamond" w:hAnsi="Garamond"/>
        </w:rPr>
        <w:t xml:space="preserve"> </w:t>
      </w:r>
      <w:r>
        <w:rPr>
          <w:rFonts w:ascii="Garamond" w:hAnsi="Garamond"/>
          <w:b/>
        </w:rPr>
        <w:t>Public builders</w:t>
      </w:r>
      <w:r>
        <w:rPr>
          <w:rFonts w:ascii="Garamond" w:hAnsi="Garamond"/>
        </w:rPr>
        <w:t xml:space="preserve"> hold the most land by combined acreage, and their recognizable names expose the hold to measurement. Desperado Partners bought 54.84 acres on Chandler Road for $258,500 in 2013, held it unimproved for eight years, and sold it to Meritage for $825,000 in 2021, a 219 percent gain on raw land; Meritage then held 92 lots across 32.61 acres about four years from acquisition to plat, and Beazer delayed the Overlook at Aaron's Cress plat roughly three years across 44 lots.</w:t>
      </w:r>
      <w:r>
        <w:rPr>
          <w:rStyle w:val="FootnoteReference"/>
        </w:rPr>
        <w:footnoteReference w:id="112"/>
      </w:r>
    </w:p>
    <w:p>
      <w:pPr>
        <w:pStyle w:val="Heading2"/>
      </w:pPr>
      <w:r>
        <w:t>B. Five Operating Structures</w:t>
      </w:r>
    </w:p>
    <w:p>
      <w:pPr>
        <w:spacing w:line="480" w:lineRule="auto" w:before="0" w:after="0"/>
        <w:ind w:firstLine="720"/>
      </w:pPr>
      <w:r>
        <w:rPr>
          <w:rFonts w:ascii="Garamond" w:hAnsi="Garamond"/>
        </w:rPr>
        <w:t>The recorded instruments show five distinct structures, and a sixth is emerging. In the first, a third-party land bank acquires from an outside developer and grants the builder an option: KLLB AIV acquired the 14.01-acre City Vista tract for $17,385,000 on October 12, 2023 and optioned it to Lennar through January 7, 2028.</w:t>
      </w:r>
      <w:r>
        <w:rPr>
          <w:rStyle w:val="FootnoteReference"/>
        </w:rPr>
        <w:footnoteReference w:id="113"/>
      </w:r>
      <w:r>
        <w:rPr>
          <w:rFonts w:ascii="Garamond" w:hAnsi="Garamond"/>
        </w:rPr>
        <w:t xml:space="preserve"> The parcel viewer shows the takedown mid-execution. As of June 2026 the 14.01-acre master parcel carried zero improvement value under a common-area entity, KLLB still held a cluster of undeveloped lots in its own name, and Lennar had taken down others where construction was already underway, so a reader can watch a single subdivision hold both the banked land and the built homes at once.</w:t>
      </w:r>
      <w:r>
        <w:rPr>
          <w:rStyle w:val="FootnoteReference"/>
        </w:rPr>
        <w:footnoteReference w:id="114"/>
      </w:r>
      <w:r>
        <w:rPr>
          <w:rFonts w:ascii="Garamond" w:hAnsi="Garamond"/>
        </w:rPr>
        <w:t xml:space="preserve"> In the second, a builder sells its own land to a bank and draws it back through takedowns, as Clayton Properties did through Domain Timberlake.</w:t>
      </w:r>
      <w:r>
        <w:rPr>
          <w:rStyle w:val="FootnoteReference"/>
        </w:rPr>
        <w:footnoteReference w:id="115"/>
      </w:r>
      <w:r>
        <w:rPr>
          <w:rFonts w:ascii="Garamond" w:hAnsi="Garamond"/>
        </w:rPr>
        <w:t xml:space="preserve"> In the third, a bank acquires directly from a local landowner and options the builder, as TPG did on the Zermatt site it bought from NP 81 for $4,600,000 before optioning Meritage.</w:t>
      </w:r>
      <w:r>
        <w:rPr>
          <w:rStyle w:val="FootnoteReference"/>
        </w:rPr>
        <w:footnoteReference w:id="116"/>
      </w:r>
      <w:r>
        <w:rPr>
          <w:rFonts w:ascii="Garamond" w:hAnsi="Garamond"/>
        </w:rPr>
        <w:t xml:space="preserve"> In the fourth, a local builder assembles and entitles the land and then sells the entitled parcel to an institutional bank, the Antioch 15 chain that ran a 7.45 times markup over thirty-three months.</w:t>
      </w:r>
      <w:r>
        <w:rPr>
          <w:rStyle w:val="FootnoteReference"/>
        </w:rPr>
        <w:footnoteReference w:id="117"/>
      </w:r>
      <w:r>
        <w:rPr>
          <w:rFonts w:ascii="Garamond" w:hAnsi="Garamond"/>
        </w:rPr>
        <w:t xml:space="preserve"> In the fifth, a builder spins its land into a REIT and recycles capital through the option platform, as Lennar did with Millrose, whose Tennessee vehicle optioned City Vista II to Lennar through August 31, 2030.</w:t>
      </w:r>
      <w:r>
        <w:rPr>
          <w:rStyle w:val="FootnoteReference"/>
        </w:rPr>
        <w:footnoteReference w:id="118"/>
      </w:r>
      <w:r>
        <w:rPr>
          <w:rFonts w:ascii="Garamond" w:hAnsi="Garamond"/>
        </w:rPr>
        <w:t xml:space="preserve"> The same Kennedy Lewis platform runs two Davidson banks at once, the private KLLB vehicle and the public Millrose REIT.</w:t>
      </w:r>
      <w:r>
        <w:rPr>
          <w:rStyle w:val="FootnoteReference"/>
        </w:rPr>
        <w:footnoteReference w:id="119"/>
      </w:r>
      <w:r>
        <w:rPr>
          <w:rFonts w:ascii="Garamond" w:hAnsi="Garamond"/>
        </w:rPr>
        <w:t xml:space="preserve"> The sixth structure, a tri-party agreement among a private lender, a developer, and a builder whose purchase deposit functions as land-bank financing, surfaces in the 1207B BCP townhome transaction.</w:t>
      </w:r>
      <w:r>
        <w:rPr>
          <w:rStyle w:val="FootnoteReference"/>
        </w:rPr>
        <w:footnoteReference w:id="120"/>
      </w:r>
    </w:p>
    <w:p>
      <w:pPr>
        <w:spacing w:line="480" w:lineRule="auto" w:before="0" w:after="0"/>
        <w:ind w:firstLine="720"/>
      </w:pPr>
      <w:r>
        <w:rPr>
          <w:rFonts w:ascii="Garamond" w:hAnsi="Garamond"/>
        </w:rPr>
        <w:t>Named institutional credit funds supply the capital behind each vehicle. DW Partners funds the DRP entities that optioned Cameron Park to Beazer and Heritage Creek to Clayton; Kennedy Lewis funds KLLB and manages the Millrose REIT; TPG Angelo Gordon funds the three TPG vehicles that optioned Pemberton to Lennar and Zermatt and Antioch 15 to Meritage; Brookfield Residential funds the Cane Ridge vehicle that optioned Cedars of Cane Ridge to Ashton Woods; and Domain funds the Timberlake vehicle that optioned Heritage Creek to Clayton.</w:t>
      </w:r>
      <w:r>
        <w:rPr>
          <w:rStyle w:val="FootnoteReference"/>
        </w:rPr>
        <w:footnoteReference w:id="121"/>
      </w:r>
      <w:r>
        <w:rPr>
          <w:rFonts w:ascii="Garamond" w:hAnsi="Garamond"/>
        </w:rPr>
        <w:t xml:space="preserve"> Nine institutional vehicles feed four national builders, Lennar, Meritage, Beazer, and Clayton.</w:t>
      </w:r>
      <w:r>
        <w:rPr>
          <w:rStyle w:val="FootnoteReference"/>
        </w:rPr>
        <w:footnoteReference w:id="122"/>
      </w:r>
      <w:r>
        <w:rPr>
          <w:rFonts w:ascii="Garamond" w:hAnsi="Garamond"/>
        </w:rPr>
        <w:t xml:space="preserve"> The arrangement is the local settlement of a strategy the public builders describe to their own investors, and the Davidson deed record is where that strategy touches the ground. Appendix Table A1 lists all nine with capital source, builder, project, option term, and current parcel count.</w:t>
      </w:r>
    </w:p>
    <w:p>
      <w:pPr>
        <w:spacing w:line="480" w:lineRule="auto" w:before="0" w:after="0"/>
        <w:ind w:firstLine="720"/>
      </w:pPr>
      <w:r>
        <w:rPr>
          <w:rFonts w:ascii="Garamond" w:hAnsi="Garamond"/>
        </w:rPr>
        <w:t>The land bank subtracts from supply through two levers, metering and markup, and it removes no homes to do so. Eight documented Davidson option deals cover 248 acres, roughly 870 homes at a net yield of 3.5 lots per acre, and the six-entity current snapshot covers 538 acres, roughly 1,880 homes.</w:t>
      </w:r>
      <w:r>
        <w:rPr>
          <w:rStyle w:val="FootnoteReference"/>
        </w:rPr>
        <w:footnoteReference w:id="123"/>
      </w:r>
      <w:r>
        <w:rPr>
          <w:rFonts w:ascii="Garamond" w:hAnsi="Garamond"/>
        </w:rPr>
        <w:t xml:space="preserve"> Metering sets the pace: the fund releases lots to the builder on a takedown schedule the capital provider controls, not the pace at which the market would absorb them, and the recorded deals show that hold to first takedown running from fourteen days on the Meritage deal to 791 days, more than two years, on the KLLB City Vista chain.</w:t>
      </w:r>
      <w:r>
        <w:rPr>
          <w:rStyle w:val="FootnoteReference"/>
        </w:rPr>
        <w:footnoteReference w:id="124"/>
      </w:r>
      <w:r>
        <w:rPr>
          <w:rFonts w:ascii="Garamond" w:hAnsi="Garamond"/>
        </w:rPr>
        <w:t xml:space="preserve"> Markup sets the price: every takedown prices above the fund's cost, from about 16 percent over cost on the Domain-to-Clayton deal to roughly 106 percent on the DRP-to-Beazer deal, and that spread is the fund's return.</w:t>
      </w:r>
      <w:r>
        <w:rPr>
          <w:rStyle w:val="FootnoteReference"/>
        </w:rPr>
        <w:footnoteReference w:id="125"/>
      </w:r>
      <w:r>
        <w:rPr>
          <w:rFonts w:ascii="Garamond" w:hAnsi="Garamond"/>
        </w:rPr>
        <w:t xml:space="preserve"> Appendix Table A4 reports the acquisition price, aggregate takedown proceeds, and hold for each recorded chain. The land bank does not remove homes from the market. It decides when they arrive and adds a carry charge to each one. The eight option chains are the documented core, but the broader deed record shows the same markup at scale. Across the Davidson entities that acquired land and later handed finished or entitled parcels to a builder, the sellers earned multiples of their cost. ECG Mountain Springs turned $174,500,000 into $1,098,000,000 across 117 handoffs, a 6.3-times markup and a 271 percent median annualized return; CSH Property One, an Invitation Homes shell, ran 4.7 times; and Fox Ridge Homes reached 21.4 times on 36 handoffs.</w:t>
      </w:r>
      <w:r>
        <w:rPr>
          <w:rStyle w:val="FootnoteReference"/>
        </w:rPr>
        <w:footnoteReference w:id="126"/>
      </w:r>
      <w:r>
        <w:rPr>
          <w:rFonts w:ascii="Garamond" w:hAnsi="Garamond"/>
        </w:rPr>
        <w:t xml:space="preserve"> Appendix Table B4 ranks the largest land-banking sellers by markup and annualized return.</w:t>
      </w:r>
    </w:p>
    <w:p>
      <w:pPr>
        <w:spacing w:line="480" w:lineRule="auto" w:before="0" w:after="0"/>
        <w:ind w:firstLine="720"/>
      </w:pPr>
      <w:r>
        <w:rPr>
          <w:rFonts w:ascii="Garamond" w:hAnsi="Garamond"/>
        </w:rPr>
        <w:t>The strategy has a date. Through the 2010s, land control in Davidson County ran through passive aggregators such as Walton and Drapac and through local builders optioning lots to one another. Lennar's own Master Agreement, filed with the Securities and Exchange Commission on October 8, 2020, names the structure "Land Banking" and defines it as acquiring residential land and granting a homebuilder an option to draw the lots down on a pre-determined schedule.</w:t>
      </w:r>
      <w:r>
        <w:rPr>
          <w:rStyle w:val="FootnoteReference"/>
        </w:rPr>
        <w:footnoteReference w:id="127"/>
      </w:r>
      <w:r>
        <w:rPr>
          <w:rFonts w:ascii="Garamond" w:hAnsi="Garamond"/>
        </w:rPr>
        <w:t xml:space="preserve"> After that date, institutional credit funds entered the Davidson option layer directly, and the first recorded option under a national credit fund follows within three years. That entry moves the point of institutional control from the finished rental home to the unbuilt lot.</w:t>
      </w:r>
    </w:p>
    <w:p>
      <w:pPr>
        <w:pStyle w:val="Heading2"/>
      </w:pPr>
      <w:r>
        <w:t>C. How Long They Hold, and the Markup</w:t>
      </w:r>
    </w:p>
    <w:p>
      <w:pPr>
        <w:spacing w:line="480" w:lineRule="auto" w:before="0" w:after="0"/>
        <w:ind w:firstLine="720"/>
      </w:pPr>
      <w:r>
        <w:rPr>
          <w:rFonts w:ascii="Garamond" w:hAnsi="Garamond"/>
        </w:rPr>
        <w:t>The hold is measured in years, and the assessor's own record dates it. One field the assessor keeps every year, the improvement appraisal, states the value of any structure standing on a parcel, and a value of zero means the parcel holds no building.</w:t>
      </w:r>
      <w:r>
        <w:rPr>
          <w:rStyle w:val="FootnoteReference"/>
        </w:rPr>
        <w:footnoteReference w:id="128"/>
      </w:r>
      <w:r>
        <w:rPr>
          <w:rFonts w:ascii="Garamond" w:hAnsi="Garamond"/>
        </w:rPr>
        <w:t xml:space="preserve"> Reading that field backward through the assessment record identifies every parcel that began as raw land and dates the year each one became a house. The record opens with 136,605 parcels that carried no improvement value, the vacant land of the county before a structure went up.</w:t>
      </w:r>
      <w:r>
        <w:rPr>
          <w:rStyle w:val="FootnoteReference"/>
        </w:rPr>
        <w:footnoteReference w:id="129"/>
      </w:r>
      <w:r>
        <w:rPr>
          <w:rFonts w:ascii="Garamond" w:hAnsi="Garamond"/>
        </w:rPr>
        <w:t xml:space="preserve"> Two-thirds of them, 93,244 parcels, now carry a building, and for that group the median gap between acquisition and construction is one year.</w:t>
      </w:r>
      <w:r>
        <w:rPr>
          <w:rStyle w:val="FootnoteReference"/>
        </w:rPr>
        <w:footnoteReference w:id="130"/>
      </w:r>
      <w:r>
        <w:rPr>
          <w:rFonts w:ascii="Garamond" w:hAnsi="Garamond"/>
        </w:rPr>
        <w:t xml:space="preserve"> Vacant land in Davidson County is ordinarily a way station, bought and built within a single assessment cycle. The land banker is the exception that breaks the pattern: 43,361 parcels began vacant and remain vacant today.</w:t>
      </w:r>
      <w:r>
        <w:rPr>
          <w:rStyle w:val="FootnoteReference"/>
        </w:rPr>
        <w:footnoteReference w:id="131"/>
      </w:r>
      <w:r>
        <w:rPr>
          <w:rFonts w:ascii="Garamond" w:hAnsi="Garamond"/>
        </w:rPr>
        <w:t xml:space="preserve"> Public owners hold the smaller share of that idle inventory, and private owners hold 88.3 percent, with 21,553 parcels under a corporate name and 9,118 held vacant in the same corporate hands for a decade or more.</w:t>
      </w:r>
      <w:r>
        <w:rPr>
          <w:rStyle w:val="FootnoteReference"/>
        </w:rPr>
        <w:footnoteReference w:id="132"/>
      </w:r>
      <w:r>
        <w:rPr>
          <w:rFonts w:ascii="Garamond" w:hAnsi="Garamond"/>
        </w:rPr>
        <w:t xml:space="preserve"> Regent Homes leads the private holders, and the leaderboard names developers and holding companies rather than the rental operators that dominate the built stock.</w:t>
      </w:r>
      <w:r>
        <w:rPr>
          <w:rStyle w:val="FootnoteReference"/>
        </w:rPr>
        <w:footnoteReference w:id="133"/>
      </w:r>
      <w:r>
        <w:rPr>
          <w:rFonts w:ascii="Garamond" w:hAnsi="Garamond"/>
        </w:rPr>
        <w:t xml:space="preserve"> The Antioch 15 parcel shows what the wait is worth: it gained 7.45 times its value over thirty-three months while producing no housing, with a specific-plan rezoning as the value event.</w:t>
      </w:r>
      <w:r>
        <w:rPr>
          <w:rStyle w:val="FootnoteReference"/>
        </w:rPr>
        <w:footnoteReference w:id="134"/>
      </w:r>
      <w:r>
        <w:rPr>
          <w:rFonts w:ascii="Garamond" w:hAnsi="Garamond"/>
        </w:rPr>
        <w:t xml:space="preserve"> The accompanying time-lapse map plots every vacant-origin parcel by acquisition year and colors each one by whether it built out or still sits empty, so a reader can watch the ordinary land clear and the land-banked tail accumulate.</w:t>
      </w:r>
      <w:r>
        <w:rPr>
          <w:rStyle w:val="FootnoteReference"/>
        </w:rPr>
        <w:footnoteReference w:id="135"/>
      </w:r>
      <w:r>
        <w:rPr>
          <w:rFonts w:ascii="Garamond" w:hAnsi="Garamond"/>
        </w:rPr>
        <w:t xml:space="preserve"> Appendix Table B3 traces each builder's new-construction parcels back to a prior land holder, and Appendix Table B2 names the leading private holders of still-vacant land.</w:t>
      </w:r>
    </w:p>
    <w:p>
      <w:pPr>
        <w:spacing w:line="480" w:lineRule="auto" w:before="0" w:after="0"/>
        <w:ind w:firstLine="720"/>
      </w:pPr>
      <w:r>
        <w:rPr>
          <w:rFonts w:ascii="Garamond" w:hAnsi="Garamond"/>
        </w:rPr>
        <w:t>A second cut, by the Assessor's land-use code rather than the assessment history, reaches the same inventory from the other side. In April 2026 the cadastral coded 28,940 parcels as vacant, covering 74,797 acres. Companies rather than people held 9,096 of them, 31.4 percent of the parcels and 36.1 percent of the acreage. Removing the holders that are not in the housing business, utilities, churches and schools, cemeteries, extraction and transport firms, homeowner-association common areas, and single-parcel personal trusts, leaves a speculative entity-held inventory of 7,689 parcels on 22,532 acres, about a quarter of every vacant acre in the county. The median parcel in that inventory had been held 5.2 years, half had been held five years or more, 2,066 more than ten, and 1,427 belonged to owners with out-of-state addresses. The concentration is sharpest where the zoning allows the most homes. Of the 117 vacant parcels zoned for multifamily construction, entities held 86, or 73.5 percent of the parcels and 55.4 percent of the acreage, and in the single-family category they held 29.6 percent of the 21,421 vacant parcels but 38.4 percent of the acreage, the signature of funds assembling large tracts while families hold small lots. The inventory also sits where renters can least afford it. Of the 5,937 speculative parcels that match a census tract, 4,184, covering 9,346 acres, lie in tracts where at least 40 percent of renter households already pay more than 30 percent of income for housing, and 2,491 lie in tracts where half or more do.</w:t>
      </w:r>
      <w:r>
        <w:rPr>
          <w:rStyle w:val="FootnoteReference"/>
        </w:rPr>
        <w:footnoteReference w:id="136"/>
      </w:r>
      <w:r>
        <w:rPr>
          <w:rFonts w:ascii="Garamond" w:hAnsi="Garamond"/>
        </w:rPr>
        <w:t xml:space="preserve"> The two cuts measure different things, a land-use code and an appraisal history, so their totals differ, and the Article reports both rather than choosing between them.</w:t>
      </w:r>
    </w:p>
    <w:p>
      <w:pPr>
        <w:spacing w:line="480" w:lineRule="auto" w:before="0" w:after="0"/>
        <w:ind w:firstLine="720"/>
      </w:pPr>
      <w:r>
        <w:rPr>
          <w:rFonts w:ascii="Garamond" w:hAnsi="Garamond"/>
        </w:rPr>
        <w:t>One operator proves the hold is a choice. American Homes 4 Rent's Nashville development arm builds rental homes, so vacant land is a non-performing asset it has no reason to warehouse. AMH bought parcels in November 2019 and recorded the subdivision plats by November 2020, under twelve months, and across roughly ninety Nashville parcels it moved from acquisition to plat in one to two years, a conventional entitlement cycle.</w:t>
      </w:r>
      <w:r>
        <w:rPr>
          <w:rStyle w:val="FootnoteReference"/>
        </w:rPr>
        <w:footnoteReference w:id="137"/>
      </w:r>
      <w:r>
        <w:rPr>
          <w:rFonts w:ascii="Garamond" w:hAnsi="Garamond"/>
        </w:rPr>
        <w:t xml:space="preserve"> Meritage and Beazer hold four years and three years on comparable land. The same market, the same permitting office, and the same infrastructure produce a one-year cycle for the builder that must rent and a multi-year hold for the funds that profit from the wait. The gap between them is the land banker's strategy, not a regulatory constraint.</w:t>
      </w:r>
    </w:p>
    <w:p>
      <w:pPr>
        <w:spacing w:line="480" w:lineRule="auto" w:before="0" w:after="0"/>
        <w:ind w:firstLine="720"/>
      </w:pPr>
      <w:r>
        <w:rPr>
          <w:rFonts w:ascii="Garamond" w:hAnsi="Garamond"/>
        </w:rPr>
        <w:t>A test of the opposite hypothesis confirms the division of labor the instruments describe. Walking all 149,147 recorded subdivision events in the county from 1900 to April 2026 and attaching the owner of record at the moment of each split, three occurred while a named single-family rental operator held the parcel, 0.0 percent, and the median owner had held a parcel 1.3 years before splitting it.</w:t>
      </w:r>
      <w:r>
        <w:rPr>
          <w:rStyle w:val="FootnoteReference"/>
        </w:rPr>
        <w:footnoteReference w:id="138"/>
      </w:r>
      <w:r>
        <w:rPr>
          <w:rFonts w:ascii="Garamond" w:hAnsi="Garamond"/>
        </w:rPr>
        <w:t xml:space="preserve"> The rental operators do not plat land. The platting happens under the land-bank vehicle's name while the builder does the work under the development agreement, which is why the vehicles in Appendix Table A2 appear on plats and the operators that eventually own the homes never do.</w:t>
      </w:r>
    </w:p>
    <w:p>
      <w:pPr>
        <w:spacing w:line="480" w:lineRule="auto" w:before="0" w:after="0"/>
        <w:ind w:firstLine="720"/>
      </w:pPr>
      <w:r>
        <w:rPr>
          <w:rFonts w:ascii="Garamond" w:hAnsi="Garamond"/>
        </w:rPr>
        <w:t>The entitled inventory sharpens the point. Davidson County has already approved 6,069 residential lots that no one has built on, covering 1,127 acres and carrying $2,672,702,600 in appraised value, and the median lot has sat unbuilt for 20.6 years since a builder took it down.</w:t>
      </w:r>
      <w:r>
        <w:rPr>
          <w:rStyle w:val="FootnoteReference"/>
        </w:rPr>
        <w:footnoteReference w:id="139"/>
      </w:r>
      <w:r>
        <w:rPr>
          <w:rFonts w:ascii="Garamond" w:hAnsi="Garamond"/>
        </w:rPr>
        <w:t xml:space="preserve"> Of those, 5,539 have been held three years or more. These are not raw tracts awaiting entitlement. They are platted, approved lots, the last step before a house, held empty for two decades. The buildable capacity the next Section measures is not hypothetical: much of it is already entitled, already sitting, and already counted on the tax roll.</w:t>
      </w:r>
    </w:p>
    <w:p>
      <w:pPr>
        <w:pStyle w:val="Heading2"/>
      </w:pPr>
      <w:r>
        <w:t>D. The Homes the Vacant Land Could Carry</w:t>
      </w:r>
    </w:p>
    <w:p>
      <w:pPr>
        <w:spacing w:line="480" w:lineRule="auto" w:before="0" w:after="0"/>
        <w:ind w:firstLine="720"/>
      </w:pPr>
      <w:r>
        <w:rPr>
          <w:rFonts w:ascii="Garamond" w:hAnsi="Garamond"/>
        </w:rPr>
        <w:t>The vacant land these entities hold is buildable capacity the county is not using. Entity-owned holders, companies rather than people on the deed, hold 8,838 vacant residential parcels covering 15,629 acres.</w:t>
      </w:r>
      <w:r>
        <w:rPr>
          <w:rStyle w:val="FootnoteReference"/>
        </w:rPr>
        <w:footnoteReference w:id="140"/>
      </w:r>
      <w:r>
        <w:rPr>
          <w:rFonts w:ascii="Garamond" w:hAnsi="Garamond"/>
        </w:rPr>
        <w:t xml:space="preserve"> Converting that acreage to dwelling units at the legal zoning-maximum density yields 72,480 homes, and at the conservative market-norm lot yield, roughly three homes per developable lot, yields 41,136.</w:t>
      </w:r>
      <w:r>
        <w:rPr>
          <w:rStyle w:val="FootnoteReference"/>
        </w:rPr>
        <w:footnoteReference w:id="141"/>
      </w:r>
      <w:r>
        <w:rPr>
          <w:rFonts w:ascii="Garamond" w:hAnsi="Garamond"/>
        </w:rPr>
        <w:t xml:space="preserve"> Excluding the largest rural tracts and counting only parcels of twenty-five acres or less, the developable inventory still carries between 26,597 homes at the market norm and 47,711 at the zoning maximum.</w:t>
      </w:r>
      <w:r>
        <w:rPr>
          <w:rStyle w:val="FootnoteReference"/>
        </w:rPr>
        <w:footnoteReference w:id="142"/>
      </w:r>
      <w:r>
        <w:rPr>
          <w:rFonts w:ascii="Garamond" w:hAnsi="Garamond"/>
        </w:rPr>
        <w:t xml:space="preserve"> The entity-held vacant land could therefore carry on the order of 26,600 to 72,500 homes, a meaningful share of the new units Davidson County's Unified Housing Strategy says it needs. Appendix Table C1 reports the capacity both ways so the estimate is bracketed rather than assumed.</w:t>
      </w:r>
    </w:p>
    <w:p>
      <w:pPr>
        <w:pStyle w:val="Heading1"/>
        <w:spacing w:before="360"/>
      </w:pPr>
      <w:r>
        <w:t>VI. WHAT THE ACT DOES NOT REACH</w:t>
      </w:r>
    </w:p>
    <w:p>
      <w:pPr>
        <w:spacing w:line="480" w:lineRule="auto" w:before="0" w:after="0"/>
        <w:ind w:firstLine="720"/>
      </w:pPr>
      <w:r>
        <w:rPr>
          <w:rFonts w:ascii="Garamond" w:hAnsi="Garamond"/>
        </w:rPr>
        <w:t>The 21st Century ROAD to Housing Act governs the finished house and leaves the land untouched. The land banker's advantage is legal and quiet: nothing in the acquisition, the affiliate transfer, the entitlement, or the multi-year hold breaks any rule, and the Act's exemptions for new construction and build-to-rent describe exactly the channels these vehicles feed.</w:t>
      </w:r>
      <w:r>
        <w:rPr>
          <w:rStyle w:val="FootnoteReference"/>
        </w:rPr>
        <w:footnoteReference w:id="143"/>
      </w:r>
      <w:r>
        <w:rPr>
          <w:rFonts w:ascii="Garamond" w:hAnsi="Garamond"/>
        </w:rPr>
        <w:t xml:space="preserve"> The county entitles the land, the shortage prices it, and the holder collects the difference, then delivers finished lots to a builder in a transaction the Act does not reach. The homes that the entitled-but-empty inventory could carry are the measure of what the wait costs everyone else. A statute aimed at institutional housing that stops at the finished single-family home addresses the last link in the chain and leaves the first, the acquisition and banking of the buildable land, wide open.</w:t>
      </w:r>
    </w:p>
    <w:p>
      <w:pPr>
        <w:spacing w:line="480" w:lineRule="auto" w:before="0" w:after="0"/>
        <w:ind w:firstLine="720"/>
      </w:pPr>
      <w:r>
        <w:rPr>
          <w:rFonts w:ascii="Garamond" w:hAnsi="Garamond"/>
        </w:rPr>
        <w:t>The reforms aimed at this gap target the acquisition, not the finished home. The American Economic Liberties Project proposes a land-value tax to make holding vacant lots unprofitable, federal lending facilities and community-bank support to break the capital advantage that locks small builders out of the land market, and, most directly, closing the loopholes that let anti-competitive land acquisitions go unreported.</w:t>
      </w:r>
      <w:r>
        <w:rPr>
          <w:rStyle w:val="FootnoteReference"/>
        </w:rPr>
        <w:footnoteReference w:id="144"/>
      </w:r>
      <w:r>
        <w:rPr>
          <w:rFonts w:ascii="Garamond" w:hAnsi="Garamond"/>
        </w:rPr>
        <w:t xml:space="preserve"> The Housing Acquisitions Review and Transparency Act would require large corporate buyers of housing to report their transactions to federal antitrust enforcers, and closing the Hart-Scott-Rodino exemption for raw land would end the very invisibility this Article documents in the deed record.</w:t>
      </w:r>
      <w:r>
        <w:rPr>
          <w:rStyle w:val="FootnoteReference"/>
        </w:rPr>
        <w:footnoteReference w:id="145"/>
      </w:r>
      <w:r>
        <w:rPr>
          <w:rFonts w:ascii="Garamond" w:hAnsi="Garamond"/>
        </w:rPr>
        <w:t xml:space="preserve"> Federal antitrust review exempts raw-land acquisitions today, so the purchase of the dirt, the first link in the land-banking chain, generates no federal disclosure at all. Davidson County's own record already carries what the federal regime does not: the deed naming the land banker, the zero-price affiliate transfer, and the year-by-year hold. Congress has begun to legislate around the edges of this problem, with the Housing and Economic Recovery Act of 2025, the Stop Predatory Investing Act, and the Housing and Real Estate Technology Act each addressing a piece of institutional housing acquisition, and five 2025 House and Senate hearings on housing supply.</w:t>
      </w:r>
      <w:r>
        <w:rPr>
          <w:rStyle w:val="FootnoteReference"/>
        </w:rPr>
        <w:footnoteReference w:id="146"/>
      </w:r>
      <w:r>
        <w:rPr>
          <w:rFonts w:ascii="Garamond" w:hAnsi="Garamond"/>
        </w:rPr>
        <w:t xml:space="preserve"> The reform logic tracks a scholarship that reframes the shortage as a concentration problem: builder consolidation, the retreat of local finance, and monopoly in construction have concentrated the power to meter supply in a handful of firms.</w:t>
      </w:r>
      <w:r>
        <w:rPr>
          <w:rStyle w:val="FootnoteReference"/>
        </w:rPr>
        <w:footnoteReference w:id="147"/>
      </w:r>
    </w:p>
    <w:p>
      <w:pPr>
        <w:pStyle w:val="Heading1"/>
        <w:spacing w:before="360"/>
      </w:pPr>
      <w:r>
        <w:t>CONCLUSION</w:t>
      </w:r>
    </w:p>
    <w:p>
      <w:pPr>
        <w:spacing w:line="480" w:lineRule="auto" w:before="0" w:after="0"/>
        <w:ind w:firstLine="720"/>
      </w:pPr>
      <w:r>
        <w:rPr>
          <w:rFonts w:ascii="Garamond" w:hAnsi="Garamond"/>
        </w:rPr>
        <w:t>The October 2023 City Vista transaction opened this Article, and it frames the close. A family looking for a home in Davidson County cannot buy that tract, cannot outbid a $17,385,000 institutional purchase, and cannot know when a house will rise on land optioned out to 2028. The land sits entitled and empty while its value climbs on the same shortage that keeps the family renting. The deed record already names the land banker, the builder, the project, and the option term in each recorded instrument, and the parcel record dates every acquisition, split, and year of the hold. A county that reads its own record can see exactly who banks its land, where, for how long, and at what gain. The federal ban will slow institutional purchases of finished homes and will not touch the entity that banks the dirt. The next Article in this series turns to who finances the hold.</w:t>
      </w:r>
    </w:p>
    <w:p>
      <w:pPr>
        <w:pStyle w:val="Heading1"/>
        <w:spacing w:before="360"/>
      </w:pPr>
      <w:r>
        <w:t>APPENDIX A: RECORDED OPTION AGREEMENTS AND LAND-BANK VEHICLES</w:t>
      </w:r>
    </w:p>
    <w:p>
      <w:pPr>
        <w:spacing w:line="240" w:lineRule="auto" w:before="0" w:after="120"/>
      </w:pPr>
      <w:r>
        <w:rPr>
          <w:rFonts w:ascii="Garamond" w:hAnsi="Garamond"/>
          <w:b/>
          <w:sz w:val="19"/>
        </w:rPr>
        <w:t>Table A1:</w:t>
      </w:r>
      <w:r>
        <w:rPr>
          <w:rFonts w:ascii="Garamond" w:hAnsi="Garamond"/>
          <w:sz w:val="19"/>
        </w:rPr>
        <w:t xml:space="preserve"> Confirmed residential land-bank option agreements, Davidson County, by capital source, builder, project, option term, and current parcel count.</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bottom w:val="single" w:sz="4" w:color="000000"/>
            </w:tcBorders>
          </w:tcPr>
          <w:p>
            <w:pPr>
              <w:spacing w:line="240" w:lineRule="auto"/>
            </w:pPr>
            <w:r>
              <w:rPr>
                <w:b/>
              </w:rPr>
            </w:r>
            <w:r>
              <w:rPr>
                <w:rFonts w:ascii="Garamond" w:hAnsi="Garamond"/>
                <w:b/>
                <w:sz w:val="16"/>
              </w:rPr>
              <w:t>Land banker</w:t>
            </w:r>
          </w:p>
        </w:tc>
        <w:tc>
          <w:tcPr>
            <w:tcW w:type="dxa" w:w="1337"/>
            <w:tcBorders>
              <w:bottom w:val="single" w:sz="4" w:color="000000"/>
            </w:tcBorders>
          </w:tcPr>
          <w:p>
            <w:pPr>
              <w:spacing w:line="240" w:lineRule="auto"/>
            </w:pPr>
            <w:r>
              <w:rPr>
                <w:b/>
              </w:rPr>
            </w:r>
            <w:r>
              <w:rPr>
                <w:rFonts w:ascii="Garamond" w:hAnsi="Garamond"/>
                <w:b/>
                <w:sz w:val="16"/>
              </w:rPr>
              <w:t>Capital source</w:t>
            </w:r>
          </w:p>
        </w:tc>
        <w:tc>
          <w:tcPr>
            <w:tcW w:type="dxa" w:w="1337"/>
            <w:tcBorders>
              <w:bottom w:val="single" w:sz="4" w:color="000000"/>
            </w:tcBorders>
          </w:tcPr>
          <w:p>
            <w:pPr>
              <w:spacing w:line="240" w:lineRule="auto"/>
            </w:pPr>
            <w:r>
              <w:rPr>
                <w:b/>
              </w:rPr>
            </w:r>
            <w:r>
              <w:rPr>
                <w:rFonts w:ascii="Garamond" w:hAnsi="Garamond"/>
                <w:b/>
                <w:sz w:val="16"/>
              </w:rPr>
              <w:t>Builder</w:t>
            </w:r>
          </w:p>
        </w:tc>
        <w:tc>
          <w:tcPr>
            <w:tcW w:type="dxa" w:w="1337"/>
            <w:tcBorders>
              <w:bottom w:val="single" w:sz="4" w:color="000000"/>
            </w:tcBorders>
          </w:tcPr>
          <w:p>
            <w:pPr>
              <w:spacing w:line="240" w:lineRule="auto"/>
            </w:pPr>
            <w:r>
              <w:rPr>
                <w:b/>
              </w:rPr>
            </w:r>
            <w:r>
              <w:rPr>
                <w:rFonts w:ascii="Garamond" w:hAnsi="Garamond"/>
                <w:b/>
                <w:sz w:val="16"/>
              </w:rPr>
              <w:t>Project</w:t>
            </w:r>
          </w:p>
        </w:tc>
        <w:tc>
          <w:tcPr>
            <w:tcW w:type="dxa" w:w="1337"/>
            <w:tcBorders>
              <w:bottom w:val="single" w:sz="4" w:color="000000"/>
            </w:tcBorders>
          </w:tcPr>
          <w:p>
            <w:pPr>
              <w:spacing w:line="240" w:lineRule="auto"/>
            </w:pPr>
            <w:r>
              <w:rPr>
                <w:b/>
              </w:rPr>
            </w:r>
            <w:r>
              <w:rPr>
                <w:rFonts w:ascii="Garamond" w:hAnsi="Garamond"/>
                <w:b/>
                <w:sz w:val="16"/>
              </w:rPr>
              <w:t>Option recorded</w:t>
            </w:r>
          </w:p>
        </w:tc>
        <w:tc>
          <w:tcPr>
            <w:tcW w:type="dxa" w:w="1337"/>
            <w:tcBorders>
              <w:bottom w:val="single" w:sz="4" w:color="000000"/>
            </w:tcBorders>
          </w:tcPr>
          <w:p>
            <w:pPr>
              <w:spacing w:line="240" w:lineRule="auto"/>
            </w:pPr>
            <w:r>
              <w:rPr>
                <w:b/>
              </w:rPr>
            </w:r>
            <w:r>
              <w:rPr>
                <w:rFonts w:ascii="Garamond" w:hAnsi="Garamond"/>
                <w:b/>
                <w:sz w:val="16"/>
              </w:rPr>
              <w:t>Option expires</w:t>
            </w:r>
          </w:p>
        </w:tc>
        <w:tc>
          <w:tcPr>
            <w:tcW w:type="dxa" w:w="1337"/>
            <w:tcBorders>
              <w:bottom w:val="single" w:sz="4" w:color="000000"/>
            </w:tcBorders>
          </w:tcPr>
          <w:p>
            <w:pPr>
              <w:spacing w:line="240" w:lineRule="auto"/>
            </w:pPr>
            <w:r>
              <w:rPr>
                <w:b/>
              </w:rPr>
            </w:r>
            <w:r>
              <w:rPr>
                <w:rFonts w:ascii="Garamond" w:hAnsi="Garamond"/>
                <w:b/>
                <w:sz w:val="16"/>
              </w:rPr>
              <w:t>Parcels held, Oct. 19, 2026</w:t>
            </w:r>
          </w:p>
        </w:tc>
      </w:tr>
      <w:tr>
        <w:tc>
          <w:tcPr>
            <w:tcW w:type="dxa" w:w="1337"/>
          </w:tcPr>
          <w:p>
            <w:pPr>
              <w:spacing w:line="240" w:lineRule="auto"/>
            </w:pPr>
            <w:r/>
            <w:r>
              <w:rPr>
                <w:rFonts w:ascii="Garamond" w:hAnsi="Garamond"/>
                <w:sz w:val="16"/>
              </w:rPr>
              <w:t>DRP TN 1, LLC</w:t>
            </w:r>
          </w:p>
        </w:tc>
        <w:tc>
          <w:tcPr>
            <w:tcW w:type="dxa" w:w="1337"/>
          </w:tcPr>
          <w:p>
            <w:pPr>
              <w:spacing w:line="240" w:lineRule="auto"/>
            </w:pPr>
            <w:r/>
            <w:r>
              <w:rPr>
                <w:rFonts w:ascii="Garamond" w:hAnsi="Garamond"/>
                <w:sz w:val="16"/>
              </w:rPr>
              <w:t>DW Partners</w:t>
            </w:r>
          </w:p>
        </w:tc>
        <w:tc>
          <w:tcPr>
            <w:tcW w:type="dxa" w:w="1337"/>
          </w:tcPr>
          <w:p>
            <w:pPr>
              <w:spacing w:line="240" w:lineRule="auto"/>
            </w:pPr>
            <w:r/>
            <w:r>
              <w:rPr>
                <w:rFonts w:ascii="Garamond" w:hAnsi="Garamond"/>
                <w:sz w:val="16"/>
              </w:rPr>
              <w:t>Beazer</w:t>
            </w:r>
          </w:p>
        </w:tc>
        <w:tc>
          <w:tcPr>
            <w:tcW w:type="dxa" w:w="1337"/>
          </w:tcPr>
          <w:p>
            <w:pPr>
              <w:spacing w:line="240" w:lineRule="auto"/>
            </w:pPr>
            <w:r/>
            <w:r>
              <w:rPr>
                <w:rFonts w:ascii="Garamond" w:hAnsi="Garamond"/>
                <w:sz w:val="16"/>
              </w:rPr>
              <w:t>Cameron Park</w:t>
            </w:r>
          </w:p>
        </w:tc>
        <w:tc>
          <w:tcPr>
            <w:tcW w:type="dxa" w:w="1337"/>
          </w:tcPr>
          <w:p>
            <w:pPr>
              <w:spacing w:line="240" w:lineRule="auto"/>
            </w:pPr>
            <w:r/>
            <w:r>
              <w:rPr>
                <w:rFonts w:ascii="Garamond" w:hAnsi="Garamond"/>
                <w:sz w:val="16"/>
              </w:rPr>
              <w:t>Feb. 2019</w:t>
            </w:r>
          </w:p>
        </w:tc>
        <w:tc>
          <w:tcPr>
            <w:tcW w:type="dxa" w:w="1337"/>
          </w:tcPr>
          <w:p>
            <w:pPr>
              <w:spacing w:line="240" w:lineRule="auto"/>
            </w:pPr>
            <w:r/>
            <w:r>
              <w:rPr>
                <w:rFonts w:ascii="Garamond" w:hAnsi="Garamond"/>
                <w:sz w:val="16"/>
              </w:rPr>
              <w:t>exercised</w:t>
            </w:r>
          </w:p>
        </w:tc>
        <w:tc>
          <w:tcPr>
            <w:tcW w:type="dxa" w:w="1337"/>
          </w:tcPr>
          <w:p>
            <w:pPr>
              <w:spacing w:line="240" w:lineRule="auto"/>
              <w:jc w:val="right"/>
            </w:pPr>
            <w:r/>
            <w:r>
              <w:rPr>
                <w:rFonts w:ascii="Garamond" w:hAnsi="Garamond"/>
                <w:sz w:val="16"/>
              </w:rPr>
              <w:t>0</w:t>
            </w:r>
          </w:p>
        </w:tc>
      </w:tr>
      <w:tr>
        <w:tc>
          <w:tcPr>
            <w:tcW w:type="dxa" w:w="1337"/>
          </w:tcPr>
          <w:p>
            <w:pPr>
              <w:spacing w:line="240" w:lineRule="auto"/>
            </w:pPr>
            <w:r/>
            <w:r>
              <w:rPr>
                <w:rFonts w:ascii="Garamond" w:hAnsi="Garamond"/>
                <w:sz w:val="16"/>
              </w:rPr>
              <w:t>DRP Multistate 1, LLC</w:t>
            </w:r>
          </w:p>
        </w:tc>
        <w:tc>
          <w:tcPr>
            <w:tcW w:type="dxa" w:w="1337"/>
          </w:tcPr>
          <w:p>
            <w:pPr>
              <w:spacing w:line="240" w:lineRule="auto"/>
            </w:pPr>
            <w:r/>
            <w:r>
              <w:rPr>
                <w:rFonts w:ascii="Garamond" w:hAnsi="Garamond"/>
                <w:sz w:val="16"/>
              </w:rPr>
              <w:t>DW Partners</w:t>
            </w:r>
          </w:p>
        </w:tc>
        <w:tc>
          <w:tcPr>
            <w:tcW w:type="dxa" w:w="1337"/>
          </w:tcPr>
          <w:p>
            <w:pPr>
              <w:spacing w:line="240" w:lineRule="auto"/>
            </w:pPr>
            <w:r/>
            <w:r>
              <w:rPr>
                <w:rFonts w:ascii="Garamond" w:hAnsi="Garamond"/>
                <w:sz w:val="16"/>
              </w:rPr>
              <w:t>Clayton</w:t>
            </w:r>
          </w:p>
        </w:tc>
        <w:tc>
          <w:tcPr>
            <w:tcW w:type="dxa" w:w="1337"/>
          </w:tcPr>
          <w:p>
            <w:pPr>
              <w:spacing w:line="240" w:lineRule="auto"/>
            </w:pPr>
            <w:r/>
            <w:r>
              <w:rPr>
                <w:rFonts w:ascii="Garamond" w:hAnsi="Garamond"/>
                <w:sz w:val="16"/>
              </w:rPr>
              <w:t>Heritage Creek Ph. 1B</w:t>
            </w:r>
          </w:p>
        </w:tc>
        <w:tc>
          <w:tcPr>
            <w:tcW w:type="dxa" w:w="1337"/>
          </w:tcPr>
          <w:p>
            <w:pPr>
              <w:spacing w:line="240" w:lineRule="auto"/>
            </w:pPr>
            <w:r/>
            <w:r>
              <w:rPr>
                <w:rFonts w:ascii="Garamond" w:hAnsi="Garamond"/>
                <w:sz w:val="16"/>
              </w:rPr>
              <w:t>Dec. 2022</w:t>
            </w:r>
          </w:p>
        </w:tc>
        <w:tc>
          <w:tcPr>
            <w:tcW w:type="dxa" w:w="1337"/>
          </w:tcPr>
          <w:p>
            <w:pPr>
              <w:spacing w:line="240" w:lineRule="auto"/>
            </w:pPr>
            <w:r/>
            <w:r>
              <w:rPr>
                <w:rFonts w:ascii="Garamond" w:hAnsi="Garamond"/>
                <w:sz w:val="16"/>
              </w:rPr>
              <w:t>exercised</w:t>
            </w:r>
          </w:p>
        </w:tc>
        <w:tc>
          <w:tcPr>
            <w:tcW w:type="dxa" w:w="1337"/>
          </w:tcPr>
          <w:p>
            <w:pPr>
              <w:spacing w:line="240" w:lineRule="auto"/>
              <w:jc w:val="right"/>
            </w:pPr>
            <w:r/>
            <w:r>
              <w:rPr>
                <w:rFonts w:ascii="Garamond" w:hAnsi="Garamond"/>
                <w:sz w:val="16"/>
              </w:rPr>
              <w:t>1</w:t>
            </w:r>
          </w:p>
        </w:tc>
      </w:tr>
      <w:tr>
        <w:tc>
          <w:tcPr>
            <w:tcW w:type="dxa" w:w="1337"/>
          </w:tcPr>
          <w:p>
            <w:pPr>
              <w:spacing w:line="240" w:lineRule="auto"/>
            </w:pPr>
            <w:r/>
            <w:r>
              <w:rPr>
                <w:rFonts w:ascii="Garamond" w:hAnsi="Garamond"/>
                <w:sz w:val="16"/>
              </w:rPr>
              <w:t>Brookfield Holdings (Cane Ridge) LLC</w:t>
            </w:r>
          </w:p>
        </w:tc>
        <w:tc>
          <w:tcPr>
            <w:tcW w:type="dxa" w:w="1337"/>
          </w:tcPr>
          <w:p>
            <w:pPr>
              <w:spacing w:line="240" w:lineRule="auto"/>
            </w:pPr>
            <w:r/>
            <w:r>
              <w:rPr>
                <w:rFonts w:ascii="Garamond" w:hAnsi="Garamond"/>
                <w:sz w:val="16"/>
              </w:rPr>
              <w:t>Brookfield Residential</w:t>
            </w:r>
          </w:p>
        </w:tc>
        <w:tc>
          <w:tcPr>
            <w:tcW w:type="dxa" w:w="1337"/>
          </w:tcPr>
          <w:p>
            <w:pPr>
              <w:spacing w:line="240" w:lineRule="auto"/>
            </w:pPr>
            <w:r/>
            <w:r>
              <w:rPr>
                <w:rFonts w:ascii="Garamond" w:hAnsi="Garamond"/>
                <w:sz w:val="16"/>
              </w:rPr>
              <w:t>Ashton Woods</w:t>
            </w:r>
          </w:p>
        </w:tc>
        <w:tc>
          <w:tcPr>
            <w:tcW w:type="dxa" w:w="1337"/>
          </w:tcPr>
          <w:p>
            <w:pPr>
              <w:spacing w:line="240" w:lineRule="auto"/>
            </w:pPr>
            <w:r/>
            <w:r>
              <w:rPr>
                <w:rFonts w:ascii="Garamond" w:hAnsi="Garamond"/>
                <w:sz w:val="16"/>
              </w:rPr>
              <w:t>Cedars of Cane Ridge</w:t>
            </w:r>
          </w:p>
        </w:tc>
        <w:tc>
          <w:tcPr>
            <w:tcW w:type="dxa" w:w="1337"/>
          </w:tcPr>
          <w:p>
            <w:pPr>
              <w:spacing w:line="240" w:lineRule="auto"/>
            </w:pPr>
            <w:r/>
            <w:r>
              <w:rPr>
                <w:rFonts w:ascii="Garamond" w:hAnsi="Garamond"/>
                <w:sz w:val="16"/>
              </w:rPr>
              <w:t>Aug. 2023 (am. Oct. 2024)</w:t>
            </w:r>
          </w:p>
        </w:tc>
        <w:tc>
          <w:tcPr>
            <w:tcW w:type="dxa" w:w="1337"/>
          </w:tcPr>
          <w:p>
            <w:pPr>
              <w:spacing w:line="240" w:lineRule="auto"/>
            </w:pPr>
            <w:r/>
            <w:r>
              <w:rPr>
                <w:rFonts w:ascii="Garamond" w:hAnsi="Garamond"/>
                <w:sz w:val="16"/>
              </w:rPr>
              <w:t>Nov. 2024 + extensions</w:t>
            </w:r>
          </w:p>
        </w:tc>
        <w:tc>
          <w:tcPr>
            <w:tcW w:type="dxa" w:w="1337"/>
          </w:tcPr>
          <w:p>
            <w:pPr>
              <w:spacing w:line="240" w:lineRule="auto"/>
              <w:jc w:val="right"/>
            </w:pPr>
            <w:r/>
            <w:r>
              <w:rPr>
                <w:rFonts w:ascii="Garamond" w:hAnsi="Garamond"/>
                <w:sz w:val="16"/>
              </w:rPr>
              <w:t>58</w:t>
            </w:r>
          </w:p>
        </w:tc>
      </w:tr>
      <w:tr>
        <w:tc>
          <w:tcPr>
            <w:tcW w:type="dxa" w:w="1337"/>
          </w:tcPr>
          <w:p>
            <w:pPr>
              <w:spacing w:line="240" w:lineRule="auto"/>
            </w:pPr>
            <w:r/>
            <w:r>
              <w:rPr>
                <w:rFonts w:ascii="Garamond" w:hAnsi="Garamond"/>
                <w:sz w:val="16"/>
              </w:rPr>
              <w:t>KLLB AIV, LLC</w:t>
            </w:r>
          </w:p>
        </w:tc>
        <w:tc>
          <w:tcPr>
            <w:tcW w:type="dxa" w:w="1337"/>
          </w:tcPr>
          <w:p>
            <w:pPr>
              <w:spacing w:line="240" w:lineRule="auto"/>
            </w:pPr>
            <w:r/>
            <w:r>
              <w:rPr>
                <w:rFonts w:ascii="Garamond" w:hAnsi="Garamond"/>
                <w:sz w:val="16"/>
              </w:rPr>
              <w:t>Kennedy Lewis</w:t>
            </w:r>
          </w:p>
        </w:tc>
        <w:tc>
          <w:tcPr>
            <w:tcW w:type="dxa" w:w="1337"/>
          </w:tcPr>
          <w:p>
            <w:pPr>
              <w:spacing w:line="240" w:lineRule="auto"/>
            </w:pPr>
            <w:r/>
            <w:r>
              <w:rPr>
                <w:rFonts w:ascii="Garamond" w:hAnsi="Garamond"/>
                <w:sz w:val="16"/>
              </w:rPr>
              <w:t>Lennar</w:t>
            </w:r>
          </w:p>
        </w:tc>
        <w:tc>
          <w:tcPr>
            <w:tcW w:type="dxa" w:w="1337"/>
          </w:tcPr>
          <w:p>
            <w:pPr>
              <w:spacing w:line="240" w:lineRule="auto"/>
            </w:pPr>
            <w:r/>
            <w:r>
              <w:rPr>
                <w:rFonts w:ascii="Garamond" w:hAnsi="Garamond"/>
                <w:sz w:val="16"/>
              </w:rPr>
              <w:t>City Vista</w:t>
            </w:r>
          </w:p>
        </w:tc>
        <w:tc>
          <w:tcPr>
            <w:tcW w:type="dxa" w:w="1337"/>
          </w:tcPr>
          <w:p>
            <w:pPr>
              <w:spacing w:line="240" w:lineRule="auto"/>
            </w:pPr>
            <w:r/>
            <w:r>
              <w:rPr>
                <w:rFonts w:ascii="Garamond" w:hAnsi="Garamond"/>
                <w:sz w:val="16"/>
              </w:rPr>
              <w:t>Oct. 2023</w:t>
            </w:r>
          </w:p>
        </w:tc>
        <w:tc>
          <w:tcPr>
            <w:tcW w:type="dxa" w:w="1337"/>
          </w:tcPr>
          <w:p>
            <w:pPr>
              <w:spacing w:line="240" w:lineRule="auto"/>
            </w:pPr>
            <w:r/>
            <w:r>
              <w:rPr>
                <w:rFonts w:ascii="Garamond" w:hAnsi="Garamond"/>
                <w:sz w:val="16"/>
              </w:rPr>
              <w:t>Jan. 7, 2028</w:t>
            </w:r>
          </w:p>
        </w:tc>
        <w:tc>
          <w:tcPr>
            <w:tcW w:type="dxa" w:w="1337"/>
          </w:tcPr>
          <w:p>
            <w:pPr>
              <w:spacing w:line="240" w:lineRule="auto"/>
              <w:jc w:val="right"/>
            </w:pPr>
            <w:r/>
            <w:r>
              <w:rPr>
                <w:rFonts w:ascii="Garamond" w:hAnsi="Garamond"/>
                <w:sz w:val="16"/>
              </w:rPr>
              <w:t>122</w:t>
            </w:r>
          </w:p>
        </w:tc>
      </w:tr>
      <w:tr>
        <w:tc>
          <w:tcPr>
            <w:tcW w:type="dxa" w:w="1337"/>
          </w:tcPr>
          <w:p>
            <w:pPr>
              <w:spacing w:line="240" w:lineRule="auto"/>
            </w:pPr>
            <w:r/>
            <w:r>
              <w:rPr>
                <w:rFonts w:ascii="Garamond" w:hAnsi="Garamond"/>
                <w:sz w:val="16"/>
              </w:rPr>
              <w:t>Domain Timberlake Multistate 2, LLC</w:t>
            </w:r>
          </w:p>
        </w:tc>
        <w:tc>
          <w:tcPr>
            <w:tcW w:type="dxa" w:w="1337"/>
          </w:tcPr>
          <w:p>
            <w:pPr>
              <w:spacing w:line="240" w:lineRule="auto"/>
            </w:pPr>
            <w:r/>
            <w:r>
              <w:rPr>
                <w:rFonts w:ascii="Garamond" w:hAnsi="Garamond"/>
                <w:sz w:val="16"/>
              </w:rPr>
              <w:t>Domain</w:t>
            </w:r>
          </w:p>
        </w:tc>
        <w:tc>
          <w:tcPr>
            <w:tcW w:type="dxa" w:w="1337"/>
          </w:tcPr>
          <w:p>
            <w:pPr>
              <w:spacing w:line="240" w:lineRule="auto"/>
            </w:pPr>
            <w:r/>
            <w:r>
              <w:rPr>
                <w:rFonts w:ascii="Garamond" w:hAnsi="Garamond"/>
                <w:sz w:val="16"/>
              </w:rPr>
              <w:t>Clayton</w:t>
            </w:r>
          </w:p>
        </w:tc>
        <w:tc>
          <w:tcPr>
            <w:tcW w:type="dxa" w:w="1337"/>
          </w:tcPr>
          <w:p>
            <w:pPr>
              <w:spacing w:line="240" w:lineRule="auto"/>
            </w:pPr>
            <w:r/>
            <w:r>
              <w:rPr>
                <w:rFonts w:ascii="Garamond" w:hAnsi="Garamond"/>
                <w:sz w:val="16"/>
              </w:rPr>
              <w:t>Heritage Creek Ph. 5-6</w:t>
            </w:r>
          </w:p>
        </w:tc>
        <w:tc>
          <w:tcPr>
            <w:tcW w:type="dxa" w:w="1337"/>
          </w:tcPr>
          <w:p>
            <w:pPr>
              <w:spacing w:line="240" w:lineRule="auto"/>
            </w:pPr>
            <w:r/>
            <w:r>
              <w:rPr>
                <w:rFonts w:ascii="Garamond" w:hAnsi="Garamond"/>
                <w:sz w:val="16"/>
              </w:rPr>
              <w:t>Oct. 2024</w:t>
            </w:r>
          </w:p>
        </w:tc>
        <w:tc>
          <w:tcPr>
            <w:tcW w:type="dxa" w:w="1337"/>
          </w:tcPr>
          <w:p>
            <w:pPr>
              <w:spacing w:line="240" w:lineRule="auto"/>
            </w:pPr>
            <w:r/>
            <w:r>
              <w:rPr>
                <w:rFonts w:ascii="Garamond" w:hAnsi="Garamond"/>
                <w:sz w:val="16"/>
              </w:rPr>
              <w:t>Oct. 31, 2027</w:t>
            </w:r>
          </w:p>
        </w:tc>
        <w:tc>
          <w:tcPr>
            <w:tcW w:type="dxa" w:w="1337"/>
          </w:tcPr>
          <w:p>
            <w:pPr>
              <w:spacing w:line="240" w:lineRule="auto"/>
              <w:jc w:val="right"/>
            </w:pPr>
            <w:r/>
            <w:r>
              <w:rPr>
                <w:rFonts w:ascii="Garamond" w:hAnsi="Garamond"/>
                <w:sz w:val="16"/>
              </w:rPr>
              <w:t>2</w:t>
            </w:r>
          </w:p>
        </w:tc>
      </w:tr>
      <w:tr>
        <w:tc>
          <w:tcPr>
            <w:tcW w:type="dxa" w:w="1337"/>
          </w:tcPr>
          <w:p>
            <w:pPr>
              <w:spacing w:line="240" w:lineRule="auto"/>
            </w:pPr>
            <w:r/>
            <w:r>
              <w:rPr>
                <w:rFonts w:ascii="Garamond" w:hAnsi="Garamond"/>
                <w:sz w:val="16"/>
              </w:rPr>
              <w:t>TPG AG EHC SD (LEN) Multi State 1, LLC</w:t>
            </w:r>
          </w:p>
        </w:tc>
        <w:tc>
          <w:tcPr>
            <w:tcW w:type="dxa" w:w="1337"/>
          </w:tcPr>
          <w:p>
            <w:pPr>
              <w:spacing w:line="240" w:lineRule="auto"/>
            </w:pPr>
            <w:r/>
            <w:r>
              <w:rPr>
                <w:rFonts w:ascii="Garamond" w:hAnsi="Garamond"/>
                <w:sz w:val="16"/>
              </w:rPr>
              <w:t>TPG Angelo Gordon</w:t>
            </w:r>
          </w:p>
        </w:tc>
        <w:tc>
          <w:tcPr>
            <w:tcW w:type="dxa" w:w="1337"/>
          </w:tcPr>
          <w:p>
            <w:pPr>
              <w:spacing w:line="240" w:lineRule="auto"/>
            </w:pPr>
            <w:r/>
            <w:r>
              <w:rPr>
                <w:rFonts w:ascii="Garamond" w:hAnsi="Garamond"/>
                <w:sz w:val="16"/>
              </w:rPr>
              <w:t>Lennar</w:t>
            </w:r>
          </w:p>
        </w:tc>
        <w:tc>
          <w:tcPr>
            <w:tcW w:type="dxa" w:w="1337"/>
          </w:tcPr>
          <w:p>
            <w:pPr>
              <w:spacing w:line="240" w:lineRule="auto"/>
            </w:pPr>
            <w:r/>
            <w:r>
              <w:rPr>
                <w:rFonts w:ascii="Garamond" w:hAnsi="Garamond"/>
                <w:sz w:val="16"/>
              </w:rPr>
              <w:t>Pemberton</w:t>
            </w:r>
          </w:p>
        </w:tc>
        <w:tc>
          <w:tcPr>
            <w:tcW w:type="dxa" w:w="1337"/>
          </w:tcPr>
          <w:p>
            <w:pPr>
              <w:spacing w:line="240" w:lineRule="auto"/>
            </w:pPr>
            <w:r/>
            <w:r>
              <w:rPr>
                <w:rFonts w:ascii="Garamond" w:hAnsi="Garamond"/>
                <w:sz w:val="16"/>
              </w:rPr>
              <w:t>Apr. 2025</w:t>
            </w:r>
          </w:p>
        </w:tc>
        <w:tc>
          <w:tcPr>
            <w:tcW w:type="dxa" w:w="1337"/>
          </w:tcPr>
          <w:p>
            <w:pPr>
              <w:spacing w:line="240" w:lineRule="auto"/>
            </w:pPr>
            <w:r/>
            <w:r>
              <w:rPr>
                <w:rFonts w:ascii="Garamond" w:hAnsi="Garamond"/>
                <w:sz w:val="16"/>
              </w:rPr>
              <w:t>Feb. 14, 2027</w:t>
            </w:r>
          </w:p>
        </w:tc>
        <w:tc>
          <w:tcPr>
            <w:tcW w:type="dxa" w:w="1337"/>
          </w:tcPr>
          <w:p>
            <w:pPr>
              <w:spacing w:line="240" w:lineRule="auto"/>
              <w:jc w:val="right"/>
            </w:pPr>
            <w:r/>
            <w:r>
              <w:rPr>
                <w:rFonts w:ascii="Garamond" w:hAnsi="Garamond"/>
                <w:sz w:val="16"/>
              </w:rPr>
              <w:t>22</w:t>
            </w:r>
          </w:p>
        </w:tc>
      </w:tr>
      <w:tr>
        <w:tc>
          <w:tcPr>
            <w:tcW w:type="dxa" w:w="1337"/>
          </w:tcPr>
          <w:p>
            <w:pPr>
              <w:spacing w:line="240" w:lineRule="auto"/>
            </w:pPr>
            <w:r/>
            <w:r>
              <w:rPr>
                <w:rFonts w:ascii="Garamond" w:hAnsi="Garamond"/>
                <w:sz w:val="16"/>
              </w:rPr>
              <w:t>TPG AG EHC III (MTH) Multi State 2, LLC</w:t>
            </w:r>
          </w:p>
        </w:tc>
        <w:tc>
          <w:tcPr>
            <w:tcW w:type="dxa" w:w="1337"/>
          </w:tcPr>
          <w:p>
            <w:pPr>
              <w:spacing w:line="240" w:lineRule="auto"/>
            </w:pPr>
            <w:r/>
            <w:r>
              <w:rPr>
                <w:rFonts w:ascii="Garamond" w:hAnsi="Garamond"/>
                <w:sz w:val="16"/>
              </w:rPr>
              <w:t>TPG Angelo Gordon</w:t>
            </w:r>
          </w:p>
        </w:tc>
        <w:tc>
          <w:tcPr>
            <w:tcW w:type="dxa" w:w="1337"/>
          </w:tcPr>
          <w:p>
            <w:pPr>
              <w:spacing w:line="240" w:lineRule="auto"/>
            </w:pPr>
            <w:r/>
            <w:r>
              <w:rPr>
                <w:rFonts w:ascii="Garamond" w:hAnsi="Garamond"/>
                <w:sz w:val="16"/>
              </w:rPr>
              <w:t>Meritage</w:t>
            </w:r>
          </w:p>
        </w:tc>
        <w:tc>
          <w:tcPr>
            <w:tcW w:type="dxa" w:w="1337"/>
          </w:tcPr>
          <w:p>
            <w:pPr>
              <w:spacing w:line="240" w:lineRule="auto"/>
            </w:pPr>
            <w:r/>
            <w:r>
              <w:rPr>
                <w:rFonts w:ascii="Garamond" w:hAnsi="Garamond"/>
                <w:sz w:val="16"/>
              </w:rPr>
              <w:t>Zermatt</w:t>
            </w:r>
          </w:p>
        </w:tc>
        <w:tc>
          <w:tcPr>
            <w:tcW w:type="dxa" w:w="1337"/>
          </w:tcPr>
          <w:p>
            <w:pPr>
              <w:spacing w:line="240" w:lineRule="auto"/>
            </w:pPr>
            <w:r/>
            <w:r>
              <w:rPr>
                <w:rFonts w:ascii="Garamond" w:hAnsi="Garamond"/>
                <w:sz w:val="16"/>
              </w:rPr>
              <w:t>Apr. 2025</w:t>
            </w:r>
          </w:p>
        </w:tc>
        <w:tc>
          <w:tcPr>
            <w:tcW w:type="dxa" w:w="1337"/>
          </w:tcPr>
          <w:p>
            <w:pPr>
              <w:spacing w:line="240" w:lineRule="auto"/>
            </w:pPr>
            <w:r/>
            <w:r>
              <w:rPr>
                <w:rFonts w:ascii="Garamond" w:hAnsi="Garamond"/>
                <w:sz w:val="16"/>
              </w:rPr>
              <w:t>Aug. 25, 2028</w:t>
            </w:r>
          </w:p>
        </w:tc>
        <w:tc>
          <w:tcPr>
            <w:tcW w:type="dxa" w:w="1337"/>
          </w:tcPr>
          <w:p>
            <w:pPr>
              <w:spacing w:line="240" w:lineRule="auto"/>
              <w:jc w:val="right"/>
            </w:pPr>
            <w:r/>
            <w:r>
              <w:rPr>
                <w:rFonts w:ascii="Garamond" w:hAnsi="Garamond"/>
                <w:sz w:val="16"/>
              </w:rPr>
              <w:t>0</w:t>
            </w:r>
          </w:p>
        </w:tc>
      </w:tr>
      <w:tr>
        <w:tc>
          <w:tcPr>
            <w:tcW w:type="dxa" w:w="1337"/>
          </w:tcPr>
          <w:p>
            <w:pPr>
              <w:spacing w:line="240" w:lineRule="auto"/>
            </w:pPr>
            <w:r/>
            <w:r>
              <w:rPr>
                <w:rFonts w:ascii="Garamond" w:hAnsi="Garamond"/>
                <w:sz w:val="16"/>
              </w:rPr>
              <w:t>TPG AG EHC III (MTH) Multi State 1, LLC</w:t>
            </w:r>
          </w:p>
        </w:tc>
        <w:tc>
          <w:tcPr>
            <w:tcW w:type="dxa" w:w="1337"/>
          </w:tcPr>
          <w:p>
            <w:pPr>
              <w:spacing w:line="240" w:lineRule="auto"/>
            </w:pPr>
            <w:r/>
            <w:r>
              <w:rPr>
                <w:rFonts w:ascii="Garamond" w:hAnsi="Garamond"/>
                <w:sz w:val="16"/>
              </w:rPr>
              <w:t>TPG Angelo Gordon</w:t>
            </w:r>
          </w:p>
        </w:tc>
        <w:tc>
          <w:tcPr>
            <w:tcW w:type="dxa" w:w="1337"/>
          </w:tcPr>
          <w:p>
            <w:pPr>
              <w:spacing w:line="240" w:lineRule="auto"/>
            </w:pPr>
            <w:r/>
            <w:r>
              <w:rPr>
                <w:rFonts w:ascii="Garamond" w:hAnsi="Garamond"/>
                <w:sz w:val="16"/>
              </w:rPr>
              <w:t>Meritage</w:t>
            </w:r>
          </w:p>
        </w:tc>
        <w:tc>
          <w:tcPr>
            <w:tcW w:type="dxa" w:w="1337"/>
          </w:tcPr>
          <w:p>
            <w:pPr>
              <w:spacing w:line="240" w:lineRule="auto"/>
            </w:pPr>
            <w:r/>
            <w:r>
              <w:rPr>
                <w:rFonts w:ascii="Garamond" w:hAnsi="Garamond"/>
                <w:sz w:val="16"/>
              </w:rPr>
              <w:t>Antioch 15</w:t>
            </w:r>
          </w:p>
        </w:tc>
        <w:tc>
          <w:tcPr>
            <w:tcW w:type="dxa" w:w="1337"/>
          </w:tcPr>
          <w:p>
            <w:pPr>
              <w:spacing w:line="240" w:lineRule="auto"/>
            </w:pPr>
            <w:r/>
            <w:r>
              <w:rPr>
                <w:rFonts w:ascii="Garamond" w:hAnsi="Garamond"/>
                <w:sz w:val="16"/>
              </w:rPr>
              <w:t>Dec. 2025</w:t>
            </w:r>
          </w:p>
        </w:tc>
        <w:tc>
          <w:tcPr>
            <w:tcW w:type="dxa" w:w="1337"/>
          </w:tcPr>
          <w:p>
            <w:pPr>
              <w:spacing w:line="240" w:lineRule="auto"/>
            </w:pPr>
            <w:r/>
            <w:r>
              <w:rPr>
                <w:rFonts w:ascii="Garamond" w:hAnsi="Garamond"/>
                <w:sz w:val="16"/>
              </w:rPr>
              <w:t>Apr. 25, 2029</w:t>
            </w:r>
          </w:p>
        </w:tc>
        <w:tc>
          <w:tcPr>
            <w:tcW w:type="dxa" w:w="1337"/>
          </w:tcPr>
          <w:p>
            <w:pPr>
              <w:spacing w:line="240" w:lineRule="auto"/>
              <w:jc w:val="right"/>
            </w:pPr>
            <w:r/>
            <w:r>
              <w:rPr>
                <w:rFonts w:ascii="Garamond" w:hAnsi="Garamond"/>
                <w:sz w:val="16"/>
              </w:rPr>
              <w:t>2</w:t>
            </w:r>
          </w:p>
        </w:tc>
      </w:tr>
      <w:tr>
        <w:tc>
          <w:tcPr>
            <w:tcW w:type="dxa" w:w="1337"/>
          </w:tcPr>
          <w:p>
            <w:pPr>
              <w:spacing w:line="240" w:lineRule="auto"/>
            </w:pPr>
            <w:r/>
            <w:r>
              <w:rPr>
                <w:rFonts w:ascii="Garamond" w:hAnsi="Garamond"/>
                <w:sz w:val="16"/>
              </w:rPr>
              <w:t>Millrose Properties Tennessee, LLC</w:t>
            </w:r>
          </w:p>
        </w:tc>
        <w:tc>
          <w:tcPr>
            <w:tcW w:type="dxa" w:w="1337"/>
          </w:tcPr>
          <w:p>
            <w:pPr>
              <w:spacing w:line="240" w:lineRule="auto"/>
            </w:pPr>
            <w:r/>
            <w:r>
              <w:rPr>
                <w:rFonts w:ascii="Garamond" w:hAnsi="Garamond"/>
                <w:sz w:val="16"/>
              </w:rPr>
              <w:t>Millrose (Lennar spin-off / Kennedy Lewis)</w:t>
            </w:r>
          </w:p>
        </w:tc>
        <w:tc>
          <w:tcPr>
            <w:tcW w:type="dxa" w:w="1337"/>
          </w:tcPr>
          <w:p>
            <w:pPr>
              <w:spacing w:line="240" w:lineRule="auto"/>
            </w:pPr>
            <w:r/>
            <w:r>
              <w:rPr>
                <w:rFonts w:ascii="Garamond" w:hAnsi="Garamond"/>
                <w:sz w:val="16"/>
              </w:rPr>
              <w:t>Lennar</w:t>
            </w:r>
          </w:p>
        </w:tc>
        <w:tc>
          <w:tcPr>
            <w:tcW w:type="dxa" w:w="1337"/>
          </w:tcPr>
          <w:p>
            <w:pPr>
              <w:spacing w:line="240" w:lineRule="auto"/>
            </w:pPr>
            <w:r/>
            <w:r>
              <w:rPr>
                <w:rFonts w:ascii="Garamond" w:hAnsi="Garamond"/>
                <w:sz w:val="16"/>
              </w:rPr>
              <w:t>City Vista II</w:t>
            </w:r>
          </w:p>
        </w:tc>
        <w:tc>
          <w:tcPr>
            <w:tcW w:type="dxa" w:w="1337"/>
          </w:tcPr>
          <w:p>
            <w:pPr>
              <w:spacing w:line="240" w:lineRule="auto"/>
            </w:pPr>
            <w:r/>
            <w:r>
              <w:rPr>
                <w:rFonts w:ascii="Garamond" w:hAnsi="Garamond"/>
                <w:sz w:val="16"/>
              </w:rPr>
              <w:t>Apr. 2026</w:t>
            </w:r>
          </w:p>
        </w:tc>
        <w:tc>
          <w:tcPr>
            <w:tcW w:type="dxa" w:w="1337"/>
          </w:tcPr>
          <w:p>
            <w:pPr>
              <w:spacing w:line="240" w:lineRule="auto"/>
            </w:pPr>
            <w:r/>
            <w:r>
              <w:rPr>
                <w:rFonts w:ascii="Garamond" w:hAnsi="Garamond"/>
                <w:sz w:val="16"/>
              </w:rPr>
              <w:t>Aug. 31, 2030</w:t>
            </w:r>
          </w:p>
        </w:tc>
        <w:tc>
          <w:tcPr>
            <w:tcW w:type="dxa" w:w="1337"/>
          </w:tcPr>
          <w:p>
            <w:pPr>
              <w:spacing w:line="240" w:lineRule="auto"/>
              <w:jc w:val="right"/>
            </w:pPr>
            <w:r/>
            <w:r>
              <w:rPr>
                <w:rFonts w:ascii="Garamond" w:hAnsi="Garamond"/>
                <w:sz w:val="16"/>
              </w:rPr>
              <w:t>1</w:t>
            </w:r>
          </w:p>
        </w:tc>
      </w:tr>
    </w:tbl>
    <w:p>
      <w:pPr>
        <w:spacing w:after="0"/>
      </w:pPr>
    </w:p>
    <w:p>
      <w:pPr>
        <w:spacing w:line="240" w:lineRule="auto" w:before="0" w:after="120"/>
      </w:pPr>
      <w:r>
        <w:rPr>
          <w:rFonts w:ascii="Garamond" w:hAnsi="Garamond"/>
          <w:i/>
          <w:sz w:val="19"/>
        </w:rPr>
        <w:t>Notes: Parcels held from the current Cadastral owner layer, queried by owner name on October 19, 2026, https://maps.nashville.gov/arcgis/rest/services/Cadastral/Cadastral_Layers/MapServer/4. Option terms and consideration from the recorded Memoranda of Option Agreement and the underlying deeds, Davidson County Register of Deeds. The parcel count measures how far each takedown has run, not the acreage banked; a vehicle that has rotated its tract through to the builder registers at or near zero even after warehousing an entire subdivision, and a count rises when the vehicle plats a tract into lots. Two commercial options sit outside this residential set: Smith &amp; West to LPC TN (ground-lease option, 2020) and CV I to Javelin (Charter Village, 2022).</w:t>
      </w:r>
    </w:p>
    <w:p>
      <w:pPr>
        <w:spacing w:line="240" w:lineRule="auto" w:before="0" w:after="120"/>
      </w:pPr>
      <w:r>
        <w:rPr>
          <w:rFonts w:ascii="Garamond" w:hAnsi="Garamond"/>
          <w:b/>
          <w:sz w:val="19"/>
        </w:rPr>
        <w:t>Table A2:</w:t>
      </w:r>
      <w:r>
        <w:rPr>
          <w:rFonts w:ascii="Garamond" w:hAnsi="Garamond"/>
          <w:sz w:val="19"/>
        </w:rPr>
        <w:t xml:space="preserve"> The seventeen named land-bank and option vehicles, parcels held on June 24 and October 19, 2026.</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bottom w:val="single" w:sz="4" w:color="000000"/>
            </w:tcBorders>
          </w:tcPr>
          <w:p>
            <w:pPr>
              <w:spacing w:line="240" w:lineRule="auto"/>
            </w:pPr>
            <w:r>
              <w:rPr>
                <w:b/>
              </w:rPr>
            </w:r>
            <w:r>
              <w:rPr>
                <w:rFonts w:ascii="Garamond" w:hAnsi="Garamond"/>
                <w:b/>
                <w:sz w:val="18"/>
              </w:rPr>
              <w:t>Vehicle</w:t>
            </w:r>
          </w:p>
        </w:tc>
        <w:tc>
          <w:tcPr>
            <w:tcW w:type="dxa" w:w="2340"/>
            <w:tcBorders>
              <w:bottom w:val="single" w:sz="4" w:color="000000"/>
            </w:tcBorders>
          </w:tcPr>
          <w:p>
            <w:pPr>
              <w:spacing w:line="240" w:lineRule="auto"/>
            </w:pPr>
            <w:r>
              <w:rPr>
                <w:b/>
              </w:rPr>
            </w:r>
            <w:r>
              <w:rPr>
                <w:rFonts w:ascii="Garamond" w:hAnsi="Garamond"/>
                <w:b/>
                <w:sz w:val="18"/>
              </w:rPr>
              <w:t>Capital or sponsor</w:t>
            </w:r>
          </w:p>
        </w:tc>
        <w:tc>
          <w:tcPr>
            <w:tcW w:type="dxa" w:w="2340"/>
            <w:tcBorders>
              <w:bottom w:val="single" w:sz="4" w:color="000000"/>
            </w:tcBorders>
          </w:tcPr>
          <w:p>
            <w:pPr>
              <w:spacing w:line="240" w:lineRule="auto"/>
            </w:pPr>
            <w:r>
              <w:rPr>
                <w:b/>
              </w:rPr>
            </w:r>
            <w:r>
              <w:rPr>
                <w:rFonts w:ascii="Garamond" w:hAnsi="Garamond"/>
                <w:b/>
                <w:sz w:val="18"/>
              </w:rPr>
              <w:t>Parcels, June 24, 2026</w:t>
            </w:r>
          </w:p>
        </w:tc>
        <w:tc>
          <w:tcPr>
            <w:tcW w:type="dxa" w:w="2340"/>
            <w:tcBorders>
              <w:bottom w:val="single" w:sz="4" w:color="000000"/>
            </w:tcBorders>
          </w:tcPr>
          <w:p>
            <w:pPr>
              <w:spacing w:line="240" w:lineRule="auto"/>
            </w:pPr>
            <w:r>
              <w:rPr>
                <w:b/>
              </w:rPr>
            </w:r>
            <w:r>
              <w:rPr>
                <w:rFonts w:ascii="Garamond" w:hAnsi="Garamond"/>
                <w:b/>
                <w:sz w:val="18"/>
              </w:rPr>
              <w:t>Parcels, Oct. 19, 2026</w:t>
            </w:r>
          </w:p>
        </w:tc>
      </w:tr>
      <w:tr>
        <w:tc>
          <w:tcPr>
            <w:tcW w:type="dxa" w:w="2340"/>
          </w:tcPr>
          <w:p>
            <w:pPr>
              <w:spacing w:line="240" w:lineRule="auto"/>
            </w:pPr>
            <w:r/>
            <w:r>
              <w:rPr>
                <w:rFonts w:ascii="Garamond" w:hAnsi="Garamond"/>
                <w:sz w:val="18"/>
              </w:rPr>
              <w:t>AMH TN Development, LLC</w:t>
            </w:r>
          </w:p>
        </w:tc>
        <w:tc>
          <w:tcPr>
            <w:tcW w:type="dxa" w:w="2340"/>
          </w:tcPr>
          <w:p>
            <w:pPr>
              <w:spacing w:line="240" w:lineRule="auto"/>
            </w:pPr>
            <w:r/>
            <w:r>
              <w:rPr>
                <w:rFonts w:ascii="Garamond" w:hAnsi="Garamond"/>
                <w:sz w:val="18"/>
              </w:rPr>
              <w:t>American Homes 4 Rent (build-to-rent)</w:t>
            </w:r>
          </w:p>
        </w:tc>
        <w:tc>
          <w:tcPr>
            <w:tcW w:type="dxa" w:w="2340"/>
          </w:tcPr>
          <w:p>
            <w:pPr>
              <w:spacing w:line="240" w:lineRule="auto"/>
              <w:jc w:val="right"/>
            </w:pPr>
            <w:r/>
            <w:r>
              <w:rPr>
                <w:rFonts w:ascii="Garamond" w:hAnsi="Garamond"/>
                <w:sz w:val="18"/>
              </w:rPr>
              <w:t>312</w:t>
            </w:r>
          </w:p>
        </w:tc>
        <w:tc>
          <w:tcPr>
            <w:tcW w:type="dxa" w:w="2340"/>
          </w:tcPr>
          <w:p>
            <w:pPr>
              <w:spacing w:line="240" w:lineRule="auto"/>
              <w:jc w:val="right"/>
            </w:pPr>
            <w:r/>
            <w:r>
              <w:rPr>
                <w:rFonts w:ascii="Garamond" w:hAnsi="Garamond"/>
                <w:sz w:val="18"/>
              </w:rPr>
              <w:t>288</w:t>
            </w:r>
          </w:p>
        </w:tc>
      </w:tr>
      <w:tr>
        <w:tc>
          <w:tcPr>
            <w:tcW w:type="dxa" w:w="2340"/>
          </w:tcPr>
          <w:p>
            <w:pPr>
              <w:spacing w:line="240" w:lineRule="auto"/>
            </w:pPr>
            <w:r/>
            <w:r>
              <w:rPr>
                <w:rFonts w:ascii="Garamond" w:hAnsi="Garamond"/>
                <w:sz w:val="18"/>
              </w:rPr>
              <w:t>RSD West Trinity Lane, LLC</w:t>
            </w:r>
          </w:p>
        </w:tc>
        <w:tc>
          <w:tcPr>
            <w:tcW w:type="dxa" w:w="2340"/>
          </w:tcPr>
          <w:p>
            <w:pPr>
              <w:spacing w:line="240" w:lineRule="auto"/>
            </w:pPr>
            <w:r/>
            <w:r>
              <w:rPr>
                <w:rFonts w:ascii="Garamond" w:hAnsi="Garamond"/>
                <w:sz w:val="18"/>
              </w:rPr>
              <w:t>not identified</w:t>
            </w:r>
          </w:p>
        </w:tc>
        <w:tc>
          <w:tcPr>
            <w:tcW w:type="dxa" w:w="2340"/>
          </w:tcPr>
          <w:p>
            <w:pPr>
              <w:spacing w:line="240" w:lineRule="auto"/>
              <w:jc w:val="right"/>
            </w:pPr>
            <w:r/>
            <w:r>
              <w:rPr>
                <w:rFonts w:ascii="Garamond" w:hAnsi="Garamond"/>
                <w:sz w:val="18"/>
              </w:rPr>
              <w:t>228</w:t>
            </w:r>
          </w:p>
        </w:tc>
        <w:tc>
          <w:tcPr>
            <w:tcW w:type="dxa" w:w="2340"/>
          </w:tcPr>
          <w:p>
            <w:pPr>
              <w:spacing w:line="240" w:lineRule="auto"/>
              <w:jc w:val="right"/>
            </w:pPr>
            <w:r/>
            <w:r>
              <w:rPr>
                <w:rFonts w:ascii="Garamond" w:hAnsi="Garamond"/>
                <w:sz w:val="18"/>
              </w:rPr>
              <w:t>113</w:t>
            </w:r>
          </w:p>
        </w:tc>
      </w:tr>
      <w:tr>
        <w:tc>
          <w:tcPr>
            <w:tcW w:type="dxa" w:w="2340"/>
          </w:tcPr>
          <w:p>
            <w:pPr>
              <w:spacing w:line="240" w:lineRule="auto"/>
            </w:pPr>
            <w:r/>
            <w:r>
              <w:rPr>
                <w:rFonts w:ascii="Garamond" w:hAnsi="Garamond"/>
                <w:sz w:val="18"/>
              </w:rPr>
              <w:t>Ava Madison, LLC</w:t>
            </w:r>
          </w:p>
        </w:tc>
        <w:tc>
          <w:tcPr>
            <w:tcW w:type="dxa" w:w="2340"/>
          </w:tcPr>
          <w:p>
            <w:pPr>
              <w:spacing w:line="240" w:lineRule="auto"/>
            </w:pPr>
            <w:r/>
            <w:r>
              <w:rPr>
                <w:rFonts w:ascii="Garamond" w:hAnsi="Garamond"/>
                <w:sz w:val="18"/>
              </w:rPr>
              <w:t>Atlanta land holder</w:t>
            </w:r>
          </w:p>
        </w:tc>
        <w:tc>
          <w:tcPr>
            <w:tcW w:type="dxa" w:w="2340"/>
          </w:tcPr>
          <w:p>
            <w:pPr>
              <w:spacing w:line="240" w:lineRule="auto"/>
              <w:jc w:val="right"/>
            </w:pPr>
            <w:r/>
            <w:r>
              <w:rPr>
                <w:rFonts w:ascii="Garamond" w:hAnsi="Garamond"/>
                <w:sz w:val="18"/>
              </w:rPr>
              <w:t>203</w:t>
            </w:r>
          </w:p>
        </w:tc>
        <w:tc>
          <w:tcPr>
            <w:tcW w:type="dxa" w:w="2340"/>
          </w:tcPr>
          <w:p>
            <w:pPr>
              <w:spacing w:line="240" w:lineRule="auto"/>
              <w:jc w:val="right"/>
            </w:pPr>
            <w:r/>
            <w:r>
              <w:rPr>
                <w:rFonts w:ascii="Garamond" w:hAnsi="Garamond"/>
                <w:sz w:val="18"/>
              </w:rPr>
              <w:t>199</w:t>
            </w:r>
          </w:p>
        </w:tc>
      </w:tr>
      <w:tr>
        <w:tc>
          <w:tcPr>
            <w:tcW w:type="dxa" w:w="2340"/>
          </w:tcPr>
          <w:p>
            <w:pPr>
              <w:spacing w:line="240" w:lineRule="auto"/>
            </w:pPr>
            <w:r/>
            <w:r>
              <w:rPr>
                <w:rFonts w:ascii="Garamond" w:hAnsi="Garamond"/>
                <w:sz w:val="18"/>
              </w:rPr>
              <w:t>TPG AG EHC SD (LEN) Multi State 1, LLC</w:t>
            </w:r>
          </w:p>
        </w:tc>
        <w:tc>
          <w:tcPr>
            <w:tcW w:type="dxa" w:w="2340"/>
          </w:tcPr>
          <w:p>
            <w:pPr>
              <w:spacing w:line="240" w:lineRule="auto"/>
            </w:pPr>
            <w:r/>
            <w:r>
              <w:rPr>
                <w:rFonts w:ascii="Garamond" w:hAnsi="Garamond"/>
                <w:sz w:val="18"/>
              </w:rPr>
              <w:t>TPG Angelo Gordon</w:t>
            </w:r>
          </w:p>
        </w:tc>
        <w:tc>
          <w:tcPr>
            <w:tcW w:type="dxa" w:w="2340"/>
          </w:tcPr>
          <w:p>
            <w:pPr>
              <w:spacing w:line="240" w:lineRule="auto"/>
              <w:jc w:val="right"/>
            </w:pPr>
            <w:r/>
            <w:r>
              <w:rPr>
                <w:rFonts w:ascii="Garamond" w:hAnsi="Garamond"/>
                <w:sz w:val="18"/>
              </w:rPr>
              <w:t>177</w:t>
            </w:r>
          </w:p>
        </w:tc>
        <w:tc>
          <w:tcPr>
            <w:tcW w:type="dxa" w:w="2340"/>
          </w:tcPr>
          <w:p>
            <w:pPr>
              <w:spacing w:line="240" w:lineRule="auto"/>
              <w:jc w:val="right"/>
            </w:pPr>
            <w:r/>
            <w:r>
              <w:rPr>
                <w:rFonts w:ascii="Garamond" w:hAnsi="Garamond"/>
                <w:sz w:val="18"/>
              </w:rPr>
              <w:t>22</w:t>
            </w:r>
          </w:p>
        </w:tc>
      </w:tr>
      <w:tr>
        <w:tc>
          <w:tcPr>
            <w:tcW w:type="dxa" w:w="2340"/>
          </w:tcPr>
          <w:p>
            <w:pPr>
              <w:spacing w:line="240" w:lineRule="auto"/>
            </w:pPr>
            <w:r/>
            <w:r>
              <w:rPr>
                <w:rFonts w:ascii="Garamond" w:hAnsi="Garamond"/>
                <w:sz w:val="18"/>
              </w:rPr>
              <w:t>KLLB AIV, LLC</w:t>
            </w:r>
          </w:p>
        </w:tc>
        <w:tc>
          <w:tcPr>
            <w:tcW w:type="dxa" w:w="2340"/>
          </w:tcPr>
          <w:p>
            <w:pPr>
              <w:spacing w:line="240" w:lineRule="auto"/>
            </w:pPr>
            <w:r/>
            <w:r>
              <w:rPr>
                <w:rFonts w:ascii="Garamond" w:hAnsi="Garamond"/>
                <w:sz w:val="18"/>
              </w:rPr>
              <w:t>Kennedy Lewis</w:t>
            </w:r>
          </w:p>
        </w:tc>
        <w:tc>
          <w:tcPr>
            <w:tcW w:type="dxa" w:w="2340"/>
          </w:tcPr>
          <w:p>
            <w:pPr>
              <w:spacing w:line="240" w:lineRule="auto"/>
              <w:jc w:val="right"/>
            </w:pPr>
            <w:r/>
            <w:r>
              <w:rPr>
                <w:rFonts w:ascii="Garamond" w:hAnsi="Garamond"/>
                <w:sz w:val="18"/>
              </w:rPr>
              <w:t>142</w:t>
            </w:r>
          </w:p>
        </w:tc>
        <w:tc>
          <w:tcPr>
            <w:tcW w:type="dxa" w:w="2340"/>
          </w:tcPr>
          <w:p>
            <w:pPr>
              <w:spacing w:line="240" w:lineRule="auto"/>
              <w:jc w:val="right"/>
            </w:pPr>
            <w:r/>
            <w:r>
              <w:rPr>
                <w:rFonts w:ascii="Garamond" w:hAnsi="Garamond"/>
                <w:sz w:val="18"/>
              </w:rPr>
              <w:t>122</w:t>
            </w:r>
          </w:p>
        </w:tc>
      </w:tr>
      <w:tr>
        <w:tc>
          <w:tcPr>
            <w:tcW w:type="dxa" w:w="2340"/>
          </w:tcPr>
          <w:p>
            <w:pPr>
              <w:spacing w:line="240" w:lineRule="auto"/>
            </w:pPr>
            <w:r/>
            <w:r>
              <w:rPr>
                <w:rFonts w:ascii="Garamond" w:hAnsi="Garamond"/>
                <w:sz w:val="18"/>
              </w:rPr>
              <w:t>ACPF Spring Path Antioch, LLC</w:t>
            </w:r>
          </w:p>
        </w:tc>
        <w:tc>
          <w:tcPr>
            <w:tcW w:type="dxa" w:w="2340"/>
          </w:tcPr>
          <w:p>
            <w:pPr>
              <w:spacing w:line="240" w:lineRule="auto"/>
            </w:pPr>
            <w:r/>
            <w:r>
              <w:rPr>
                <w:rFonts w:ascii="Garamond" w:hAnsi="Garamond"/>
                <w:sz w:val="18"/>
              </w:rPr>
              <w:t>ACPF fund</w:t>
            </w:r>
          </w:p>
        </w:tc>
        <w:tc>
          <w:tcPr>
            <w:tcW w:type="dxa" w:w="2340"/>
          </w:tcPr>
          <w:p>
            <w:pPr>
              <w:spacing w:line="240" w:lineRule="auto"/>
              <w:jc w:val="right"/>
            </w:pPr>
            <w:r/>
            <w:r>
              <w:rPr>
                <w:rFonts w:ascii="Garamond" w:hAnsi="Garamond"/>
                <w:sz w:val="18"/>
              </w:rPr>
              <w:t>105</w:t>
            </w:r>
          </w:p>
        </w:tc>
        <w:tc>
          <w:tcPr>
            <w:tcW w:type="dxa" w:w="2340"/>
          </w:tcPr>
          <w:p>
            <w:pPr>
              <w:spacing w:line="240" w:lineRule="auto"/>
              <w:jc w:val="right"/>
            </w:pPr>
            <w:r/>
            <w:r>
              <w:rPr>
                <w:rFonts w:ascii="Garamond" w:hAnsi="Garamond"/>
                <w:sz w:val="18"/>
              </w:rPr>
              <w:t>105</w:t>
            </w:r>
          </w:p>
        </w:tc>
      </w:tr>
      <w:tr>
        <w:tc>
          <w:tcPr>
            <w:tcW w:type="dxa" w:w="2340"/>
          </w:tcPr>
          <w:p>
            <w:pPr>
              <w:spacing w:line="240" w:lineRule="auto"/>
            </w:pPr>
            <w:r/>
            <w:r>
              <w:rPr>
                <w:rFonts w:ascii="Garamond" w:hAnsi="Garamond"/>
                <w:sz w:val="18"/>
              </w:rPr>
              <w:t>Millrose Properties Tennessee, LLC</w:t>
            </w:r>
          </w:p>
        </w:tc>
        <w:tc>
          <w:tcPr>
            <w:tcW w:type="dxa" w:w="2340"/>
          </w:tcPr>
          <w:p>
            <w:pPr>
              <w:spacing w:line="240" w:lineRule="auto"/>
            </w:pPr>
            <w:r/>
            <w:r>
              <w:rPr>
                <w:rFonts w:ascii="Garamond" w:hAnsi="Garamond"/>
                <w:sz w:val="18"/>
              </w:rPr>
              <w:t>Millrose / Kennedy Lewis</w:t>
            </w:r>
          </w:p>
        </w:tc>
        <w:tc>
          <w:tcPr>
            <w:tcW w:type="dxa" w:w="2340"/>
          </w:tcPr>
          <w:p>
            <w:pPr>
              <w:spacing w:line="240" w:lineRule="auto"/>
              <w:jc w:val="right"/>
            </w:pPr>
            <w:r/>
            <w:r>
              <w:rPr>
                <w:rFonts w:ascii="Garamond" w:hAnsi="Garamond"/>
                <w:sz w:val="18"/>
              </w:rPr>
              <w:t>81</w:t>
            </w:r>
          </w:p>
        </w:tc>
        <w:tc>
          <w:tcPr>
            <w:tcW w:type="dxa" w:w="2340"/>
          </w:tcPr>
          <w:p>
            <w:pPr>
              <w:spacing w:line="240" w:lineRule="auto"/>
              <w:jc w:val="right"/>
            </w:pPr>
            <w:r/>
            <w:r>
              <w:rPr>
                <w:rFonts w:ascii="Garamond" w:hAnsi="Garamond"/>
                <w:sz w:val="18"/>
              </w:rPr>
              <w:t>1</w:t>
            </w:r>
          </w:p>
        </w:tc>
      </w:tr>
      <w:tr>
        <w:tc>
          <w:tcPr>
            <w:tcW w:type="dxa" w:w="2340"/>
          </w:tcPr>
          <w:p>
            <w:pPr>
              <w:spacing w:line="240" w:lineRule="auto"/>
            </w:pPr>
            <w:r/>
            <w:r>
              <w:rPr>
                <w:rFonts w:ascii="Garamond" w:hAnsi="Garamond"/>
                <w:sz w:val="18"/>
              </w:rPr>
              <w:t>Brookfield Holdings (Cane Ridge), LLC</w:t>
            </w:r>
          </w:p>
        </w:tc>
        <w:tc>
          <w:tcPr>
            <w:tcW w:type="dxa" w:w="2340"/>
          </w:tcPr>
          <w:p>
            <w:pPr>
              <w:spacing w:line="240" w:lineRule="auto"/>
            </w:pPr>
            <w:r/>
            <w:r>
              <w:rPr>
                <w:rFonts w:ascii="Garamond" w:hAnsi="Garamond"/>
                <w:sz w:val="18"/>
              </w:rPr>
              <w:t>Brookfield Residential</w:t>
            </w:r>
          </w:p>
        </w:tc>
        <w:tc>
          <w:tcPr>
            <w:tcW w:type="dxa" w:w="2340"/>
          </w:tcPr>
          <w:p>
            <w:pPr>
              <w:spacing w:line="240" w:lineRule="auto"/>
              <w:jc w:val="right"/>
            </w:pPr>
            <w:r/>
            <w:r>
              <w:rPr>
                <w:rFonts w:ascii="Garamond" w:hAnsi="Garamond"/>
                <w:sz w:val="18"/>
              </w:rPr>
              <w:t>45</w:t>
            </w:r>
          </w:p>
        </w:tc>
        <w:tc>
          <w:tcPr>
            <w:tcW w:type="dxa" w:w="2340"/>
          </w:tcPr>
          <w:p>
            <w:pPr>
              <w:spacing w:line="240" w:lineRule="auto"/>
              <w:jc w:val="right"/>
            </w:pPr>
            <w:r/>
            <w:r>
              <w:rPr>
                <w:rFonts w:ascii="Garamond" w:hAnsi="Garamond"/>
                <w:sz w:val="18"/>
              </w:rPr>
              <w:t>58</w:t>
            </w:r>
          </w:p>
        </w:tc>
      </w:tr>
      <w:tr>
        <w:tc>
          <w:tcPr>
            <w:tcW w:type="dxa" w:w="2340"/>
          </w:tcPr>
          <w:p>
            <w:pPr>
              <w:spacing w:line="240" w:lineRule="auto"/>
            </w:pPr>
            <w:r/>
            <w:r>
              <w:rPr>
                <w:rFonts w:ascii="Garamond" w:hAnsi="Garamond"/>
                <w:sz w:val="18"/>
              </w:rPr>
              <w:t>Domain Timberlake Multistate 2, LLC</w:t>
            </w:r>
          </w:p>
        </w:tc>
        <w:tc>
          <w:tcPr>
            <w:tcW w:type="dxa" w:w="2340"/>
          </w:tcPr>
          <w:p>
            <w:pPr>
              <w:spacing w:line="240" w:lineRule="auto"/>
            </w:pPr>
            <w:r/>
            <w:r>
              <w:rPr>
                <w:rFonts w:ascii="Garamond" w:hAnsi="Garamond"/>
                <w:sz w:val="18"/>
              </w:rPr>
              <w:t>Domain</w:t>
            </w:r>
          </w:p>
        </w:tc>
        <w:tc>
          <w:tcPr>
            <w:tcW w:type="dxa" w:w="2340"/>
          </w:tcPr>
          <w:p>
            <w:pPr>
              <w:spacing w:line="240" w:lineRule="auto"/>
              <w:jc w:val="right"/>
            </w:pPr>
            <w:r/>
            <w:r>
              <w:rPr>
                <w:rFonts w:ascii="Garamond" w:hAnsi="Garamond"/>
                <w:sz w:val="18"/>
              </w:rPr>
              <w:t>34</w:t>
            </w:r>
          </w:p>
        </w:tc>
        <w:tc>
          <w:tcPr>
            <w:tcW w:type="dxa" w:w="2340"/>
          </w:tcPr>
          <w:p>
            <w:pPr>
              <w:spacing w:line="240" w:lineRule="auto"/>
              <w:jc w:val="right"/>
            </w:pPr>
            <w:r/>
            <w:r>
              <w:rPr>
                <w:rFonts w:ascii="Garamond" w:hAnsi="Garamond"/>
                <w:sz w:val="18"/>
              </w:rPr>
              <w:t>2</w:t>
            </w:r>
          </w:p>
        </w:tc>
      </w:tr>
      <w:tr>
        <w:tc>
          <w:tcPr>
            <w:tcW w:type="dxa" w:w="2340"/>
          </w:tcPr>
          <w:p>
            <w:pPr>
              <w:spacing w:line="240" w:lineRule="auto"/>
            </w:pPr>
            <w:r/>
            <w:r>
              <w:rPr>
                <w:rFonts w:ascii="Garamond" w:hAnsi="Garamond"/>
                <w:sz w:val="18"/>
              </w:rPr>
              <w:t>TPG AG EHC III (MTH) Multi State 1 and 2, LLC</w:t>
            </w:r>
          </w:p>
        </w:tc>
        <w:tc>
          <w:tcPr>
            <w:tcW w:type="dxa" w:w="2340"/>
          </w:tcPr>
          <w:p>
            <w:pPr>
              <w:spacing w:line="240" w:lineRule="auto"/>
            </w:pPr>
            <w:r/>
            <w:r>
              <w:rPr>
                <w:rFonts w:ascii="Garamond" w:hAnsi="Garamond"/>
                <w:sz w:val="18"/>
              </w:rPr>
              <w:t>TPG Angelo Gordon</w:t>
            </w:r>
          </w:p>
        </w:tc>
        <w:tc>
          <w:tcPr>
            <w:tcW w:type="dxa" w:w="2340"/>
          </w:tcPr>
          <w:p>
            <w:pPr>
              <w:spacing w:line="240" w:lineRule="auto"/>
              <w:jc w:val="right"/>
            </w:pPr>
            <w:r/>
            <w:r>
              <w:rPr>
                <w:rFonts w:ascii="Garamond" w:hAnsi="Garamond"/>
                <w:sz w:val="18"/>
              </w:rPr>
              <w:t>35</w:t>
            </w:r>
          </w:p>
        </w:tc>
        <w:tc>
          <w:tcPr>
            <w:tcW w:type="dxa" w:w="2340"/>
          </w:tcPr>
          <w:p>
            <w:pPr>
              <w:spacing w:line="240" w:lineRule="auto"/>
              <w:jc w:val="right"/>
            </w:pPr>
            <w:r/>
            <w:r>
              <w:rPr>
                <w:rFonts w:ascii="Garamond" w:hAnsi="Garamond"/>
                <w:sz w:val="18"/>
              </w:rPr>
              <w:t>2</w:t>
            </w:r>
          </w:p>
        </w:tc>
      </w:tr>
      <w:tr>
        <w:tc>
          <w:tcPr>
            <w:tcW w:type="dxa" w:w="2340"/>
          </w:tcPr>
          <w:p>
            <w:pPr>
              <w:spacing w:line="240" w:lineRule="auto"/>
            </w:pPr>
            <w:r/>
            <w:r>
              <w:rPr>
                <w:rFonts w:ascii="Garamond" w:hAnsi="Garamond"/>
                <w:sz w:val="18"/>
              </w:rPr>
              <w:t>AT Dupont PROPCO, LLC</w:t>
            </w:r>
          </w:p>
        </w:tc>
        <w:tc>
          <w:tcPr>
            <w:tcW w:type="dxa" w:w="2340"/>
          </w:tcPr>
          <w:p>
            <w:pPr>
              <w:spacing w:line="240" w:lineRule="auto"/>
            </w:pPr>
            <w:r/>
            <w:r>
              <w:rPr>
                <w:rFonts w:ascii="Garamond" w:hAnsi="Garamond"/>
                <w:sz w:val="18"/>
              </w:rPr>
              <w:t>Pretium-affiliated</w:t>
            </w:r>
          </w:p>
        </w:tc>
        <w:tc>
          <w:tcPr>
            <w:tcW w:type="dxa" w:w="2340"/>
          </w:tcPr>
          <w:p>
            <w:pPr>
              <w:spacing w:line="240" w:lineRule="auto"/>
              <w:jc w:val="right"/>
            </w:pPr>
            <w:r/>
            <w:r>
              <w:rPr>
                <w:rFonts w:ascii="Garamond" w:hAnsi="Garamond"/>
                <w:sz w:val="18"/>
              </w:rPr>
              <w:t>22</w:t>
            </w:r>
          </w:p>
        </w:tc>
        <w:tc>
          <w:tcPr>
            <w:tcW w:type="dxa" w:w="2340"/>
          </w:tcPr>
          <w:p>
            <w:pPr>
              <w:spacing w:line="240" w:lineRule="auto"/>
              <w:jc w:val="right"/>
            </w:pPr>
            <w:r/>
            <w:r>
              <w:rPr>
                <w:rFonts w:ascii="Garamond" w:hAnsi="Garamond"/>
                <w:sz w:val="18"/>
              </w:rPr>
              <w:t>12</w:t>
            </w:r>
          </w:p>
        </w:tc>
      </w:tr>
      <w:tr>
        <w:tc>
          <w:tcPr>
            <w:tcW w:type="dxa" w:w="2340"/>
          </w:tcPr>
          <w:p>
            <w:pPr>
              <w:spacing w:line="240" w:lineRule="auto"/>
            </w:pPr>
            <w:r/>
            <w:r>
              <w:rPr>
                <w:rFonts w:ascii="Garamond" w:hAnsi="Garamond"/>
                <w:sz w:val="18"/>
              </w:rPr>
              <w:t>Rethink Community Nashville JV, LLC</w:t>
            </w:r>
          </w:p>
        </w:tc>
        <w:tc>
          <w:tcPr>
            <w:tcW w:type="dxa" w:w="2340"/>
          </w:tcPr>
          <w:p>
            <w:pPr>
              <w:spacing w:line="240" w:lineRule="auto"/>
            </w:pPr>
            <w:r/>
            <w:r>
              <w:rPr>
                <w:rFonts w:ascii="Garamond" w:hAnsi="Garamond"/>
                <w:sz w:val="18"/>
              </w:rPr>
              <w:t>Lennar predecessor seller</w:t>
            </w:r>
          </w:p>
        </w:tc>
        <w:tc>
          <w:tcPr>
            <w:tcW w:type="dxa" w:w="2340"/>
          </w:tcPr>
          <w:p>
            <w:pPr>
              <w:spacing w:line="240" w:lineRule="auto"/>
              <w:jc w:val="right"/>
            </w:pPr>
            <w:r/>
            <w:r>
              <w:rPr>
                <w:rFonts w:ascii="Garamond" w:hAnsi="Garamond"/>
                <w:sz w:val="18"/>
              </w:rPr>
              <w:t>18</w:t>
            </w:r>
          </w:p>
        </w:tc>
        <w:tc>
          <w:tcPr>
            <w:tcW w:type="dxa" w:w="2340"/>
          </w:tcPr>
          <w:p>
            <w:pPr>
              <w:spacing w:line="240" w:lineRule="auto"/>
              <w:jc w:val="right"/>
            </w:pPr>
            <w:r/>
            <w:r>
              <w:rPr>
                <w:rFonts w:ascii="Garamond" w:hAnsi="Garamond"/>
                <w:sz w:val="18"/>
              </w:rPr>
              <w:t>2</w:t>
            </w:r>
          </w:p>
        </w:tc>
      </w:tr>
      <w:tr>
        <w:tc>
          <w:tcPr>
            <w:tcW w:type="dxa" w:w="2340"/>
          </w:tcPr>
          <w:p>
            <w:pPr>
              <w:spacing w:line="240" w:lineRule="auto"/>
            </w:pPr>
            <w:r/>
            <w:r>
              <w:rPr>
                <w:rFonts w:ascii="Garamond" w:hAnsi="Garamond"/>
                <w:sz w:val="18"/>
              </w:rPr>
              <w:t>Walton Tennessee, LLC</w:t>
            </w:r>
          </w:p>
        </w:tc>
        <w:tc>
          <w:tcPr>
            <w:tcW w:type="dxa" w:w="2340"/>
          </w:tcPr>
          <w:p>
            <w:pPr>
              <w:spacing w:line="240" w:lineRule="auto"/>
            </w:pPr>
            <w:r/>
            <w:r>
              <w:rPr>
                <w:rFonts w:ascii="Garamond" w:hAnsi="Garamond"/>
                <w:sz w:val="18"/>
              </w:rPr>
              <w:t>Walton Global</w:t>
            </w:r>
          </w:p>
        </w:tc>
        <w:tc>
          <w:tcPr>
            <w:tcW w:type="dxa" w:w="2340"/>
          </w:tcPr>
          <w:p>
            <w:pPr>
              <w:spacing w:line="240" w:lineRule="auto"/>
              <w:jc w:val="right"/>
            </w:pPr>
            <w:r/>
            <w:r>
              <w:rPr>
                <w:rFonts w:ascii="Garamond" w:hAnsi="Garamond"/>
                <w:sz w:val="18"/>
              </w:rPr>
              <w:t>17</w:t>
            </w:r>
          </w:p>
        </w:tc>
        <w:tc>
          <w:tcPr>
            <w:tcW w:type="dxa" w:w="2340"/>
          </w:tcPr>
          <w:p>
            <w:pPr>
              <w:spacing w:line="240" w:lineRule="auto"/>
              <w:jc w:val="right"/>
            </w:pPr>
            <w:r/>
            <w:r>
              <w:rPr>
                <w:rFonts w:ascii="Garamond" w:hAnsi="Garamond"/>
                <w:sz w:val="18"/>
              </w:rPr>
              <w:t>9</w:t>
            </w:r>
          </w:p>
        </w:tc>
      </w:tr>
      <w:tr>
        <w:tc>
          <w:tcPr>
            <w:tcW w:type="dxa" w:w="2340"/>
          </w:tcPr>
          <w:p>
            <w:pPr>
              <w:spacing w:line="240" w:lineRule="auto"/>
            </w:pPr>
            <w:r/>
            <w:r>
              <w:rPr>
                <w:rFonts w:ascii="Garamond" w:hAnsi="Garamond"/>
                <w:sz w:val="18"/>
              </w:rPr>
              <w:t>Thornton Grove Green, LLC</w:t>
            </w:r>
          </w:p>
        </w:tc>
        <w:tc>
          <w:tcPr>
            <w:tcW w:type="dxa" w:w="2340"/>
          </w:tcPr>
          <w:p>
            <w:pPr>
              <w:spacing w:line="240" w:lineRule="auto"/>
            </w:pPr>
            <w:r/>
            <w:r>
              <w:rPr>
                <w:rFonts w:ascii="Garamond" w:hAnsi="Garamond"/>
                <w:sz w:val="18"/>
              </w:rPr>
              <w:t>wound down</w:t>
            </w:r>
          </w:p>
        </w:tc>
        <w:tc>
          <w:tcPr>
            <w:tcW w:type="dxa" w:w="2340"/>
          </w:tcPr>
          <w:p>
            <w:pPr>
              <w:spacing w:line="240" w:lineRule="auto"/>
              <w:jc w:val="right"/>
            </w:pPr>
            <w:r/>
            <w:r>
              <w:rPr>
                <w:rFonts w:ascii="Garamond" w:hAnsi="Garamond"/>
                <w:sz w:val="18"/>
              </w:rPr>
              <w:t>13</w:t>
            </w:r>
          </w:p>
        </w:tc>
        <w:tc>
          <w:tcPr>
            <w:tcW w:type="dxa" w:w="2340"/>
          </w:tcPr>
          <w:p>
            <w:pPr>
              <w:spacing w:line="240" w:lineRule="auto"/>
              <w:jc w:val="right"/>
            </w:pPr>
            <w:r/>
            <w:r>
              <w:rPr>
                <w:rFonts w:ascii="Garamond" w:hAnsi="Garamond"/>
                <w:sz w:val="18"/>
              </w:rPr>
              <w:t>3</w:t>
            </w:r>
          </w:p>
        </w:tc>
      </w:tr>
      <w:tr>
        <w:tc>
          <w:tcPr>
            <w:tcW w:type="dxa" w:w="2340"/>
          </w:tcPr>
          <w:p>
            <w:pPr>
              <w:spacing w:line="240" w:lineRule="auto"/>
            </w:pPr>
            <w:r/>
            <w:r>
              <w:rPr>
                <w:rFonts w:ascii="Garamond" w:hAnsi="Garamond"/>
                <w:sz w:val="18"/>
              </w:rPr>
              <w:t>Nashville OZ PROPCO I to IV, LLC</w:t>
            </w:r>
          </w:p>
        </w:tc>
        <w:tc>
          <w:tcPr>
            <w:tcW w:type="dxa" w:w="2340"/>
          </w:tcPr>
          <w:p>
            <w:pPr>
              <w:spacing w:line="240" w:lineRule="auto"/>
            </w:pPr>
            <w:r/>
            <w:r>
              <w:rPr>
                <w:rFonts w:ascii="Garamond" w:hAnsi="Garamond"/>
                <w:sz w:val="18"/>
              </w:rPr>
              <w:t>opportunity-zone vehicles</w:t>
            </w:r>
          </w:p>
        </w:tc>
        <w:tc>
          <w:tcPr>
            <w:tcW w:type="dxa" w:w="2340"/>
          </w:tcPr>
          <w:p>
            <w:pPr>
              <w:spacing w:line="240" w:lineRule="auto"/>
              <w:jc w:val="right"/>
            </w:pPr>
            <w:r/>
            <w:r>
              <w:rPr>
                <w:rFonts w:ascii="Garamond" w:hAnsi="Garamond"/>
                <w:sz w:val="18"/>
              </w:rPr>
              <w:t>12</w:t>
            </w:r>
          </w:p>
        </w:tc>
        <w:tc>
          <w:tcPr>
            <w:tcW w:type="dxa" w:w="2340"/>
          </w:tcPr>
          <w:p>
            <w:pPr>
              <w:spacing w:line="240" w:lineRule="auto"/>
              <w:jc w:val="right"/>
            </w:pPr>
            <w:r/>
            <w:r>
              <w:rPr>
                <w:rFonts w:ascii="Garamond" w:hAnsi="Garamond"/>
                <w:sz w:val="18"/>
              </w:rPr>
              <w:t>8</w:t>
            </w:r>
          </w:p>
        </w:tc>
      </w:tr>
      <w:tr>
        <w:tc>
          <w:tcPr>
            <w:tcW w:type="dxa" w:w="2340"/>
          </w:tcPr>
          <w:p>
            <w:pPr>
              <w:spacing w:line="240" w:lineRule="auto"/>
            </w:pPr>
            <w:r/>
            <w:r>
              <w:rPr>
                <w:rFonts w:ascii="Garamond" w:hAnsi="Garamond"/>
                <w:sz w:val="18"/>
              </w:rPr>
              <w:t>1207B BCP, LLC</w:t>
            </w:r>
          </w:p>
        </w:tc>
        <w:tc>
          <w:tcPr>
            <w:tcW w:type="dxa" w:w="2340"/>
          </w:tcPr>
          <w:p>
            <w:pPr>
              <w:spacing w:line="240" w:lineRule="auto"/>
            </w:pPr>
            <w:r/>
            <w:r>
              <w:rPr>
                <w:rFonts w:ascii="Garamond" w:hAnsi="Garamond"/>
                <w:sz w:val="18"/>
              </w:rPr>
              <w:t>BD Capital (tri-party)</w:t>
            </w:r>
          </w:p>
        </w:tc>
        <w:tc>
          <w:tcPr>
            <w:tcW w:type="dxa" w:w="2340"/>
          </w:tcPr>
          <w:p>
            <w:pPr>
              <w:spacing w:line="240" w:lineRule="auto"/>
            </w:pPr>
            <w:r/>
            <w:r>
              <w:rPr>
                <w:rFonts w:ascii="Garamond" w:hAnsi="Garamond"/>
                <w:sz w:val="18"/>
              </w:rPr>
              <w:t>single project, not counted</w:t>
            </w:r>
          </w:p>
        </w:tc>
        <w:tc>
          <w:tcPr>
            <w:tcW w:type="dxa" w:w="2340"/>
          </w:tcPr>
          <w:p>
            <w:pPr>
              <w:spacing w:line="240" w:lineRule="auto"/>
              <w:jc w:val="right"/>
            </w:pPr>
            <w:r/>
            <w:r>
              <w:rPr>
                <w:rFonts w:ascii="Garamond" w:hAnsi="Garamond"/>
                <w:sz w:val="18"/>
              </w:rPr>
              <w:t>47</w:t>
            </w:r>
          </w:p>
        </w:tc>
      </w:tr>
      <w:tr>
        <w:tc>
          <w:tcPr>
            <w:tcW w:type="dxa" w:w="2340"/>
          </w:tcPr>
          <w:p>
            <w:pPr>
              <w:spacing w:line="240" w:lineRule="auto"/>
            </w:pPr>
            <w:r/>
            <w:r>
              <w:rPr>
                <w:rFonts w:ascii="Garamond" w:hAnsi="Garamond"/>
                <w:b/>
                <w:sz w:val="18"/>
              </w:rPr>
              <w:t>Total</w:t>
            </w:r>
          </w:p>
        </w:tc>
        <w:tc>
          <w:tcPr>
            <w:tcW w:type="dxa" w:w="2340"/>
          </w:tcPr>
          <w:p>
            <w:pPr>
              <w:spacing w:line="240" w:lineRule="auto"/>
            </w:pPr>
            <w:r/>
          </w:p>
        </w:tc>
        <w:tc>
          <w:tcPr>
            <w:tcW w:type="dxa" w:w="2340"/>
          </w:tcPr>
          <w:p>
            <w:pPr>
              <w:spacing w:line="240" w:lineRule="auto"/>
            </w:pPr>
            <w:r/>
            <w:r>
              <w:rPr>
                <w:rFonts w:ascii="Garamond" w:hAnsi="Garamond"/>
                <w:b/>
                <w:sz w:val="18"/>
              </w:rPr>
              <w:t>1,444</w:t>
            </w:r>
          </w:p>
        </w:tc>
        <w:tc>
          <w:tcPr>
            <w:tcW w:type="dxa" w:w="2340"/>
          </w:tcPr>
          <w:p>
            <w:pPr>
              <w:spacing w:line="240" w:lineRule="auto"/>
            </w:pPr>
            <w:r/>
            <w:r>
              <w:rPr>
                <w:rFonts w:ascii="Garamond" w:hAnsi="Garamond"/>
                <w:b/>
                <w:sz w:val="18"/>
              </w:rPr>
              <w:t>993</w:t>
            </w:r>
          </w:p>
        </w:tc>
      </w:tr>
    </w:tbl>
    <w:p>
      <w:pPr>
        <w:spacing w:after="0"/>
      </w:pPr>
    </w:p>
    <w:p>
      <w:pPr>
        <w:spacing w:line="240" w:lineRule="auto" w:before="0" w:after="120"/>
      </w:pPr>
      <w:r>
        <w:rPr>
          <w:rFonts w:ascii="Garamond" w:hAnsi="Garamond"/>
          <w:i/>
          <w:sz w:val="19"/>
        </w:rPr>
        <w:t>Notes: June 24, 2026 counts from the author's roster built from the Cadastral Layer 4 owner field; October 19, 2026 counts from the same layer queried by owner name, https://maps.nashville.gov/arcgis/rest/services/Cadastral/Cadastral_Layers/MapServer/4. The June roster listed 1207B BCP as a single project without a count; its 47 October parcels are condominium lots minted after the June roster. The two TPG AG EHC III (MTH) vehicles are reported together because the June roster's split between them does not match the recorded deeds (Zermatt under Multi State 2, Antioch 15 under Multi State 1). Counts fall as lots are taken down and rise when a tract is platted, so the sixteen-week change measures the takedown schedule, not acreage.</w:t>
      </w:r>
    </w:p>
    <w:p>
      <w:pPr>
        <w:spacing w:line="240" w:lineRule="auto" w:before="0" w:after="120"/>
      </w:pPr>
      <w:r>
        <w:rPr>
          <w:rFonts w:ascii="Garamond" w:hAnsi="Garamond"/>
          <w:b/>
          <w:sz w:val="19"/>
        </w:rPr>
        <w:t>Table A3:</w:t>
      </w:r>
      <w:r>
        <w:rPr>
          <w:rFonts w:ascii="Garamond" w:hAnsi="Garamond"/>
          <w:sz w:val="19"/>
        </w:rPr>
        <w:t xml:space="preserve"> How a Davidson shell resolves to its ultimate capital source through the mailing address on its recorded deed. The address a shell lists on the deed, not its name, is what ties it to a parent.</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3120"/>
        <w:gridCol w:w="3120"/>
        <w:gridCol w:w="3120"/>
      </w:tblGrid>
      <w:tr>
        <w:tc>
          <w:tcPr>
            <w:tcW w:type="dxa" w:w="3120"/>
            <w:tcBorders>
              <w:bottom w:val="single" w:sz="4" w:color="000000"/>
            </w:tcBorders>
          </w:tcPr>
          <w:p>
            <w:pPr>
              <w:spacing w:line="240" w:lineRule="auto"/>
            </w:pPr>
            <w:r>
              <w:rPr>
                <w:b/>
              </w:rPr>
            </w:r>
            <w:r>
              <w:rPr>
                <w:rFonts w:ascii="Garamond" w:hAnsi="Garamond"/>
                <w:b/>
                <w:sz w:val="18"/>
              </w:rPr>
              <w:t>Davidson shell (deed owner)</w:t>
            </w:r>
          </w:p>
        </w:tc>
        <w:tc>
          <w:tcPr>
            <w:tcW w:type="dxa" w:w="3120"/>
            <w:tcBorders>
              <w:bottom w:val="single" w:sz="4" w:color="000000"/>
            </w:tcBorders>
          </w:tcPr>
          <w:p>
            <w:pPr>
              <w:spacing w:line="240" w:lineRule="auto"/>
            </w:pPr>
            <w:r>
              <w:rPr>
                <w:b/>
              </w:rPr>
            </w:r>
            <w:r>
              <w:rPr>
                <w:rFonts w:ascii="Garamond" w:hAnsi="Garamond"/>
                <w:b/>
                <w:sz w:val="18"/>
              </w:rPr>
              <w:t>Mailing address</w:t>
            </w:r>
          </w:p>
        </w:tc>
        <w:tc>
          <w:tcPr>
            <w:tcW w:type="dxa" w:w="3120"/>
            <w:tcBorders>
              <w:bottom w:val="single" w:sz="4" w:color="000000"/>
            </w:tcBorders>
          </w:tcPr>
          <w:p>
            <w:pPr>
              <w:spacing w:line="240" w:lineRule="auto"/>
            </w:pPr>
            <w:r>
              <w:rPr>
                <w:b/>
              </w:rPr>
            </w:r>
            <w:r>
              <w:rPr>
                <w:rFonts w:ascii="Garamond" w:hAnsi="Garamond"/>
                <w:b/>
                <w:sz w:val="18"/>
              </w:rPr>
              <w:t>Ultimate parent</w:t>
            </w:r>
          </w:p>
        </w:tc>
      </w:tr>
      <w:tr>
        <w:tc>
          <w:tcPr>
            <w:tcW w:type="dxa" w:w="3120"/>
          </w:tcPr>
          <w:p>
            <w:pPr>
              <w:spacing w:line="240" w:lineRule="auto"/>
            </w:pPr>
            <w:r/>
            <w:r>
              <w:rPr>
                <w:rFonts w:ascii="Garamond" w:hAnsi="Garamond"/>
                <w:sz w:val="18"/>
              </w:rPr>
              <w:t>DRP TN 1 / DRP Multistate 1, LLC</w:t>
            </w:r>
          </w:p>
        </w:tc>
        <w:tc>
          <w:tcPr>
            <w:tcW w:type="dxa" w:w="3120"/>
          </w:tcPr>
          <w:p>
            <w:pPr>
              <w:spacing w:line="240" w:lineRule="auto"/>
            </w:pPr>
            <w:r/>
            <w:r>
              <w:rPr>
                <w:rFonts w:ascii="Garamond" w:hAnsi="Garamond"/>
                <w:sz w:val="18"/>
              </w:rPr>
              <w:t>590 Madison Ave., 13th Fl., New York</w:t>
            </w:r>
          </w:p>
        </w:tc>
        <w:tc>
          <w:tcPr>
            <w:tcW w:type="dxa" w:w="3120"/>
          </w:tcPr>
          <w:p>
            <w:pPr>
              <w:spacing w:line="240" w:lineRule="auto"/>
            </w:pPr>
            <w:r/>
            <w:r>
              <w:rPr>
                <w:rFonts w:ascii="Garamond" w:hAnsi="Garamond"/>
                <w:sz w:val="18"/>
              </w:rPr>
              <w:t>DW Partners</w:t>
            </w:r>
          </w:p>
        </w:tc>
      </w:tr>
      <w:tr>
        <w:tc>
          <w:tcPr>
            <w:tcW w:type="dxa" w:w="3120"/>
          </w:tcPr>
          <w:p>
            <w:pPr>
              <w:spacing w:line="240" w:lineRule="auto"/>
            </w:pPr>
            <w:r/>
            <w:r>
              <w:rPr>
                <w:rFonts w:ascii="Garamond" w:hAnsi="Garamond"/>
                <w:sz w:val="18"/>
              </w:rPr>
              <w:t>KLLB AIV, LLC</w:t>
            </w:r>
          </w:p>
        </w:tc>
        <w:tc>
          <w:tcPr>
            <w:tcW w:type="dxa" w:w="3120"/>
          </w:tcPr>
          <w:p>
            <w:pPr>
              <w:spacing w:line="240" w:lineRule="auto"/>
            </w:pPr>
            <w:r/>
            <w:r>
              <w:rPr>
                <w:rFonts w:ascii="Garamond" w:hAnsi="Garamond"/>
                <w:sz w:val="18"/>
              </w:rPr>
              <w:t>6900 E. Camelback Rd., Ste. 1900, Scottsdale, AZ</w:t>
            </w:r>
          </w:p>
        </w:tc>
        <w:tc>
          <w:tcPr>
            <w:tcW w:type="dxa" w:w="3120"/>
          </w:tcPr>
          <w:p>
            <w:pPr>
              <w:spacing w:line="240" w:lineRule="auto"/>
            </w:pPr>
            <w:r/>
            <w:r>
              <w:rPr>
                <w:rFonts w:ascii="Garamond" w:hAnsi="Garamond"/>
                <w:sz w:val="18"/>
              </w:rPr>
              <w:t>Kennedy Lewis</w:t>
            </w:r>
          </w:p>
        </w:tc>
      </w:tr>
      <w:tr>
        <w:tc>
          <w:tcPr>
            <w:tcW w:type="dxa" w:w="3120"/>
          </w:tcPr>
          <w:p>
            <w:pPr>
              <w:spacing w:line="240" w:lineRule="auto"/>
            </w:pPr>
            <w:r/>
            <w:r>
              <w:rPr>
                <w:rFonts w:ascii="Garamond" w:hAnsi="Garamond"/>
                <w:sz w:val="18"/>
              </w:rPr>
              <w:t>Cove Residential Holdings III, LLC</w:t>
            </w:r>
          </w:p>
        </w:tc>
        <w:tc>
          <w:tcPr>
            <w:tcW w:type="dxa" w:w="3120"/>
          </w:tcPr>
          <w:p>
            <w:pPr>
              <w:spacing w:line="240" w:lineRule="auto"/>
            </w:pPr>
            <w:r/>
            <w:r>
              <w:rPr>
                <w:rFonts w:ascii="Garamond" w:hAnsi="Garamond"/>
                <w:sz w:val="18"/>
              </w:rPr>
              <w:t>555 Madison Ave., New York</w:t>
            </w:r>
          </w:p>
        </w:tc>
        <w:tc>
          <w:tcPr>
            <w:tcW w:type="dxa" w:w="3120"/>
          </w:tcPr>
          <w:p>
            <w:pPr>
              <w:spacing w:line="240" w:lineRule="auto"/>
            </w:pPr>
            <w:r/>
            <w:r>
              <w:rPr>
                <w:rFonts w:ascii="Garamond" w:hAnsi="Garamond"/>
                <w:sz w:val="18"/>
              </w:rPr>
              <w:t>(SFR securitization borrower)</w:t>
            </w:r>
          </w:p>
        </w:tc>
      </w:tr>
      <w:tr>
        <w:tc>
          <w:tcPr>
            <w:tcW w:type="dxa" w:w="3120"/>
          </w:tcPr>
          <w:p>
            <w:pPr>
              <w:spacing w:line="240" w:lineRule="auto"/>
            </w:pPr>
            <w:r/>
            <w:r>
              <w:rPr>
                <w:rFonts w:ascii="Garamond" w:hAnsi="Garamond"/>
                <w:sz w:val="18"/>
              </w:rPr>
              <w:t>WCP SFR Properties, LLC</w:t>
            </w:r>
          </w:p>
        </w:tc>
        <w:tc>
          <w:tcPr>
            <w:tcW w:type="dxa" w:w="3120"/>
          </w:tcPr>
          <w:p>
            <w:pPr>
              <w:spacing w:line="240" w:lineRule="auto"/>
            </w:pPr>
            <w:r/>
            <w:r>
              <w:rPr>
                <w:rFonts w:ascii="Garamond" w:hAnsi="Garamond"/>
                <w:sz w:val="18"/>
              </w:rPr>
              <w:t>9 Old Kings Highway South, Darien, CT</w:t>
            </w:r>
          </w:p>
        </w:tc>
        <w:tc>
          <w:tcPr>
            <w:tcW w:type="dxa" w:w="3120"/>
          </w:tcPr>
          <w:p>
            <w:pPr>
              <w:spacing w:line="240" w:lineRule="auto"/>
            </w:pPr>
            <w:r/>
            <w:r>
              <w:rPr>
                <w:rFonts w:ascii="Garamond" w:hAnsi="Garamond"/>
                <w:sz w:val="18"/>
              </w:rPr>
              <w:t>Westport Capital Partners</w:t>
            </w:r>
          </w:p>
        </w:tc>
      </w:tr>
      <w:tr>
        <w:tc>
          <w:tcPr>
            <w:tcW w:type="dxa" w:w="3120"/>
          </w:tcPr>
          <w:p>
            <w:pPr>
              <w:spacing w:line="240" w:lineRule="auto"/>
            </w:pPr>
            <w:r/>
            <w:r>
              <w:rPr>
                <w:rFonts w:ascii="Garamond" w:hAnsi="Garamond"/>
                <w:sz w:val="18"/>
              </w:rPr>
              <w:t>Ava Madison, LLC</w:t>
            </w:r>
          </w:p>
        </w:tc>
        <w:tc>
          <w:tcPr>
            <w:tcW w:type="dxa" w:w="3120"/>
          </w:tcPr>
          <w:p>
            <w:pPr>
              <w:spacing w:line="240" w:lineRule="auto"/>
            </w:pPr>
            <w:r/>
            <w:r>
              <w:rPr>
                <w:rFonts w:ascii="Garamond" w:hAnsi="Garamond"/>
                <w:sz w:val="18"/>
              </w:rPr>
              <w:t>3060 Peachtree Rd. NW, Ste. 960, Atlanta, GA</w:t>
            </w:r>
          </w:p>
        </w:tc>
        <w:tc>
          <w:tcPr>
            <w:tcW w:type="dxa" w:w="3120"/>
          </w:tcPr>
          <w:p>
            <w:pPr>
              <w:spacing w:line="240" w:lineRule="auto"/>
            </w:pPr>
            <w:r/>
            <w:r>
              <w:rPr>
                <w:rFonts w:ascii="Garamond" w:hAnsi="Garamond"/>
                <w:sz w:val="18"/>
              </w:rPr>
              <w:t>(Atlanta land holder)</w:t>
            </w:r>
          </w:p>
        </w:tc>
      </w:tr>
      <w:tr>
        <w:tc>
          <w:tcPr>
            <w:tcW w:type="dxa" w:w="3120"/>
          </w:tcPr>
          <w:p>
            <w:pPr>
              <w:spacing w:line="240" w:lineRule="auto"/>
            </w:pPr>
            <w:r/>
            <w:r>
              <w:rPr>
                <w:rFonts w:ascii="Garamond" w:hAnsi="Garamond"/>
                <w:sz w:val="18"/>
              </w:rPr>
              <w:t>ACPF Spring Path Antioch REIT, LLC</w:t>
            </w:r>
          </w:p>
        </w:tc>
        <w:tc>
          <w:tcPr>
            <w:tcW w:type="dxa" w:w="3120"/>
          </w:tcPr>
          <w:p>
            <w:pPr>
              <w:spacing w:line="240" w:lineRule="auto"/>
            </w:pPr>
            <w:r/>
            <w:r>
              <w:rPr>
                <w:rFonts w:ascii="Garamond" w:hAnsi="Garamond"/>
                <w:sz w:val="18"/>
              </w:rPr>
              <w:t>515 S. Flower St., 49th Fl., Los Angeles</w:t>
            </w:r>
          </w:p>
        </w:tc>
        <w:tc>
          <w:tcPr>
            <w:tcW w:type="dxa" w:w="3120"/>
          </w:tcPr>
          <w:p>
            <w:pPr>
              <w:spacing w:line="240" w:lineRule="auto"/>
            </w:pPr>
            <w:r/>
            <w:r>
              <w:rPr>
                <w:rFonts w:ascii="Garamond" w:hAnsi="Garamond"/>
                <w:sz w:val="18"/>
              </w:rPr>
              <w:t>(ACPF fund)</w:t>
            </w:r>
          </w:p>
        </w:tc>
      </w:tr>
      <w:tr>
        <w:tc>
          <w:tcPr>
            <w:tcW w:type="dxa" w:w="3120"/>
          </w:tcPr>
          <w:p>
            <w:pPr>
              <w:spacing w:line="240" w:lineRule="auto"/>
            </w:pPr>
            <w:r/>
            <w:r>
              <w:rPr>
                <w:rFonts w:ascii="Garamond" w:hAnsi="Garamond"/>
                <w:sz w:val="18"/>
              </w:rPr>
              <w:t>YAMASA Co., Ltd.</w:t>
            </w:r>
          </w:p>
        </w:tc>
        <w:tc>
          <w:tcPr>
            <w:tcW w:type="dxa" w:w="3120"/>
          </w:tcPr>
          <w:p>
            <w:pPr>
              <w:spacing w:line="240" w:lineRule="auto"/>
            </w:pPr>
            <w:r/>
            <w:r>
              <w:rPr>
                <w:rFonts w:ascii="Garamond" w:hAnsi="Garamond"/>
                <w:sz w:val="18"/>
              </w:rPr>
              <w:t>PO Box 4090, Scottsdale, AZ 85261</w:t>
            </w:r>
          </w:p>
        </w:tc>
        <w:tc>
          <w:tcPr>
            <w:tcW w:type="dxa" w:w="3120"/>
          </w:tcPr>
          <w:p>
            <w:pPr>
              <w:spacing w:line="240" w:lineRule="auto"/>
            </w:pPr>
            <w:r/>
            <w:r>
              <w:rPr>
                <w:rFonts w:ascii="Garamond" w:hAnsi="Garamond"/>
                <w:sz w:val="18"/>
              </w:rPr>
              <w:t>Progress Residential (Pretium)</w:t>
            </w:r>
          </w:p>
        </w:tc>
      </w:tr>
    </w:tbl>
    <w:p>
      <w:pPr>
        <w:spacing w:after="0"/>
      </w:pPr>
    </w:p>
    <w:p>
      <w:pPr>
        <w:spacing w:line="240" w:lineRule="auto" w:before="0" w:after="120"/>
      </w:pPr>
      <w:r>
        <w:rPr>
          <w:rFonts w:ascii="Garamond" w:hAnsi="Garamond"/>
          <w:i/>
          <w:sz w:val="19"/>
        </w:rPr>
        <w:t>Notes: Author's entity-lookup research, cross-referenced to the Davidson cadastral owner-address field and the recorded deeds. The mailing-address-convergence method identifies a parent where two differently named shells file from the same address, or where a shell's address matches a fund's headquarters. The Scottsdale PO Box 4090 shared by Progress Residential and its YAMASA-held legacy portfolio is the canonical example; the Darien, Connecticut address ties WCP SFR to Westport Capital Partners.</w:t>
      </w:r>
    </w:p>
    <w:p>
      <w:pPr>
        <w:spacing w:line="240" w:lineRule="auto" w:before="0" w:after="120"/>
      </w:pPr>
      <w:r>
        <w:rPr>
          <w:rFonts w:ascii="Garamond" w:hAnsi="Garamond"/>
          <w:b/>
          <w:sz w:val="19"/>
        </w:rPr>
        <w:t>Table A4:</w:t>
      </w:r>
      <w:r>
        <w:rPr>
          <w:rFonts w:ascii="Garamond" w:hAnsi="Garamond"/>
          <w:sz w:val="19"/>
        </w:rPr>
        <w:t xml:space="preserve"> Eight recorded institutional land-banking deal chains, by acquisition price, aggregate takedown proceeds, and hold to first takedown.</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337"/>
        <w:gridCol w:w="1337"/>
        <w:gridCol w:w="1337"/>
        <w:gridCol w:w="1337"/>
        <w:gridCol w:w="1337"/>
        <w:gridCol w:w="1337"/>
        <w:gridCol w:w="1337"/>
      </w:tblGrid>
      <w:tr>
        <w:tc>
          <w:tcPr>
            <w:tcW w:type="dxa" w:w="1337"/>
            <w:tcBorders>
              <w:bottom w:val="single" w:sz="4" w:color="000000"/>
            </w:tcBorders>
          </w:tcPr>
          <w:p>
            <w:pPr>
              <w:spacing w:line="240" w:lineRule="auto"/>
            </w:pPr>
            <w:r>
              <w:rPr>
                <w:b/>
              </w:rPr>
            </w:r>
            <w:r>
              <w:rPr>
                <w:rFonts w:ascii="Garamond" w:hAnsi="Garamond"/>
                <w:b/>
                <w:sz w:val="16"/>
              </w:rPr>
              <w:t>Land bank (holder)</w:t>
            </w:r>
          </w:p>
        </w:tc>
        <w:tc>
          <w:tcPr>
            <w:tcW w:type="dxa" w:w="1337"/>
            <w:tcBorders>
              <w:bottom w:val="single" w:sz="4" w:color="000000"/>
            </w:tcBorders>
          </w:tcPr>
          <w:p>
            <w:pPr>
              <w:spacing w:line="240" w:lineRule="auto"/>
            </w:pPr>
            <w:r>
              <w:rPr>
                <w:b/>
              </w:rPr>
            </w:r>
            <w:r>
              <w:rPr>
                <w:rFonts w:ascii="Garamond" w:hAnsi="Garamond"/>
                <w:b/>
                <w:sz w:val="16"/>
              </w:rPr>
              <w:t>Parent capital</w:t>
            </w:r>
          </w:p>
        </w:tc>
        <w:tc>
          <w:tcPr>
            <w:tcW w:type="dxa" w:w="1337"/>
            <w:tcBorders>
              <w:bottom w:val="single" w:sz="4" w:color="000000"/>
            </w:tcBorders>
          </w:tcPr>
          <w:p>
            <w:pPr>
              <w:spacing w:line="240" w:lineRule="auto"/>
            </w:pPr>
            <w:r>
              <w:rPr>
                <w:b/>
              </w:rPr>
            </w:r>
            <w:r>
              <w:rPr>
                <w:rFonts w:ascii="Garamond" w:hAnsi="Garamond"/>
                <w:b/>
                <w:sz w:val="16"/>
              </w:rPr>
              <w:t>Builder</w:t>
            </w:r>
          </w:p>
        </w:tc>
        <w:tc>
          <w:tcPr>
            <w:tcW w:type="dxa" w:w="1337"/>
            <w:tcBorders>
              <w:bottom w:val="single" w:sz="4" w:color="000000"/>
            </w:tcBorders>
          </w:tcPr>
          <w:p>
            <w:pPr>
              <w:spacing w:line="240" w:lineRule="auto"/>
            </w:pPr>
            <w:r>
              <w:rPr>
                <w:b/>
              </w:rPr>
            </w:r>
            <w:r>
              <w:rPr>
                <w:rFonts w:ascii="Garamond" w:hAnsi="Garamond"/>
                <w:b/>
                <w:sz w:val="16"/>
              </w:rPr>
              <w:t>Project</w:t>
            </w:r>
          </w:p>
        </w:tc>
        <w:tc>
          <w:tcPr>
            <w:tcW w:type="dxa" w:w="1337"/>
            <w:tcBorders>
              <w:bottom w:val="single" w:sz="4" w:color="000000"/>
            </w:tcBorders>
          </w:tcPr>
          <w:p>
            <w:pPr>
              <w:spacing w:line="240" w:lineRule="auto"/>
            </w:pPr>
            <w:r>
              <w:rPr>
                <w:b/>
              </w:rPr>
            </w:r>
            <w:r>
              <w:rPr>
                <w:rFonts w:ascii="Garamond" w:hAnsi="Garamond"/>
                <w:b/>
                <w:sz w:val="16"/>
              </w:rPr>
              <w:t>Acquisition price</w:t>
            </w:r>
          </w:p>
        </w:tc>
        <w:tc>
          <w:tcPr>
            <w:tcW w:type="dxa" w:w="1337"/>
            <w:tcBorders>
              <w:bottom w:val="single" w:sz="4" w:color="000000"/>
            </w:tcBorders>
          </w:tcPr>
          <w:p>
            <w:pPr>
              <w:spacing w:line="240" w:lineRule="auto"/>
            </w:pPr>
            <w:r>
              <w:rPr>
                <w:b/>
              </w:rPr>
            </w:r>
            <w:r>
              <w:rPr>
                <w:rFonts w:ascii="Garamond" w:hAnsi="Garamond"/>
                <w:b/>
                <w:sz w:val="16"/>
              </w:rPr>
              <w:t>Takedown proceeds</w:t>
            </w:r>
          </w:p>
        </w:tc>
        <w:tc>
          <w:tcPr>
            <w:tcW w:type="dxa" w:w="1337"/>
            <w:tcBorders>
              <w:bottom w:val="single" w:sz="4" w:color="000000"/>
            </w:tcBorders>
          </w:tcPr>
          <w:p>
            <w:pPr>
              <w:spacing w:line="240" w:lineRule="auto"/>
            </w:pPr>
            <w:r>
              <w:rPr>
                <w:b/>
              </w:rPr>
            </w:r>
            <w:r>
              <w:rPr>
                <w:rFonts w:ascii="Garamond" w:hAnsi="Garamond"/>
                <w:b/>
                <w:sz w:val="16"/>
              </w:rPr>
              <w:t>Hold to first takedown (days)</w:t>
            </w:r>
          </w:p>
        </w:tc>
      </w:tr>
      <w:tr>
        <w:tc>
          <w:tcPr>
            <w:tcW w:type="dxa" w:w="1337"/>
          </w:tcPr>
          <w:p>
            <w:pPr>
              <w:spacing w:line="240" w:lineRule="auto"/>
            </w:pPr>
            <w:r/>
            <w:r>
              <w:rPr>
                <w:rFonts w:ascii="Garamond" w:hAnsi="Garamond"/>
                <w:sz w:val="16"/>
              </w:rPr>
              <w:t>KLLB AIV, LLC</w:t>
            </w:r>
          </w:p>
        </w:tc>
        <w:tc>
          <w:tcPr>
            <w:tcW w:type="dxa" w:w="1337"/>
          </w:tcPr>
          <w:p>
            <w:pPr>
              <w:spacing w:line="240" w:lineRule="auto"/>
            </w:pPr>
            <w:r/>
            <w:r>
              <w:rPr>
                <w:rFonts w:ascii="Garamond" w:hAnsi="Garamond"/>
                <w:sz w:val="16"/>
              </w:rPr>
              <w:t>Kennedy Lewis</w:t>
            </w:r>
          </w:p>
        </w:tc>
        <w:tc>
          <w:tcPr>
            <w:tcW w:type="dxa" w:w="1337"/>
          </w:tcPr>
          <w:p>
            <w:pPr>
              <w:spacing w:line="240" w:lineRule="auto"/>
            </w:pPr>
            <w:r/>
            <w:r>
              <w:rPr>
                <w:rFonts w:ascii="Garamond" w:hAnsi="Garamond"/>
                <w:sz w:val="16"/>
              </w:rPr>
              <w:t>Lennar</w:t>
            </w:r>
          </w:p>
        </w:tc>
        <w:tc>
          <w:tcPr>
            <w:tcW w:type="dxa" w:w="1337"/>
          </w:tcPr>
          <w:p>
            <w:pPr>
              <w:spacing w:line="240" w:lineRule="auto"/>
            </w:pPr>
            <w:r/>
            <w:r>
              <w:rPr>
                <w:rFonts w:ascii="Garamond" w:hAnsi="Garamond"/>
                <w:sz w:val="16"/>
              </w:rPr>
              <w:t>City Vista</w:t>
            </w:r>
          </w:p>
        </w:tc>
        <w:tc>
          <w:tcPr>
            <w:tcW w:type="dxa" w:w="1337"/>
          </w:tcPr>
          <w:p>
            <w:pPr>
              <w:spacing w:line="240" w:lineRule="auto"/>
              <w:jc w:val="right"/>
            </w:pPr>
            <w:r/>
            <w:r>
              <w:rPr>
                <w:rFonts w:ascii="Garamond" w:hAnsi="Garamond"/>
                <w:sz w:val="16"/>
              </w:rPr>
              <w:t>$17,385,000</w:t>
            </w:r>
          </w:p>
        </w:tc>
        <w:tc>
          <w:tcPr>
            <w:tcW w:type="dxa" w:w="1337"/>
          </w:tcPr>
          <w:p>
            <w:pPr>
              <w:spacing w:line="240" w:lineRule="auto"/>
              <w:jc w:val="right"/>
            </w:pPr>
            <w:r/>
            <w:r>
              <w:rPr>
                <w:rFonts w:ascii="Garamond" w:hAnsi="Garamond"/>
                <w:sz w:val="16"/>
              </w:rPr>
              <w:t>$11,613,573</w:t>
            </w:r>
          </w:p>
        </w:tc>
        <w:tc>
          <w:tcPr>
            <w:tcW w:type="dxa" w:w="1337"/>
          </w:tcPr>
          <w:p>
            <w:pPr>
              <w:spacing w:line="240" w:lineRule="auto"/>
              <w:jc w:val="right"/>
            </w:pPr>
            <w:r/>
            <w:r>
              <w:rPr>
                <w:rFonts w:ascii="Garamond" w:hAnsi="Garamond"/>
                <w:sz w:val="16"/>
              </w:rPr>
              <w:t>791</w:t>
            </w:r>
          </w:p>
        </w:tc>
      </w:tr>
      <w:tr>
        <w:tc>
          <w:tcPr>
            <w:tcW w:type="dxa" w:w="1337"/>
          </w:tcPr>
          <w:p>
            <w:pPr>
              <w:spacing w:line="240" w:lineRule="auto"/>
            </w:pPr>
            <w:r/>
            <w:r>
              <w:rPr>
                <w:rFonts w:ascii="Garamond" w:hAnsi="Garamond"/>
                <w:sz w:val="16"/>
              </w:rPr>
              <w:t>Millrose Properties Tennessee, LLC</w:t>
            </w:r>
          </w:p>
        </w:tc>
        <w:tc>
          <w:tcPr>
            <w:tcW w:type="dxa" w:w="1337"/>
          </w:tcPr>
          <w:p>
            <w:pPr>
              <w:spacing w:line="240" w:lineRule="auto"/>
            </w:pPr>
            <w:r/>
            <w:r>
              <w:rPr>
                <w:rFonts w:ascii="Garamond" w:hAnsi="Garamond"/>
                <w:sz w:val="16"/>
              </w:rPr>
              <w:t>Lennar / Kennedy Lewis</w:t>
            </w:r>
          </w:p>
        </w:tc>
        <w:tc>
          <w:tcPr>
            <w:tcW w:type="dxa" w:w="1337"/>
          </w:tcPr>
          <w:p>
            <w:pPr>
              <w:spacing w:line="240" w:lineRule="auto"/>
            </w:pPr>
            <w:r/>
            <w:r>
              <w:rPr>
                <w:rFonts w:ascii="Garamond" w:hAnsi="Garamond"/>
                <w:sz w:val="16"/>
              </w:rPr>
              <w:t>Lennar</w:t>
            </w:r>
          </w:p>
        </w:tc>
        <w:tc>
          <w:tcPr>
            <w:tcW w:type="dxa" w:w="1337"/>
          </w:tcPr>
          <w:p>
            <w:pPr>
              <w:spacing w:line="240" w:lineRule="auto"/>
            </w:pPr>
            <w:r/>
            <w:r>
              <w:rPr>
                <w:rFonts w:ascii="Garamond" w:hAnsi="Garamond"/>
                <w:sz w:val="16"/>
              </w:rPr>
              <w:t>City Vista II</w:t>
            </w:r>
          </w:p>
        </w:tc>
        <w:tc>
          <w:tcPr>
            <w:tcW w:type="dxa" w:w="1337"/>
          </w:tcPr>
          <w:p>
            <w:pPr>
              <w:spacing w:line="240" w:lineRule="auto"/>
              <w:jc w:val="right"/>
            </w:pPr>
            <w:r/>
            <w:r>
              <w:rPr>
                <w:rFonts w:ascii="Garamond" w:hAnsi="Garamond"/>
                <w:sz w:val="16"/>
              </w:rPr>
              <w:t>$8,851,945</w:t>
            </w:r>
          </w:p>
        </w:tc>
        <w:tc>
          <w:tcPr>
            <w:tcW w:type="dxa" w:w="1337"/>
          </w:tcPr>
          <w:p>
            <w:pPr>
              <w:spacing w:line="240" w:lineRule="auto"/>
            </w:pPr>
            <w:r/>
            <w:r>
              <w:rPr>
                <w:rFonts w:ascii="Garamond" w:hAnsi="Garamond"/>
                <w:sz w:val="16"/>
              </w:rPr>
              <w:t>n/a</w:t>
            </w:r>
          </w:p>
        </w:tc>
        <w:tc>
          <w:tcPr>
            <w:tcW w:type="dxa" w:w="1337"/>
          </w:tcPr>
          <w:p>
            <w:pPr>
              <w:spacing w:line="240" w:lineRule="auto"/>
            </w:pPr>
            <w:r/>
            <w:r>
              <w:rPr>
                <w:rFonts w:ascii="Garamond" w:hAnsi="Garamond"/>
                <w:sz w:val="16"/>
              </w:rPr>
              <w:t>n/a</w:t>
            </w:r>
          </w:p>
        </w:tc>
      </w:tr>
      <w:tr>
        <w:tc>
          <w:tcPr>
            <w:tcW w:type="dxa" w:w="1337"/>
          </w:tcPr>
          <w:p>
            <w:pPr>
              <w:spacing w:line="240" w:lineRule="auto"/>
            </w:pPr>
            <w:r/>
            <w:r>
              <w:rPr>
                <w:rFonts w:ascii="Garamond" w:hAnsi="Garamond"/>
                <w:sz w:val="16"/>
              </w:rPr>
              <w:t>TPG AG EHC SD (LEN) Multi State 1, LLC</w:t>
            </w:r>
          </w:p>
        </w:tc>
        <w:tc>
          <w:tcPr>
            <w:tcW w:type="dxa" w:w="1337"/>
          </w:tcPr>
          <w:p>
            <w:pPr>
              <w:spacing w:line="240" w:lineRule="auto"/>
            </w:pPr>
            <w:r/>
            <w:r>
              <w:rPr>
                <w:rFonts w:ascii="Garamond" w:hAnsi="Garamond"/>
                <w:sz w:val="16"/>
              </w:rPr>
              <w:t>TPG Angelo Gordon</w:t>
            </w:r>
          </w:p>
        </w:tc>
        <w:tc>
          <w:tcPr>
            <w:tcW w:type="dxa" w:w="1337"/>
          </w:tcPr>
          <w:p>
            <w:pPr>
              <w:spacing w:line="240" w:lineRule="auto"/>
            </w:pPr>
            <w:r/>
            <w:r>
              <w:rPr>
                <w:rFonts w:ascii="Garamond" w:hAnsi="Garamond"/>
                <w:sz w:val="16"/>
              </w:rPr>
              <w:t>Lennar</w:t>
            </w:r>
          </w:p>
        </w:tc>
        <w:tc>
          <w:tcPr>
            <w:tcW w:type="dxa" w:w="1337"/>
          </w:tcPr>
          <w:p>
            <w:pPr>
              <w:spacing w:line="240" w:lineRule="auto"/>
            </w:pPr>
            <w:r/>
            <w:r>
              <w:rPr>
                <w:rFonts w:ascii="Garamond" w:hAnsi="Garamond"/>
                <w:sz w:val="16"/>
              </w:rPr>
              <w:t>Pemberton</w:t>
            </w:r>
          </w:p>
        </w:tc>
        <w:tc>
          <w:tcPr>
            <w:tcW w:type="dxa" w:w="1337"/>
          </w:tcPr>
          <w:p>
            <w:pPr>
              <w:spacing w:line="240" w:lineRule="auto"/>
              <w:jc w:val="right"/>
            </w:pPr>
            <w:r/>
            <w:r>
              <w:rPr>
                <w:rFonts w:ascii="Garamond" w:hAnsi="Garamond"/>
                <w:sz w:val="16"/>
              </w:rPr>
              <w:t>$1,000,000</w:t>
            </w:r>
          </w:p>
        </w:tc>
        <w:tc>
          <w:tcPr>
            <w:tcW w:type="dxa" w:w="1337"/>
          </w:tcPr>
          <w:p>
            <w:pPr>
              <w:spacing w:line="240" w:lineRule="auto"/>
              <w:jc w:val="right"/>
            </w:pPr>
            <w:r/>
            <w:r>
              <w:rPr>
                <w:rFonts w:ascii="Garamond" w:hAnsi="Garamond"/>
                <w:sz w:val="16"/>
              </w:rPr>
              <w:t>$704,227</w:t>
            </w:r>
          </w:p>
        </w:tc>
        <w:tc>
          <w:tcPr>
            <w:tcW w:type="dxa" w:w="1337"/>
          </w:tcPr>
          <w:p>
            <w:pPr>
              <w:spacing w:line="240" w:lineRule="auto"/>
              <w:jc w:val="right"/>
            </w:pPr>
            <w:r/>
            <w:r>
              <w:rPr>
                <w:rFonts w:ascii="Garamond" w:hAnsi="Garamond"/>
                <w:sz w:val="16"/>
              </w:rPr>
              <w:t>407</w:t>
            </w:r>
          </w:p>
        </w:tc>
      </w:tr>
      <w:tr>
        <w:tc>
          <w:tcPr>
            <w:tcW w:type="dxa" w:w="1337"/>
          </w:tcPr>
          <w:p>
            <w:pPr>
              <w:spacing w:line="240" w:lineRule="auto"/>
            </w:pPr>
            <w:r/>
            <w:r>
              <w:rPr>
                <w:rFonts w:ascii="Garamond" w:hAnsi="Garamond"/>
                <w:sz w:val="16"/>
              </w:rPr>
              <w:t>TPG AG EHC III (MTH) Multi State 1 &amp; 2, LLC</w:t>
            </w:r>
          </w:p>
        </w:tc>
        <w:tc>
          <w:tcPr>
            <w:tcW w:type="dxa" w:w="1337"/>
          </w:tcPr>
          <w:p>
            <w:pPr>
              <w:spacing w:line="240" w:lineRule="auto"/>
            </w:pPr>
            <w:r/>
            <w:r>
              <w:rPr>
                <w:rFonts w:ascii="Garamond" w:hAnsi="Garamond"/>
                <w:sz w:val="16"/>
              </w:rPr>
              <w:t>TPG Angelo Gordon</w:t>
            </w:r>
          </w:p>
        </w:tc>
        <w:tc>
          <w:tcPr>
            <w:tcW w:type="dxa" w:w="1337"/>
          </w:tcPr>
          <w:p>
            <w:pPr>
              <w:spacing w:line="240" w:lineRule="auto"/>
            </w:pPr>
            <w:r/>
            <w:r>
              <w:rPr>
                <w:rFonts w:ascii="Garamond" w:hAnsi="Garamond"/>
                <w:sz w:val="16"/>
              </w:rPr>
              <w:t>Meritage</w:t>
            </w:r>
          </w:p>
        </w:tc>
        <w:tc>
          <w:tcPr>
            <w:tcW w:type="dxa" w:w="1337"/>
          </w:tcPr>
          <w:p>
            <w:pPr>
              <w:spacing w:line="240" w:lineRule="auto"/>
            </w:pPr>
            <w:r/>
            <w:r>
              <w:rPr>
                <w:rFonts w:ascii="Garamond" w:hAnsi="Garamond"/>
                <w:sz w:val="16"/>
              </w:rPr>
              <w:t>Zermatt; Antioch 15</w:t>
            </w:r>
          </w:p>
        </w:tc>
        <w:tc>
          <w:tcPr>
            <w:tcW w:type="dxa" w:w="1337"/>
          </w:tcPr>
          <w:p>
            <w:pPr>
              <w:spacing w:line="240" w:lineRule="auto"/>
              <w:jc w:val="right"/>
            </w:pPr>
            <w:r/>
            <w:r>
              <w:rPr>
                <w:rFonts w:ascii="Garamond" w:hAnsi="Garamond"/>
                <w:sz w:val="16"/>
              </w:rPr>
              <w:t>$1,076,203</w:t>
            </w:r>
          </w:p>
        </w:tc>
        <w:tc>
          <w:tcPr>
            <w:tcW w:type="dxa" w:w="1337"/>
          </w:tcPr>
          <w:p>
            <w:pPr>
              <w:spacing w:line="240" w:lineRule="auto"/>
              <w:jc w:val="right"/>
            </w:pPr>
            <w:r/>
            <w:r>
              <w:rPr>
                <w:rFonts w:ascii="Garamond" w:hAnsi="Garamond"/>
                <w:sz w:val="16"/>
              </w:rPr>
              <w:t>$866,253</w:t>
            </w:r>
          </w:p>
        </w:tc>
        <w:tc>
          <w:tcPr>
            <w:tcW w:type="dxa" w:w="1337"/>
          </w:tcPr>
          <w:p>
            <w:pPr>
              <w:spacing w:line="240" w:lineRule="auto"/>
              <w:jc w:val="right"/>
            </w:pPr>
            <w:r/>
            <w:r>
              <w:rPr>
                <w:rFonts w:ascii="Garamond" w:hAnsi="Garamond"/>
                <w:sz w:val="16"/>
              </w:rPr>
              <w:t>14</w:t>
            </w:r>
          </w:p>
        </w:tc>
      </w:tr>
      <w:tr>
        <w:tc>
          <w:tcPr>
            <w:tcW w:type="dxa" w:w="1337"/>
          </w:tcPr>
          <w:p>
            <w:pPr>
              <w:spacing w:line="240" w:lineRule="auto"/>
            </w:pPr>
            <w:r/>
            <w:r>
              <w:rPr>
                <w:rFonts w:ascii="Garamond" w:hAnsi="Garamond"/>
                <w:sz w:val="16"/>
              </w:rPr>
              <w:t>Domain Timberlake Multistate 2, LLC</w:t>
            </w:r>
          </w:p>
        </w:tc>
        <w:tc>
          <w:tcPr>
            <w:tcW w:type="dxa" w:w="1337"/>
          </w:tcPr>
          <w:p>
            <w:pPr>
              <w:spacing w:line="240" w:lineRule="auto"/>
            </w:pPr>
            <w:r/>
            <w:r>
              <w:rPr>
                <w:rFonts w:ascii="Garamond" w:hAnsi="Garamond"/>
                <w:sz w:val="16"/>
              </w:rPr>
              <w:t>Domain</w:t>
            </w:r>
          </w:p>
        </w:tc>
        <w:tc>
          <w:tcPr>
            <w:tcW w:type="dxa" w:w="1337"/>
          </w:tcPr>
          <w:p>
            <w:pPr>
              <w:spacing w:line="240" w:lineRule="auto"/>
            </w:pPr>
            <w:r/>
            <w:r>
              <w:rPr>
                <w:rFonts w:ascii="Garamond" w:hAnsi="Garamond"/>
                <w:sz w:val="16"/>
              </w:rPr>
              <w:t>Clayton</w:t>
            </w:r>
          </w:p>
        </w:tc>
        <w:tc>
          <w:tcPr>
            <w:tcW w:type="dxa" w:w="1337"/>
          </w:tcPr>
          <w:p>
            <w:pPr>
              <w:spacing w:line="240" w:lineRule="auto"/>
            </w:pPr>
            <w:r/>
            <w:r>
              <w:rPr>
                <w:rFonts w:ascii="Garamond" w:hAnsi="Garamond"/>
                <w:sz w:val="16"/>
              </w:rPr>
              <w:t>Heritage Creek Ph. 5-6</w:t>
            </w:r>
          </w:p>
        </w:tc>
        <w:tc>
          <w:tcPr>
            <w:tcW w:type="dxa" w:w="1337"/>
          </w:tcPr>
          <w:p>
            <w:pPr>
              <w:spacing w:line="240" w:lineRule="auto"/>
              <w:jc w:val="right"/>
            </w:pPr>
            <w:r/>
            <w:r>
              <w:rPr>
                <w:rFonts w:ascii="Garamond" w:hAnsi="Garamond"/>
                <w:sz w:val="16"/>
              </w:rPr>
              <w:t>$7,266,386</w:t>
            </w:r>
          </w:p>
        </w:tc>
        <w:tc>
          <w:tcPr>
            <w:tcW w:type="dxa" w:w="1337"/>
          </w:tcPr>
          <w:p>
            <w:pPr>
              <w:spacing w:line="240" w:lineRule="auto"/>
              <w:jc w:val="right"/>
            </w:pPr>
            <w:r/>
            <w:r>
              <w:rPr>
                <w:rFonts w:ascii="Garamond" w:hAnsi="Garamond"/>
                <w:sz w:val="16"/>
              </w:rPr>
              <w:t>$8,427,959</w:t>
            </w:r>
          </w:p>
        </w:tc>
        <w:tc>
          <w:tcPr>
            <w:tcW w:type="dxa" w:w="1337"/>
          </w:tcPr>
          <w:p>
            <w:pPr>
              <w:spacing w:line="240" w:lineRule="auto"/>
              <w:jc w:val="right"/>
            </w:pPr>
            <w:r/>
            <w:r>
              <w:rPr>
                <w:rFonts w:ascii="Garamond" w:hAnsi="Garamond"/>
                <w:sz w:val="16"/>
              </w:rPr>
              <w:t>370</w:t>
            </w:r>
          </w:p>
        </w:tc>
      </w:tr>
      <w:tr>
        <w:tc>
          <w:tcPr>
            <w:tcW w:type="dxa" w:w="1337"/>
          </w:tcPr>
          <w:p>
            <w:pPr>
              <w:spacing w:line="240" w:lineRule="auto"/>
            </w:pPr>
            <w:r/>
            <w:r>
              <w:rPr>
                <w:rFonts w:ascii="Garamond" w:hAnsi="Garamond"/>
                <w:sz w:val="16"/>
              </w:rPr>
              <w:t>DRP Multistate 1, LLC</w:t>
            </w:r>
          </w:p>
        </w:tc>
        <w:tc>
          <w:tcPr>
            <w:tcW w:type="dxa" w:w="1337"/>
          </w:tcPr>
          <w:p>
            <w:pPr>
              <w:spacing w:line="240" w:lineRule="auto"/>
            </w:pPr>
            <w:r/>
            <w:r>
              <w:rPr>
                <w:rFonts w:ascii="Garamond" w:hAnsi="Garamond"/>
                <w:sz w:val="16"/>
              </w:rPr>
              <w:t>DW Partners</w:t>
            </w:r>
          </w:p>
        </w:tc>
        <w:tc>
          <w:tcPr>
            <w:tcW w:type="dxa" w:w="1337"/>
          </w:tcPr>
          <w:p>
            <w:pPr>
              <w:spacing w:line="240" w:lineRule="auto"/>
            </w:pPr>
            <w:r/>
            <w:r>
              <w:rPr>
                <w:rFonts w:ascii="Garamond" w:hAnsi="Garamond"/>
                <w:sz w:val="16"/>
              </w:rPr>
              <w:t>Clayton</w:t>
            </w:r>
          </w:p>
        </w:tc>
        <w:tc>
          <w:tcPr>
            <w:tcW w:type="dxa" w:w="1337"/>
          </w:tcPr>
          <w:p>
            <w:pPr>
              <w:spacing w:line="240" w:lineRule="auto"/>
            </w:pPr>
            <w:r/>
            <w:r>
              <w:rPr>
                <w:rFonts w:ascii="Garamond" w:hAnsi="Garamond"/>
                <w:sz w:val="16"/>
              </w:rPr>
              <w:t>Heritage Creek Ph. 1B</w:t>
            </w:r>
          </w:p>
        </w:tc>
        <w:tc>
          <w:tcPr>
            <w:tcW w:type="dxa" w:w="1337"/>
          </w:tcPr>
          <w:p>
            <w:pPr>
              <w:spacing w:line="240" w:lineRule="auto"/>
              <w:jc w:val="right"/>
            </w:pPr>
            <w:r/>
            <w:r>
              <w:rPr>
                <w:rFonts w:ascii="Garamond" w:hAnsi="Garamond"/>
                <w:sz w:val="16"/>
              </w:rPr>
              <w:t>$3,034,584</w:t>
            </w:r>
          </w:p>
        </w:tc>
        <w:tc>
          <w:tcPr>
            <w:tcW w:type="dxa" w:w="1337"/>
          </w:tcPr>
          <w:p>
            <w:pPr>
              <w:spacing w:line="240" w:lineRule="auto"/>
              <w:jc w:val="right"/>
            </w:pPr>
            <w:r/>
            <w:r>
              <w:rPr>
                <w:rFonts w:ascii="Garamond" w:hAnsi="Garamond"/>
                <w:sz w:val="16"/>
              </w:rPr>
              <w:t>$2,579,396</w:t>
            </w:r>
          </w:p>
        </w:tc>
        <w:tc>
          <w:tcPr>
            <w:tcW w:type="dxa" w:w="1337"/>
          </w:tcPr>
          <w:p>
            <w:pPr>
              <w:spacing w:line="240" w:lineRule="auto"/>
              <w:jc w:val="right"/>
            </w:pPr>
            <w:r/>
            <w:r>
              <w:rPr>
                <w:rFonts w:ascii="Garamond" w:hAnsi="Garamond"/>
                <w:sz w:val="16"/>
              </w:rPr>
              <w:t>48</w:t>
            </w:r>
          </w:p>
        </w:tc>
      </w:tr>
      <w:tr>
        <w:tc>
          <w:tcPr>
            <w:tcW w:type="dxa" w:w="1337"/>
          </w:tcPr>
          <w:p>
            <w:pPr>
              <w:spacing w:line="240" w:lineRule="auto"/>
            </w:pPr>
            <w:r/>
            <w:r>
              <w:rPr>
                <w:rFonts w:ascii="Garamond" w:hAnsi="Garamond"/>
                <w:sz w:val="16"/>
              </w:rPr>
              <w:t>Brookfield Holdings (Cane Ridge) LLC</w:t>
            </w:r>
          </w:p>
        </w:tc>
        <w:tc>
          <w:tcPr>
            <w:tcW w:type="dxa" w:w="1337"/>
          </w:tcPr>
          <w:p>
            <w:pPr>
              <w:spacing w:line="240" w:lineRule="auto"/>
            </w:pPr>
            <w:r/>
            <w:r>
              <w:rPr>
                <w:rFonts w:ascii="Garamond" w:hAnsi="Garamond"/>
                <w:sz w:val="16"/>
              </w:rPr>
              <w:t>Brookfield Residential</w:t>
            </w:r>
          </w:p>
        </w:tc>
        <w:tc>
          <w:tcPr>
            <w:tcW w:type="dxa" w:w="1337"/>
          </w:tcPr>
          <w:p>
            <w:pPr>
              <w:spacing w:line="240" w:lineRule="auto"/>
            </w:pPr>
            <w:r/>
            <w:r>
              <w:rPr>
                <w:rFonts w:ascii="Garamond" w:hAnsi="Garamond"/>
                <w:sz w:val="16"/>
              </w:rPr>
              <w:t>Ashton Woods</w:t>
            </w:r>
          </w:p>
        </w:tc>
        <w:tc>
          <w:tcPr>
            <w:tcW w:type="dxa" w:w="1337"/>
          </w:tcPr>
          <w:p>
            <w:pPr>
              <w:spacing w:line="240" w:lineRule="auto"/>
            </w:pPr>
            <w:r/>
            <w:r>
              <w:rPr>
                <w:rFonts w:ascii="Garamond" w:hAnsi="Garamond"/>
                <w:sz w:val="16"/>
              </w:rPr>
              <w:t>Cedars of Cane Ridge</w:t>
            </w:r>
          </w:p>
        </w:tc>
        <w:tc>
          <w:tcPr>
            <w:tcW w:type="dxa" w:w="1337"/>
          </w:tcPr>
          <w:p>
            <w:pPr>
              <w:spacing w:line="240" w:lineRule="auto"/>
            </w:pPr>
            <w:r/>
            <w:r>
              <w:rPr>
                <w:rFonts w:ascii="Garamond" w:hAnsi="Garamond"/>
                <w:sz w:val="16"/>
              </w:rPr>
              <w:t>n/a</w:t>
            </w:r>
          </w:p>
        </w:tc>
        <w:tc>
          <w:tcPr>
            <w:tcW w:type="dxa" w:w="1337"/>
          </w:tcPr>
          <w:p>
            <w:pPr>
              <w:spacing w:line="240" w:lineRule="auto"/>
              <w:jc w:val="right"/>
            </w:pPr>
            <w:r/>
            <w:r>
              <w:rPr>
                <w:rFonts w:ascii="Garamond" w:hAnsi="Garamond"/>
                <w:sz w:val="16"/>
              </w:rPr>
              <w:t>$10,583,714</w:t>
            </w:r>
          </w:p>
        </w:tc>
        <w:tc>
          <w:tcPr>
            <w:tcW w:type="dxa" w:w="1337"/>
          </w:tcPr>
          <w:p>
            <w:pPr>
              <w:spacing w:line="240" w:lineRule="auto"/>
            </w:pPr>
            <w:r/>
            <w:r>
              <w:rPr>
                <w:rFonts w:ascii="Garamond" w:hAnsi="Garamond"/>
                <w:sz w:val="16"/>
              </w:rPr>
              <w:t>n/a</w:t>
            </w:r>
          </w:p>
        </w:tc>
      </w:tr>
      <w:tr>
        <w:tc>
          <w:tcPr>
            <w:tcW w:type="dxa" w:w="1337"/>
          </w:tcPr>
          <w:p>
            <w:pPr>
              <w:spacing w:line="240" w:lineRule="auto"/>
            </w:pPr>
            <w:r/>
            <w:r>
              <w:rPr>
                <w:rFonts w:ascii="Garamond" w:hAnsi="Garamond"/>
                <w:sz w:val="16"/>
              </w:rPr>
              <w:t>DRP TN 1, LLC</w:t>
            </w:r>
          </w:p>
        </w:tc>
        <w:tc>
          <w:tcPr>
            <w:tcW w:type="dxa" w:w="1337"/>
          </w:tcPr>
          <w:p>
            <w:pPr>
              <w:spacing w:line="240" w:lineRule="auto"/>
            </w:pPr>
            <w:r/>
            <w:r>
              <w:rPr>
                <w:rFonts w:ascii="Garamond" w:hAnsi="Garamond"/>
                <w:sz w:val="16"/>
              </w:rPr>
              <w:t>DW Partners</w:t>
            </w:r>
          </w:p>
        </w:tc>
        <w:tc>
          <w:tcPr>
            <w:tcW w:type="dxa" w:w="1337"/>
          </w:tcPr>
          <w:p>
            <w:pPr>
              <w:spacing w:line="240" w:lineRule="auto"/>
            </w:pPr>
            <w:r/>
            <w:r>
              <w:rPr>
                <w:rFonts w:ascii="Garamond" w:hAnsi="Garamond"/>
                <w:sz w:val="16"/>
              </w:rPr>
              <w:t>Beazer</w:t>
            </w:r>
          </w:p>
        </w:tc>
        <w:tc>
          <w:tcPr>
            <w:tcW w:type="dxa" w:w="1337"/>
          </w:tcPr>
          <w:p>
            <w:pPr>
              <w:spacing w:line="240" w:lineRule="auto"/>
            </w:pPr>
            <w:r/>
            <w:r>
              <w:rPr>
                <w:rFonts w:ascii="Garamond" w:hAnsi="Garamond"/>
                <w:sz w:val="16"/>
              </w:rPr>
              <w:t>Cameron Park</w:t>
            </w:r>
          </w:p>
        </w:tc>
        <w:tc>
          <w:tcPr>
            <w:tcW w:type="dxa" w:w="1337"/>
          </w:tcPr>
          <w:p>
            <w:pPr>
              <w:spacing w:line="240" w:lineRule="auto"/>
              <w:jc w:val="right"/>
            </w:pPr>
            <w:r/>
            <w:r>
              <w:rPr>
                <w:rFonts w:ascii="Garamond" w:hAnsi="Garamond"/>
                <w:sz w:val="16"/>
              </w:rPr>
              <w:t>$1,200,000</w:t>
            </w:r>
          </w:p>
        </w:tc>
        <w:tc>
          <w:tcPr>
            <w:tcW w:type="dxa" w:w="1337"/>
          </w:tcPr>
          <w:p>
            <w:pPr>
              <w:spacing w:line="240" w:lineRule="auto"/>
              <w:jc w:val="right"/>
            </w:pPr>
            <w:r/>
            <w:r>
              <w:rPr>
                <w:rFonts w:ascii="Garamond" w:hAnsi="Garamond"/>
                <w:sz w:val="16"/>
              </w:rPr>
              <w:t>$4,884,992</w:t>
            </w:r>
          </w:p>
        </w:tc>
        <w:tc>
          <w:tcPr>
            <w:tcW w:type="dxa" w:w="1337"/>
          </w:tcPr>
          <w:p>
            <w:pPr>
              <w:spacing w:line="240" w:lineRule="auto"/>
              <w:jc w:val="right"/>
            </w:pPr>
            <w:r/>
            <w:r>
              <w:rPr>
                <w:rFonts w:ascii="Garamond" w:hAnsi="Garamond"/>
                <w:sz w:val="16"/>
              </w:rPr>
              <w:t>351</w:t>
            </w:r>
          </w:p>
        </w:tc>
      </w:tr>
    </w:tbl>
    <w:p>
      <w:pPr>
        <w:spacing w:after="0"/>
      </w:pPr>
    </w:p>
    <w:p>
      <w:pPr>
        <w:spacing w:line="240" w:lineRule="auto" w:before="0" w:after="120"/>
      </w:pPr>
      <w:r>
        <w:rPr>
          <w:rFonts w:ascii="Garamond" w:hAnsi="Garamond"/>
          <w:i/>
          <w:sz w:val="19"/>
        </w:rPr>
        <w:t>Notes: Acquisition prices, takedown proceeds, and dates from the recorded deeds and option memoranda in the Davidson County Register of Deeds; per-instrument detail with deed-image URLs at https://nataliebaldacci.github.io/Who-Owns-Nashville/LandBank_Takedowns_Nashville.html. Hold to first takedown is the interval in days from the land bank's acquisition to its first recorded conveyance of a finished lot back to the builder. Takedown proceeds are the aggregate consideration across all recorded takedown deeds, not a per-lot margin; the banks acquired at different stages of entitlement, so the ratio of proceeds to acquisition price reflects the improvements funded during the hold as well as the land-value gain.</w:t>
      </w:r>
    </w:p>
    <w:p>
      <w:pPr>
        <w:spacing w:line="240" w:lineRule="auto" w:before="0" w:after="120"/>
      </w:pPr>
      <w:r>
        <w:rPr>
          <w:rFonts w:ascii="Garamond" w:hAnsi="Garamond"/>
          <w:b/>
          <w:sz w:val="19"/>
        </w:rPr>
        <w:t>Table A5:</w:t>
      </w:r>
      <w:r>
        <w:rPr>
          <w:rFonts w:ascii="Garamond" w:hAnsi="Garamond"/>
          <w:sz w:val="19"/>
        </w:rPr>
        <w:t xml:space="preserve"> Publicly traded homebuilders and land funds that disclose lot-option or land-banking programs, with EDGAR access.</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3120"/>
        <w:gridCol w:w="3120"/>
        <w:gridCol w:w="3120"/>
      </w:tblGrid>
      <w:tr>
        <w:tc>
          <w:tcPr>
            <w:tcW w:type="dxa" w:w="3120"/>
            <w:tcBorders>
              <w:bottom w:val="single" w:sz="4" w:color="000000"/>
            </w:tcBorders>
          </w:tcPr>
          <w:p>
            <w:pPr>
              <w:spacing w:line="240" w:lineRule="auto"/>
            </w:pPr>
            <w:r>
              <w:rPr>
                <w:b/>
              </w:rPr>
            </w:r>
            <w:r>
              <w:rPr>
                <w:rFonts w:ascii="Garamond" w:hAnsi="Garamond"/>
                <w:b/>
                <w:sz w:val="18"/>
              </w:rPr>
              <w:t>Company</w:t>
            </w:r>
          </w:p>
        </w:tc>
        <w:tc>
          <w:tcPr>
            <w:tcW w:type="dxa" w:w="3120"/>
            <w:tcBorders>
              <w:bottom w:val="single" w:sz="4" w:color="000000"/>
            </w:tcBorders>
          </w:tcPr>
          <w:p>
            <w:pPr>
              <w:spacing w:line="240" w:lineRule="auto"/>
            </w:pPr>
            <w:r>
              <w:rPr>
                <w:b/>
              </w:rPr>
            </w:r>
            <w:r>
              <w:rPr>
                <w:rFonts w:ascii="Garamond" w:hAnsi="Garamond"/>
                <w:b/>
                <w:sz w:val="18"/>
              </w:rPr>
              <w:t>Role</w:t>
            </w:r>
          </w:p>
        </w:tc>
        <w:tc>
          <w:tcPr>
            <w:tcW w:type="dxa" w:w="3120"/>
            <w:tcBorders>
              <w:bottom w:val="single" w:sz="4" w:color="000000"/>
            </w:tcBorders>
          </w:tcPr>
          <w:p>
            <w:pPr>
              <w:spacing w:line="240" w:lineRule="auto"/>
            </w:pPr>
            <w:r>
              <w:rPr>
                <w:b/>
              </w:rPr>
            </w:r>
            <w:r>
              <w:rPr>
                <w:rFonts w:ascii="Garamond" w:hAnsi="Garamond"/>
                <w:b/>
                <w:sz w:val="18"/>
              </w:rPr>
              <w:t>EDGAR</w:t>
            </w:r>
          </w:p>
        </w:tc>
      </w:tr>
      <w:tr>
        <w:tc>
          <w:tcPr>
            <w:tcW w:type="dxa" w:w="3120"/>
          </w:tcPr>
          <w:p>
            <w:pPr>
              <w:spacing w:line="240" w:lineRule="auto"/>
            </w:pPr>
            <w:r/>
            <w:r>
              <w:rPr>
                <w:rFonts w:ascii="Garamond" w:hAnsi="Garamond"/>
                <w:sz w:val="18"/>
              </w:rPr>
              <w:t>Lennar Corp.</w:t>
            </w:r>
          </w:p>
        </w:tc>
        <w:tc>
          <w:tcPr>
            <w:tcW w:type="dxa" w:w="3120"/>
          </w:tcPr>
          <w:p>
            <w:pPr>
              <w:spacing w:line="240" w:lineRule="auto"/>
            </w:pPr>
            <w:r/>
            <w:r>
              <w:rPr>
                <w:rFonts w:ascii="Garamond" w:hAnsi="Garamond"/>
                <w:sz w:val="18"/>
              </w:rPr>
              <w:t>Builder; sponsor of Millrose</w:t>
            </w:r>
          </w:p>
        </w:tc>
        <w:tc>
          <w:tcPr>
            <w:tcW w:type="dxa" w:w="3120"/>
          </w:tcPr>
          <w:p>
            <w:pPr>
              <w:spacing w:line="240" w:lineRule="auto"/>
            </w:pPr>
            <w:r/>
            <w:r>
              <w:rPr>
                <w:rFonts w:ascii="Garamond" w:hAnsi="Garamond"/>
                <w:sz w:val="18"/>
              </w:rPr>
              <w:t>EDGAR (https://www.sec.gov/cgi-bin/browse-edgar?action=getcompany&amp;CIK=0000920760&amp;type=10-K)</w:t>
            </w:r>
          </w:p>
        </w:tc>
      </w:tr>
      <w:tr>
        <w:tc>
          <w:tcPr>
            <w:tcW w:type="dxa" w:w="3120"/>
          </w:tcPr>
          <w:p>
            <w:pPr>
              <w:spacing w:line="240" w:lineRule="auto"/>
            </w:pPr>
            <w:r/>
            <w:r>
              <w:rPr>
                <w:rFonts w:ascii="Garamond" w:hAnsi="Garamond"/>
                <w:sz w:val="18"/>
              </w:rPr>
              <w:t>D.R. Horton, Inc.</w:t>
            </w:r>
          </w:p>
        </w:tc>
        <w:tc>
          <w:tcPr>
            <w:tcW w:type="dxa" w:w="3120"/>
          </w:tcPr>
          <w:p>
            <w:pPr>
              <w:spacing w:line="240" w:lineRule="auto"/>
            </w:pPr>
            <w:r/>
            <w:r>
              <w:rPr>
                <w:rFonts w:ascii="Garamond" w:hAnsi="Garamond"/>
                <w:sz w:val="18"/>
              </w:rPr>
              <w:t>Builder; controls Forestar</w:t>
            </w:r>
          </w:p>
        </w:tc>
        <w:tc>
          <w:tcPr>
            <w:tcW w:type="dxa" w:w="3120"/>
          </w:tcPr>
          <w:p>
            <w:pPr>
              <w:spacing w:line="240" w:lineRule="auto"/>
            </w:pPr>
            <w:r/>
            <w:r>
              <w:rPr>
                <w:rFonts w:ascii="Garamond" w:hAnsi="Garamond"/>
                <w:sz w:val="18"/>
              </w:rPr>
              <w:t>EDGAR (https://www.sec.gov/cgi-bin/browse-edgar?action=getcompany&amp;CIK=0000882184&amp;type=10-K)</w:t>
            </w:r>
          </w:p>
        </w:tc>
      </w:tr>
      <w:tr>
        <w:tc>
          <w:tcPr>
            <w:tcW w:type="dxa" w:w="3120"/>
          </w:tcPr>
          <w:p>
            <w:pPr>
              <w:spacing w:line="240" w:lineRule="auto"/>
            </w:pPr>
            <w:r/>
            <w:r>
              <w:rPr>
                <w:rFonts w:ascii="Garamond" w:hAnsi="Garamond"/>
                <w:sz w:val="18"/>
              </w:rPr>
              <w:t>PulteGroup, Inc.</w:t>
            </w:r>
          </w:p>
        </w:tc>
        <w:tc>
          <w:tcPr>
            <w:tcW w:type="dxa" w:w="3120"/>
          </w:tcPr>
          <w:p>
            <w:pPr>
              <w:spacing w:line="240" w:lineRule="auto"/>
            </w:pPr>
            <w:r/>
            <w:r>
              <w:rPr>
                <w:rFonts w:ascii="Garamond" w:hAnsi="Garamond"/>
                <w:sz w:val="18"/>
              </w:rPr>
              <w:t>Builder</w:t>
            </w:r>
          </w:p>
        </w:tc>
        <w:tc>
          <w:tcPr>
            <w:tcW w:type="dxa" w:w="3120"/>
          </w:tcPr>
          <w:p>
            <w:pPr>
              <w:spacing w:line="240" w:lineRule="auto"/>
            </w:pPr>
            <w:r/>
            <w:r>
              <w:rPr>
                <w:rFonts w:ascii="Garamond" w:hAnsi="Garamond"/>
                <w:sz w:val="18"/>
              </w:rPr>
              <w:t>EDGAR (https://www.sec.gov/cgi-bin/browse-edgar?action=getcompany&amp;CIK=0000822416&amp;type=10-K)</w:t>
            </w:r>
          </w:p>
        </w:tc>
      </w:tr>
      <w:tr>
        <w:tc>
          <w:tcPr>
            <w:tcW w:type="dxa" w:w="3120"/>
          </w:tcPr>
          <w:p>
            <w:pPr>
              <w:spacing w:line="240" w:lineRule="auto"/>
            </w:pPr>
            <w:r/>
            <w:r>
              <w:rPr>
                <w:rFonts w:ascii="Garamond" w:hAnsi="Garamond"/>
                <w:sz w:val="18"/>
              </w:rPr>
              <w:t>Beazer Homes USA, Inc.</w:t>
            </w:r>
          </w:p>
        </w:tc>
        <w:tc>
          <w:tcPr>
            <w:tcW w:type="dxa" w:w="3120"/>
          </w:tcPr>
          <w:p>
            <w:pPr>
              <w:spacing w:line="240" w:lineRule="auto"/>
            </w:pPr>
            <w:r/>
            <w:r>
              <w:rPr>
                <w:rFonts w:ascii="Garamond" w:hAnsi="Garamond"/>
                <w:sz w:val="18"/>
              </w:rPr>
              <w:t>Builder</w:t>
            </w:r>
          </w:p>
        </w:tc>
        <w:tc>
          <w:tcPr>
            <w:tcW w:type="dxa" w:w="3120"/>
          </w:tcPr>
          <w:p>
            <w:pPr>
              <w:spacing w:line="240" w:lineRule="auto"/>
            </w:pPr>
            <w:r/>
            <w:r>
              <w:rPr>
                <w:rFonts w:ascii="Garamond" w:hAnsi="Garamond"/>
                <w:sz w:val="18"/>
              </w:rPr>
              <w:t>EDGAR (https://www.sec.gov/cgi-bin/browse-edgar?action=getcompany&amp;CIK=0000915840&amp;type=10-K)</w:t>
            </w:r>
          </w:p>
        </w:tc>
      </w:tr>
      <w:tr>
        <w:tc>
          <w:tcPr>
            <w:tcW w:type="dxa" w:w="3120"/>
          </w:tcPr>
          <w:p>
            <w:pPr>
              <w:spacing w:line="240" w:lineRule="auto"/>
            </w:pPr>
            <w:r/>
            <w:r>
              <w:rPr>
                <w:rFonts w:ascii="Garamond" w:hAnsi="Garamond"/>
                <w:sz w:val="18"/>
              </w:rPr>
              <w:t>Meritage Homes Corp.</w:t>
            </w:r>
          </w:p>
        </w:tc>
        <w:tc>
          <w:tcPr>
            <w:tcW w:type="dxa" w:w="3120"/>
          </w:tcPr>
          <w:p>
            <w:pPr>
              <w:spacing w:line="240" w:lineRule="auto"/>
            </w:pPr>
            <w:r/>
            <w:r>
              <w:rPr>
                <w:rFonts w:ascii="Garamond" w:hAnsi="Garamond"/>
                <w:sz w:val="18"/>
              </w:rPr>
              <w:t>Builder</w:t>
            </w:r>
          </w:p>
        </w:tc>
        <w:tc>
          <w:tcPr>
            <w:tcW w:type="dxa" w:w="3120"/>
          </w:tcPr>
          <w:p>
            <w:pPr>
              <w:spacing w:line="240" w:lineRule="auto"/>
            </w:pPr>
            <w:r/>
            <w:r>
              <w:rPr>
                <w:rFonts w:ascii="Garamond" w:hAnsi="Garamond"/>
                <w:sz w:val="18"/>
              </w:rPr>
              <w:t>EDGAR (https://www.sec.gov/cgi-bin/browse-edgar?action=getcompany&amp;CIK=0000833079&amp;type=10-K)</w:t>
            </w:r>
          </w:p>
        </w:tc>
      </w:tr>
      <w:tr>
        <w:tc>
          <w:tcPr>
            <w:tcW w:type="dxa" w:w="3120"/>
          </w:tcPr>
          <w:p>
            <w:pPr>
              <w:spacing w:line="240" w:lineRule="auto"/>
            </w:pPr>
            <w:r/>
            <w:r>
              <w:rPr>
                <w:rFonts w:ascii="Garamond" w:hAnsi="Garamond"/>
                <w:sz w:val="18"/>
              </w:rPr>
              <w:t>NVR, Inc.</w:t>
            </w:r>
          </w:p>
        </w:tc>
        <w:tc>
          <w:tcPr>
            <w:tcW w:type="dxa" w:w="3120"/>
          </w:tcPr>
          <w:p>
            <w:pPr>
              <w:spacing w:line="240" w:lineRule="auto"/>
            </w:pPr>
            <w:r/>
            <w:r>
              <w:rPr>
                <w:rFonts w:ascii="Garamond" w:hAnsi="Garamond"/>
                <w:sz w:val="18"/>
              </w:rPr>
              <w:t>Builder (option-only model)</w:t>
            </w:r>
          </w:p>
        </w:tc>
        <w:tc>
          <w:tcPr>
            <w:tcW w:type="dxa" w:w="3120"/>
          </w:tcPr>
          <w:p>
            <w:pPr>
              <w:spacing w:line="240" w:lineRule="auto"/>
            </w:pPr>
            <w:r/>
            <w:r>
              <w:rPr>
                <w:rFonts w:ascii="Garamond" w:hAnsi="Garamond"/>
                <w:sz w:val="18"/>
              </w:rPr>
              <w:t>EDGAR (https://www.sec.gov/cgi-bin/browse-edgar?action=getcompany&amp;CIK=0000906163&amp;type=10-K)</w:t>
            </w:r>
          </w:p>
        </w:tc>
      </w:tr>
      <w:tr>
        <w:tc>
          <w:tcPr>
            <w:tcW w:type="dxa" w:w="3120"/>
          </w:tcPr>
          <w:p>
            <w:pPr>
              <w:spacing w:line="240" w:lineRule="auto"/>
            </w:pPr>
            <w:r/>
            <w:r>
              <w:rPr>
                <w:rFonts w:ascii="Garamond" w:hAnsi="Garamond"/>
                <w:sz w:val="18"/>
              </w:rPr>
              <w:t>Dream Finders Homes, Inc.</w:t>
            </w:r>
          </w:p>
        </w:tc>
        <w:tc>
          <w:tcPr>
            <w:tcW w:type="dxa" w:w="3120"/>
          </w:tcPr>
          <w:p>
            <w:pPr>
              <w:spacing w:line="240" w:lineRule="auto"/>
            </w:pPr>
            <w:r/>
            <w:r>
              <w:rPr>
                <w:rFonts w:ascii="Garamond" w:hAnsi="Garamond"/>
                <w:sz w:val="18"/>
              </w:rPr>
              <w:t>Builder (no-recourse land-bank disclosure)</w:t>
            </w:r>
          </w:p>
        </w:tc>
        <w:tc>
          <w:tcPr>
            <w:tcW w:type="dxa" w:w="3120"/>
          </w:tcPr>
          <w:p>
            <w:pPr>
              <w:spacing w:line="240" w:lineRule="auto"/>
            </w:pPr>
            <w:r/>
            <w:r>
              <w:rPr>
                <w:rFonts w:ascii="Garamond" w:hAnsi="Garamond"/>
                <w:sz w:val="18"/>
              </w:rPr>
              <w:t>EDGAR (https://www.sec.gov/cgi-bin/browse-edgar?action=getcompany&amp;CIK=0001830188&amp;type=10-K)</w:t>
            </w:r>
          </w:p>
        </w:tc>
      </w:tr>
      <w:tr>
        <w:tc>
          <w:tcPr>
            <w:tcW w:type="dxa" w:w="3120"/>
          </w:tcPr>
          <w:p>
            <w:pPr>
              <w:spacing w:line="240" w:lineRule="auto"/>
            </w:pPr>
            <w:r/>
            <w:r>
              <w:rPr>
                <w:rFonts w:ascii="Garamond" w:hAnsi="Garamond"/>
                <w:sz w:val="18"/>
              </w:rPr>
              <w:t>Forestar Group Inc.</w:t>
            </w:r>
          </w:p>
        </w:tc>
        <w:tc>
          <w:tcPr>
            <w:tcW w:type="dxa" w:w="3120"/>
          </w:tcPr>
          <w:p>
            <w:pPr>
              <w:spacing w:line="240" w:lineRule="auto"/>
            </w:pPr>
            <w:r/>
            <w:r>
              <w:rPr>
                <w:rFonts w:ascii="Garamond" w:hAnsi="Garamond"/>
                <w:sz w:val="18"/>
              </w:rPr>
              <w:t>Builder-affiliated land developer (D.R. Horton)</w:t>
            </w:r>
          </w:p>
        </w:tc>
        <w:tc>
          <w:tcPr>
            <w:tcW w:type="dxa" w:w="3120"/>
          </w:tcPr>
          <w:p>
            <w:pPr>
              <w:spacing w:line="240" w:lineRule="auto"/>
            </w:pPr>
            <w:r/>
            <w:r>
              <w:rPr>
                <w:rFonts w:ascii="Garamond" w:hAnsi="Garamond"/>
                <w:sz w:val="18"/>
              </w:rPr>
              <w:t>EDGAR (https://www.sec.gov/cgi-bin/browse-edgar?action=getcompany&amp;CIK=0001406587&amp;type=10-K)</w:t>
            </w:r>
          </w:p>
        </w:tc>
      </w:tr>
      <w:tr>
        <w:tc>
          <w:tcPr>
            <w:tcW w:type="dxa" w:w="3120"/>
          </w:tcPr>
          <w:p>
            <w:pPr>
              <w:spacing w:line="240" w:lineRule="auto"/>
            </w:pPr>
            <w:r/>
            <w:r>
              <w:rPr>
                <w:rFonts w:ascii="Garamond" w:hAnsi="Garamond"/>
                <w:sz w:val="18"/>
              </w:rPr>
              <w:t>Millrose Properties, Inc.</w:t>
            </w:r>
          </w:p>
        </w:tc>
        <w:tc>
          <w:tcPr>
            <w:tcW w:type="dxa" w:w="3120"/>
          </w:tcPr>
          <w:p>
            <w:pPr>
              <w:spacing w:line="240" w:lineRule="auto"/>
            </w:pPr>
            <w:r/>
            <w:r>
              <w:rPr>
                <w:rFonts w:ascii="Garamond" w:hAnsi="Garamond"/>
                <w:sz w:val="18"/>
              </w:rPr>
              <w:t>Builder-sponsored land REIT (Lennar / Kennedy Lewis)</w:t>
            </w:r>
          </w:p>
        </w:tc>
        <w:tc>
          <w:tcPr>
            <w:tcW w:type="dxa" w:w="3120"/>
          </w:tcPr>
          <w:p>
            <w:pPr>
              <w:spacing w:line="240" w:lineRule="auto"/>
            </w:pPr>
            <w:r/>
            <w:r>
              <w:rPr>
                <w:rFonts w:ascii="Garamond" w:hAnsi="Garamond"/>
                <w:sz w:val="18"/>
              </w:rPr>
              <w:t>EDGAR (https://www.sec.gov/cgi-bin/browse-edgar?action=getcompany&amp;company=millrose&amp;type=S-11)</w:t>
            </w:r>
          </w:p>
        </w:tc>
      </w:tr>
      <w:tr>
        <w:tc>
          <w:tcPr>
            <w:tcW w:type="dxa" w:w="3120"/>
          </w:tcPr>
          <w:p>
            <w:pPr>
              <w:spacing w:line="240" w:lineRule="auto"/>
            </w:pPr>
            <w:r/>
            <w:r>
              <w:rPr>
                <w:rFonts w:ascii="Garamond" w:hAnsi="Garamond"/>
                <w:sz w:val="18"/>
              </w:rPr>
              <w:t>Taylor Morrison Home Corp.</w:t>
            </w:r>
          </w:p>
        </w:tc>
        <w:tc>
          <w:tcPr>
            <w:tcW w:type="dxa" w:w="3120"/>
          </w:tcPr>
          <w:p>
            <w:pPr>
              <w:spacing w:line="240" w:lineRule="auto"/>
            </w:pPr>
            <w:r/>
            <w:r>
              <w:rPr>
                <w:rFonts w:ascii="Garamond" w:hAnsi="Garamond"/>
                <w:sz w:val="18"/>
              </w:rPr>
              <w:t>Builder; 10,002 lots land-banked, $3B Kennedy Lewis facility</w:t>
            </w:r>
          </w:p>
        </w:tc>
        <w:tc>
          <w:tcPr>
            <w:tcW w:type="dxa" w:w="3120"/>
          </w:tcPr>
          <w:p>
            <w:pPr>
              <w:spacing w:line="240" w:lineRule="auto"/>
            </w:pPr>
            <w:r/>
            <w:r>
              <w:rPr>
                <w:rFonts w:ascii="Garamond" w:hAnsi="Garamond"/>
                <w:sz w:val="18"/>
              </w:rPr>
              <w:t>EDGAR (https://www.sec.gov/cgi-bin/browse-edgar?action=getcompany&amp;CIK=0001562476&amp;type=10-Q)</w:t>
            </w:r>
          </w:p>
        </w:tc>
      </w:tr>
      <w:tr>
        <w:tc>
          <w:tcPr>
            <w:tcW w:type="dxa" w:w="3120"/>
          </w:tcPr>
          <w:p>
            <w:pPr>
              <w:spacing w:line="240" w:lineRule="auto"/>
            </w:pPr>
            <w:r/>
            <w:r>
              <w:rPr>
                <w:rFonts w:ascii="Garamond" w:hAnsi="Garamond"/>
                <w:sz w:val="18"/>
              </w:rPr>
              <w:t>United Homes Group, Inc.</w:t>
            </w:r>
          </w:p>
        </w:tc>
        <w:tc>
          <w:tcPr>
            <w:tcW w:type="dxa" w:w="3120"/>
          </w:tcPr>
          <w:p>
            <w:pPr>
              <w:spacing w:line="240" w:lineRule="auto"/>
            </w:pPr>
            <w:r/>
            <w:r>
              <w:rPr>
                <w:rFonts w:ascii="Garamond" w:hAnsi="Garamond"/>
                <w:sz w:val="18"/>
              </w:rPr>
              <w:t>Builder; land-banking disclosure (DEFM14C)</w:t>
            </w:r>
          </w:p>
        </w:tc>
        <w:tc>
          <w:tcPr>
            <w:tcW w:type="dxa" w:w="3120"/>
          </w:tcPr>
          <w:p>
            <w:pPr>
              <w:spacing w:line="240" w:lineRule="auto"/>
            </w:pPr>
            <w:r/>
            <w:r>
              <w:rPr>
                <w:rFonts w:ascii="Garamond" w:hAnsi="Garamond"/>
                <w:sz w:val="18"/>
              </w:rPr>
              <w:t>EDGAR (https://www.sec.gov/cgi-bin/browse-edgar?action=getcompany&amp;CIK=0001830188&amp;type=DEFM14C)</w:t>
            </w:r>
          </w:p>
        </w:tc>
      </w:tr>
      <w:tr>
        <w:tc>
          <w:tcPr>
            <w:tcW w:type="dxa" w:w="3120"/>
          </w:tcPr>
          <w:p>
            <w:pPr>
              <w:spacing w:line="240" w:lineRule="auto"/>
            </w:pPr>
            <w:r/>
            <w:r>
              <w:rPr>
                <w:rFonts w:ascii="Garamond" w:hAnsi="Garamond"/>
                <w:sz w:val="18"/>
              </w:rPr>
              <w:t>Terra Capital Group, Inc.</w:t>
            </w:r>
          </w:p>
        </w:tc>
        <w:tc>
          <w:tcPr>
            <w:tcW w:type="dxa" w:w="3120"/>
          </w:tcPr>
          <w:p>
            <w:pPr>
              <w:spacing w:line="240" w:lineRule="auto"/>
            </w:pPr>
            <w:r/>
            <w:r>
              <w:rPr>
                <w:rFonts w:ascii="Garamond" w:hAnsi="Garamond"/>
                <w:sz w:val="18"/>
              </w:rPr>
              <w:t>Land banker (office recurs in Davidson deeds)</w:t>
            </w:r>
          </w:p>
        </w:tc>
        <w:tc>
          <w:tcPr>
            <w:tcW w:type="dxa" w:w="3120"/>
          </w:tcPr>
          <w:p>
            <w:pPr>
              <w:spacing w:line="240" w:lineRule="auto"/>
            </w:pPr>
            <w:r/>
            <w:r>
              <w:rPr>
                <w:rFonts w:ascii="Garamond" w:hAnsi="Garamond"/>
                <w:sz w:val="18"/>
              </w:rPr>
              <w:t>EDGAR (https://www.sec.gov/cgi-bin/browse-edgar?action=getcompany&amp;CIK=0001235373)</w:t>
            </w:r>
          </w:p>
        </w:tc>
      </w:tr>
      <w:tr>
        <w:tc>
          <w:tcPr>
            <w:tcW w:type="dxa" w:w="3120"/>
          </w:tcPr>
          <w:p>
            <w:pPr>
              <w:spacing w:line="240" w:lineRule="auto"/>
            </w:pPr>
            <w:r/>
            <w:r>
              <w:rPr>
                <w:rFonts w:ascii="Garamond" w:hAnsi="Garamond"/>
                <w:sz w:val="18"/>
              </w:rPr>
              <w:t>Hovnanian Enterprises, Inc.</w:t>
            </w:r>
          </w:p>
        </w:tc>
        <w:tc>
          <w:tcPr>
            <w:tcW w:type="dxa" w:w="3120"/>
          </w:tcPr>
          <w:p>
            <w:pPr>
              <w:spacing w:line="240" w:lineRule="auto"/>
            </w:pPr>
            <w:r/>
            <w:r>
              <w:rPr>
                <w:rFonts w:ascii="Garamond" w:hAnsi="Garamond"/>
                <w:sz w:val="18"/>
              </w:rPr>
              <w:t>Builder; land-banking agreements (DEF 14A)</w:t>
            </w:r>
          </w:p>
        </w:tc>
        <w:tc>
          <w:tcPr>
            <w:tcW w:type="dxa" w:w="3120"/>
          </w:tcPr>
          <w:p>
            <w:pPr>
              <w:spacing w:line="240" w:lineRule="auto"/>
            </w:pPr>
            <w:r/>
            <w:r>
              <w:rPr>
                <w:rFonts w:ascii="Garamond" w:hAnsi="Garamond"/>
                <w:sz w:val="18"/>
              </w:rPr>
              <w:t>EDGAR (https://www.sec.gov/cgi-bin/browse-edgar?action=getcompany&amp;company=hovnanian&amp;type=10-K)</w:t>
            </w:r>
          </w:p>
        </w:tc>
      </w:tr>
      <w:tr>
        <w:tc>
          <w:tcPr>
            <w:tcW w:type="dxa" w:w="3120"/>
          </w:tcPr>
          <w:p>
            <w:pPr>
              <w:spacing w:line="240" w:lineRule="auto"/>
            </w:pPr>
            <w:r/>
            <w:r>
              <w:rPr>
                <w:rFonts w:ascii="Garamond" w:hAnsi="Garamond"/>
                <w:sz w:val="18"/>
              </w:rPr>
              <w:t>Nashville Land Fund, Ltd.</w:t>
            </w:r>
          </w:p>
        </w:tc>
        <w:tc>
          <w:tcPr>
            <w:tcW w:type="dxa" w:w="3120"/>
          </w:tcPr>
          <w:p>
            <w:pPr>
              <w:spacing w:line="240" w:lineRule="auto"/>
            </w:pPr>
            <w:r/>
            <w:r>
              <w:rPr>
                <w:rFonts w:ascii="Garamond" w:hAnsi="Garamond"/>
                <w:sz w:val="18"/>
              </w:rPr>
              <w:t>Named land fund</w:t>
            </w:r>
          </w:p>
        </w:tc>
        <w:tc>
          <w:tcPr>
            <w:tcW w:type="dxa" w:w="3120"/>
          </w:tcPr>
          <w:p>
            <w:pPr>
              <w:spacing w:line="240" w:lineRule="auto"/>
            </w:pPr>
            <w:r/>
            <w:r>
              <w:rPr>
                <w:rFonts w:ascii="Garamond" w:hAnsi="Garamond"/>
                <w:sz w:val="18"/>
              </w:rPr>
              <w:t>EDGAR (https://www.sec.gov/cgi-bin/browse-edgar?action=getcompany&amp;CIK=0000793935)</w:t>
            </w:r>
          </w:p>
        </w:tc>
      </w:tr>
    </w:tbl>
    <w:p>
      <w:pPr>
        <w:spacing w:after="0"/>
      </w:pPr>
    </w:p>
    <w:p>
      <w:pPr>
        <w:spacing w:line="240" w:lineRule="auto" w:before="0" w:after="120"/>
      </w:pPr>
      <w:r>
        <w:rPr>
          <w:rFonts w:ascii="Garamond" w:hAnsi="Garamond"/>
          <w:i/>
          <w:sz w:val="19"/>
        </w:rPr>
        <w:t>Notes: A full-text EDGAR search for "land bank" surfaces these filers and roughly 270 filings, listed in the online data appendix. EDGAR full-text search, https://efts.sec.gov/LATEST/search-index?q=%22land+bank%22. The private capital funds behind the Davidson option vehicles (DW Partners, Kennedy Lewis, TPG Angelo Gordon, Brookfield, Domain, Värde Partners) disclose through fund filings and press releases rather than builder 10-Ks; see the source list in the online data appendix.</w:t>
      </w:r>
    </w:p>
    <w:p>
      <w:pPr>
        <w:pStyle w:val="Heading1"/>
        <w:spacing w:before="360"/>
      </w:pPr>
      <w:r>
        <w:t>APPENDIX B: VACANT HOLDINGS, HOLD DURATION, AND MARKUP</w:t>
      </w:r>
    </w:p>
    <w:p>
      <w:pPr>
        <w:spacing w:line="240" w:lineRule="auto" w:before="0" w:after="120"/>
      </w:pPr>
      <w:r>
        <w:rPr>
          <w:rFonts w:ascii="Garamond" w:hAnsi="Garamond"/>
          <w:b/>
          <w:sz w:val="19"/>
        </w:rPr>
        <w:t>Table B1:</w:t>
      </w:r>
      <w:r>
        <w:rPr>
          <w:rFonts w:ascii="Garamond" w:hAnsi="Garamond"/>
          <w:sz w:val="19"/>
        </w:rPr>
        <w:t xml:space="preserve"> Out-of-state entities holding Davidson land in fee, beyond the recorded option vehicles of Table A1, ranked by acreage held. Each holder links to its recorded acquisition deed.</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bottom w:val="single" w:sz="4" w:color="000000"/>
            </w:tcBorders>
          </w:tcPr>
          <w:p>
            <w:pPr>
              <w:spacing w:line="240" w:lineRule="auto"/>
            </w:pPr>
            <w:r>
              <w:rPr>
                <w:b/>
              </w:rPr>
            </w:r>
            <w:r>
              <w:rPr>
                <w:rFonts w:ascii="Garamond" w:hAnsi="Garamond"/>
                <w:b/>
                <w:sz w:val="18"/>
              </w:rPr>
              <w:t>Holder</w:t>
            </w:r>
          </w:p>
        </w:tc>
        <w:tc>
          <w:tcPr>
            <w:tcW w:type="dxa" w:w="2340"/>
            <w:tcBorders>
              <w:bottom w:val="single" w:sz="4" w:color="000000"/>
            </w:tcBorders>
          </w:tcPr>
          <w:p>
            <w:pPr>
              <w:spacing w:line="240" w:lineRule="auto"/>
            </w:pPr>
            <w:r>
              <w:rPr>
                <w:b/>
              </w:rPr>
            </w:r>
            <w:r>
              <w:rPr>
                <w:rFonts w:ascii="Garamond" w:hAnsi="Garamond"/>
                <w:b/>
                <w:sz w:val="18"/>
              </w:rPr>
              <w:t>Mailing state</w:t>
            </w:r>
          </w:p>
        </w:tc>
        <w:tc>
          <w:tcPr>
            <w:tcW w:type="dxa" w:w="2340"/>
            <w:tcBorders>
              <w:bottom w:val="single" w:sz="4" w:color="000000"/>
            </w:tcBorders>
          </w:tcPr>
          <w:p>
            <w:pPr>
              <w:spacing w:line="240" w:lineRule="auto"/>
            </w:pPr>
            <w:r>
              <w:rPr>
                <w:b/>
              </w:rPr>
            </w:r>
            <w:r>
              <w:rPr>
                <w:rFonts w:ascii="Garamond" w:hAnsi="Garamond"/>
                <w:b/>
                <w:sz w:val="18"/>
              </w:rPr>
              <w:t>Acres</w:t>
            </w:r>
          </w:p>
        </w:tc>
        <w:tc>
          <w:tcPr>
            <w:tcW w:type="dxa" w:w="2340"/>
            <w:tcBorders>
              <w:bottom w:val="single" w:sz="4" w:color="000000"/>
            </w:tcBorders>
          </w:tcPr>
          <w:p>
            <w:pPr>
              <w:spacing w:line="240" w:lineRule="auto"/>
            </w:pPr>
            <w:r>
              <w:rPr>
                <w:b/>
              </w:rPr>
            </w:r>
            <w:r>
              <w:rPr>
                <w:rFonts w:ascii="Garamond" w:hAnsi="Garamond"/>
                <w:b/>
                <w:sz w:val="18"/>
              </w:rPr>
              <w:t>Parcels</w:t>
            </w:r>
          </w:p>
        </w:tc>
      </w:tr>
      <w:tr>
        <w:tc>
          <w:tcPr>
            <w:tcW w:type="dxa" w:w="2340"/>
          </w:tcPr>
          <w:p>
            <w:pPr>
              <w:spacing w:line="240" w:lineRule="auto"/>
            </w:pPr>
            <w:r/>
            <w:r>
              <w:rPr>
                <w:rFonts w:ascii="Garamond" w:hAnsi="Garamond"/>
                <w:sz w:val="18"/>
              </w:rPr>
              <w:t>BSL Land Holdings, LLC (https://www.davidsonportal.com/gis/file.php?file=202210140112779)</w:t>
            </w:r>
          </w:p>
        </w:tc>
        <w:tc>
          <w:tcPr>
            <w:tcW w:type="dxa" w:w="2340"/>
          </w:tcPr>
          <w:p>
            <w:pPr>
              <w:spacing w:line="240" w:lineRule="auto"/>
            </w:pPr>
            <w:r/>
            <w:r>
              <w:rPr>
                <w:rFonts w:ascii="Garamond" w:hAnsi="Garamond"/>
                <w:sz w:val="18"/>
              </w:rPr>
              <w:t>NC</w:t>
            </w:r>
          </w:p>
        </w:tc>
        <w:tc>
          <w:tcPr>
            <w:tcW w:type="dxa" w:w="2340"/>
          </w:tcPr>
          <w:p>
            <w:pPr>
              <w:spacing w:line="240" w:lineRule="auto"/>
              <w:jc w:val="right"/>
            </w:pPr>
            <w:r/>
            <w:r>
              <w:rPr>
                <w:rFonts w:ascii="Garamond" w:hAnsi="Garamond"/>
                <w:sz w:val="18"/>
              </w:rPr>
              <w:t>184.0</w:t>
            </w:r>
          </w:p>
        </w:tc>
        <w:tc>
          <w:tcPr>
            <w:tcW w:type="dxa" w:w="2340"/>
          </w:tcPr>
          <w:p>
            <w:pPr>
              <w:spacing w:line="240" w:lineRule="auto"/>
              <w:jc w:val="right"/>
            </w:pPr>
            <w:r/>
            <w:r>
              <w:rPr>
                <w:rFonts w:ascii="Garamond" w:hAnsi="Garamond"/>
                <w:sz w:val="18"/>
              </w:rPr>
              <w:t>1</w:t>
            </w:r>
          </w:p>
        </w:tc>
      </w:tr>
      <w:tr>
        <w:tc>
          <w:tcPr>
            <w:tcW w:type="dxa" w:w="2340"/>
          </w:tcPr>
          <w:p>
            <w:pPr>
              <w:spacing w:line="240" w:lineRule="auto"/>
            </w:pPr>
            <w:r/>
            <w:r>
              <w:rPr>
                <w:rFonts w:ascii="Garamond" w:hAnsi="Garamond"/>
                <w:sz w:val="18"/>
              </w:rPr>
              <w:t>Airpark Holdings GP (https://www.davidsonportal.com/gis/file.php?file=202307200056077)</w:t>
            </w:r>
          </w:p>
        </w:tc>
        <w:tc>
          <w:tcPr>
            <w:tcW w:type="dxa" w:w="2340"/>
          </w:tcPr>
          <w:p>
            <w:pPr>
              <w:spacing w:line="240" w:lineRule="auto"/>
            </w:pPr>
            <w:r/>
            <w:r>
              <w:rPr>
                <w:rFonts w:ascii="Garamond" w:hAnsi="Garamond"/>
                <w:sz w:val="18"/>
              </w:rPr>
              <w:t>MS</w:t>
            </w:r>
          </w:p>
        </w:tc>
        <w:tc>
          <w:tcPr>
            <w:tcW w:type="dxa" w:w="2340"/>
          </w:tcPr>
          <w:p>
            <w:pPr>
              <w:spacing w:line="240" w:lineRule="auto"/>
              <w:jc w:val="right"/>
            </w:pPr>
            <w:r/>
            <w:r>
              <w:rPr>
                <w:rFonts w:ascii="Garamond" w:hAnsi="Garamond"/>
                <w:sz w:val="18"/>
              </w:rPr>
              <w:t>73.0</w:t>
            </w:r>
          </w:p>
        </w:tc>
        <w:tc>
          <w:tcPr>
            <w:tcW w:type="dxa" w:w="2340"/>
          </w:tcPr>
          <w:p>
            <w:pPr>
              <w:spacing w:line="240" w:lineRule="auto"/>
              <w:jc w:val="right"/>
            </w:pPr>
            <w:r/>
            <w:r>
              <w:rPr>
                <w:rFonts w:ascii="Garamond" w:hAnsi="Garamond"/>
                <w:sz w:val="18"/>
              </w:rPr>
              <w:t>3</w:t>
            </w:r>
          </w:p>
        </w:tc>
      </w:tr>
      <w:tr>
        <w:tc>
          <w:tcPr>
            <w:tcW w:type="dxa" w:w="2340"/>
          </w:tcPr>
          <w:p>
            <w:pPr>
              <w:spacing w:line="240" w:lineRule="auto"/>
            </w:pPr>
            <w:r/>
            <w:r>
              <w:rPr>
                <w:rFonts w:ascii="Garamond" w:hAnsi="Garamond"/>
                <w:sz w:val="18"/>
              </w:rPr>
              <w:t>Hobson Pike Land, LLC (https://www.davidsonportal.com/gis/file.php?file=202005260054073)</w:t>
            </w:r>
          </w:p>
        </w:tc>
        <w:tc>
          <w:tcPr>
            <w:tcW w:type="dxa" w:w="2340"/>
          </w:tcPr>
          <w:p>
            <w:pPr>
              <w:spacing w:line="240" w:lineRule="auto"/>
            </w:pPr>
            <w:r/>
            <w:r>
              <w:rPr>
                <w:rFonts w:ascii="Garamond" w:hAnsi="Garamond"/>
                <w:sz w:val="18"/>
              </w:rPr>
              <w:t>IL</w:t>
            </w:r>
          </w:p>
        </w:tc>
        <w:tc>
          <w:tcPr>
            <w:tcW w:type="dxa" w:w="2340"/>
          </w:tcPr>
          <w:p>
            <w:pPr>
              <w:spacing w:line="240" w:lineRule="auto"/>
              <w:jc w:val="right"/>
            </w:pPr>
            <w:r/>
            <w:r>
              <w:rPr>
                <w:rFonts w:ascii="Garamond" w:hAnsi="Garamond"/>
                <w:sz w:val="18"/>
              </w:rPr>
              <w:t>65.1</w:t>
            </w:r>
          </w:p>
        </w:tc>
        <w:tc>
          <w:tcPr>
            <w:tcW w:type="dxa" w:w="2340"/>
          </w:tcPr>
          <w:p>
            <w:pPr>
              <w:spacing w:line="240" w:lineRule="auto"/>
              <w:jc w:val="right"/>
            </w:pPr>
            <w:r/>
            <w:r>
              <w:rPr>
                <w:rFonts w:ascii="Garamond" w:hAnsi="Garamond"/>
                <w:sz w:val="18"/>
              </w:rPr>
              <w:t>1</w:t>
            </w:r>
          </w:p>
        </w:tc>
      </w:tr>
      <w:tr>
        <w:tc>
          <w:tcPr>
            <w:tcW w:type="dxa" w:w="2340"/>
          </w:tcPr>
          <w:p>
            <w:pPr>
              <w:spacing w:line="240" w:lineRule="auto"/>
            </w:pPr>
            <w:r/>
            <w:r>
              <w:rPr>
                <w:rFonts w:ascii="Garamond" w:hAnsi="Garamond"/>
                <w:sz w:val="18"/>
              </w:rPr>
              <w:t>Brookfield Holdings (Cane Ridge), LLC (https://www.davidsonportal.com/gis/file.php?file=202308140063034)</w:t>
            </w:r>
          </w:p>
        </w:tc>
        <w:tc>
          <w:tcPr>
            <w:tcW w:type="dxa" w:w="2340"/>
          </w:tcPr>
          <w:p>
            <w:pPr>
              <w:spacing w:line="240" w:lineRule="auto"/>
            </w:pPr>
            <w:r/>
            <w:r>
              <w:rPr>
                <w:rFonts w:ascii="Garamond" w:hAnsi="Garamond"/>
                <w:sz w:val="18"/>
              </w:rPr>
              <w:t>CA</w:t>
            </w:r>
          </w:p>
        </w:tc>
        <w:tc>
          <w:tcPr>
            <w:tcW w:type="dxa" w:w="2340"/>
          </w:tcPr>
          <w:p>
            <w:pPr>
              <w:spacing w:line="240" w:lineRule="auto"/>
              <w:jc w:val="right"/>
            </w:pPr>
            <w:r/>
            <w:r>
              <w:rPr>
                <w:rFonts w:ascii="Garamond" w:hAnsi="Garamond"/>
                <w:sz w:val="18"/>
              </w:rPr>
              <w:t>32.3</w:t>
            </w:r>
          </w:p>
        </w:tc>
        <w:tc>
          <w:tcPr>
            <w:tcW w:type="dxa" w:w="2340"/>
          </w:tcPr>
          <w:p>
            <w:pPr>
              <w:spacing w:line="240" w:lineRule="auto"/>
              <w:jc w:val="right"/>
            </w:pPr>
            <w:r/>
            <w:r>
              <w:rPr>
                <w:rFonts w:ascii="Garamond" w:hAnsi="Garamond"/>
                <w:sz w:val="18"/>
              </w:rPr>
              <w:t>12</w:t>
            </w:r>
          </w:p>
        </w:tc>
      </w:tr>
      <w:tr>
        <w:tc>
          <w:tcPr>
            <w:tcW w:type="dxa" w:w="2340"/>
          </w:tcPr>
          <w:p>
            <w:pPr>
              <w:spacing w:line="240" w:lineRule="auto"/>
            </w:pPr>
            <w:r/>
            <w:r>
              <w:rPr>
                <w:rFonts w:ascii="Garamond" w:hAnsi="Garamond"/>
                <w:sz w:val="18"/>
              </w:rPr>
              <w:t>Nashland Builders, LLC (https://www.davidsonportal.com/gis/file.php?file=202412300100982)</w:t>
            </w:r>
          </w:p>
        </w:tc>
        <w:tc>
          <w:tcPr>
            <w:tcW w:type="dxa" w:w="2340"/>
          </w:tcPr>
          <w:p>
            <w:pPr>
              <w:spacing w:line="240" w:lineRule="auto"/>
            </w:pPr>
            <w:r/>
            <w:r>
              <w:rPr>
                <w:rFonts w:ascii="Garamond" w:hAnsi="Garamond"/>
                <w:sz w:val="18"/>
              </w:rPr>
              <w:t>CA</w:t>
            </w:r>
          </w:p>
        </w:tc>
        <w:tc>
          <w:tcPr>
            <w:tcW w:type="dxa" w:w="2340"/>
          </w:tcPr>
          <w:p>
            <w:pPr>
              <w:spacing w:line="240" w:lineRule="auto"/>
              <w:jc w:val="right"/>
            </w:pPr>
            <w:r/>
            <w:r>
              <w:rPr>
                <w:rFonts w:ascii="Garamond" w:hAnsi="Garamond"/>
                <w:sz w:val="18"/>
              </w:rPr>
              <w:t>31.7</w:t>
            </w:r>
          </w:p>
        </w:tc>
        <w:tc>
          <w:tcPr>
            <w:tcW w:type="dxa" w:w="2340"/>
          </w:tcPr>
          <w:p>
            <w:pPr>
              <w:spacing w:line="240" w:lineRule="auto"/>
              <w:jc w:val="right"/>
            </w:pPr>
            <w:r/>
            <w:r>
              <w:rPr>
                <w:rFonts w:ascii="Garamond" w:hAnsi="Garamond"/>
                <w:sz w:val="18"/>
              </w:rPr>
              <w:t>1</w:t>
            </w:r>
          </w:p>
        </w:tc>
      </w:tr>
      <w:tr>
        <w:tc>
          <w:tcPr>
            <w:tcW w:type="dxa" w:w="2340"/>
          </w:tcPr>
          <w:p>
            <w:pPr>
              <w:spacing w:line="240" w:lineRule="auto"/>
            </w:pPr>
            <w:r/>
            <w:r>
              <w:rPr>
                <w:rFonts w:ascii="Garamond" w:hAnsi="Garamond"/>
                <w:sz w:val="18"/>
              </w:rPr>
              <w:t>USA Eagle Holdings, LLC (https://www.davidsonportal.com/gis/file.php?file=202512310104439)</w:t>
            </w:r>
          </w:p>
        </w:tc>
        <w:tc>
          <w:tcPr>
            <w:tcW w:type="dxa" w:w="2340"/>
          </w:tcPr>
          <w:p>
            <w:pPr>
              <w:spacing w:line="240" w:lineRule="auto"/>
            </w:pPr>
            <w:r/>
            <w:r>
              <w:rPr>
                <w:rFonts w:ascii="Garamond" w:hAnsi="Garamond"/>
                <w:sz w:val="18"/>
              </w:rPr>
              <w:t>DE</w:t>
            </w:r>
          </w:p>
        </w:tc>
        <w:tc>
          <w:tcPr>
            <w:tcW w:type="dxa" w:w="2340"/>
          </w:tcPr>
          <w:p>
            <w:pPr>
              <w:spacing w:line="240" w:lineRule="auto"/>
              <w:jc w:val="right"/>
            </w:pPr>
            <w:r/>
            <w:r>
              <w:rPr>
                <w:rFonts w:ascii="Garamond" w:hAnsi="Garamond"/>
                <w:sz w:val="18"/>
              </w:rPr>
              <w:t>29.2</w:t>
            </w:r>
          </w:p>
        </w:tc>
        <w:tc>
          <w:tcPr>
            <w:tcW w:type="dxa" w:w="2340"/>
          </w:tcPr>
          <w:p>
            <w:pPr>
              <w:spacing w:line="240" w:lineRule="auto"/>
              <w:jc w:val="right"/>
            </w:pPr>
            <w:r/>
            <w:r>
              <w:rPr>
                <w:rFonts w:ascii="Garamond" w:hAnsi="Garamond"/>
                <w:sz w:val="18"/>
              </w:rPr>
              <w:t>1</w:t>
            </w:r>
          </w:p>
        </w:tc>
      </w:tr>
      <w:tr>
        <w:tc>
          <w:tcPr>
            <w:tcW w:type="dxa" w:w="2340"/>
          </w:tcPr>
          <w:p>
            <w:pPr>
              <w:spacing w:line="240" w:lineRule="auto"/>
            </w:pPr>
            <w:r/>
            <w:r>
              <w:rPr>
                <w:rFonts w:ascii="Garamond" w:hAnsi="Garamond"/>
                <w:sz w:val="18"/>
              </w:rPr>
              <w:t>Vulcan Lands, Inc. (https://www.davidsonportal.com/gis/file.php?file=202112210168700)</w:t>
            </w:r>
          </w:p>
        </w:tc>
        <w:tc>
          <w:tcPr>
            <w:tcW w:type="dxa" w:w="2340"/>
          </w:tcPr>
          <w:p>
            <w:pPr>
              <w:spacing w:line="240" w:lineRule="auto"/>
            </w:pPr>
            <w:r/>
            <w:r>
              <w:rPr>
                <w:rFonts w:ascii="Garamond" w:hAnsi="Garamond"/>
                <w:sz w:val="18"/>
              </w:rPr>
              <w:t>AL / AZ</w:t>
            </w:r>
          </w:p>
        </w:tc>
        <w:tc>
          <w:tcPr>
            <w:tcW w:type="dxa" w:w="2340"/>
          </w:tcPr>
          <w:p>
            <w:pPr>
              <w:spacing w:line="240" w:lineRule="auto"/>
              <w:jc w:val="right"/>
            </w:pPr>
            <w:r/>
            <w:r>
              <w:rPr>
                <w:rFonts w:ascii="Garamond" w:hAnsi="Garamond"/>
                <w:sz w:val="18"/>
              </w:rPr>
              <w:t>29.0</w:t>
            </w:r>
          </w:p>
        </w:tc>
        <w:tc>
          <w:tcPr>
            <w:tcW w:type="dxa" w:w="2340"/>
          </w:tcPr>
          <w:p>
            <w:pPr>
              <w:spacing w:line="240" w:lineRule="auto"/>
              <w:jc w:val="right"/>
            </w:pPr>
            <w:r/>
            <w:r>
              <w:rPr>
                <w:rFonts w:ascii="Garamond" w:hAnsi="Garamond"/>
                <w:sz w:val="18"/>
              </w:rPr>
              <w:t>4</w:t>
            </w:r>
          </w:p>
        </w:tc>
      </w:tr>
      <w:tr>
        <w:tc>
          <w:tcPr>
            <w:tcW w:type="dxa" w:w="2340"/>
          </w:tcPr>
          <w:p>
            <w:pPr>
              <w:spacing w:line="240" w:lineRule="auto"/>
            </w:pPr>
            <w:r/>
            <w:r>
              <w:rPr>
                <w:rFonts w:ascii="Garamond" w:hAnsi="Garamond"/>
                <w:sz w:val="18"/>
              </w:rPr>
              <w:t>Crossings Boulevard MF Holdings, LLC (https://www.davidsonportal.com/gis/file.php?file=202110190140104)</w:t>
            </w:r>
          </w:p>
        </w:tc>
        <w:tc>
          <w:tcPr>
            <w:tcW w:type="dxa" w:w="2340"/>
          </w:tcPr>
          <w:p>
            <w:pPr>
              <w:spacing w:line="240" w:lineRule="auto"/>
            </w:pPr>
            <w:r/>
            <w:r>
              <w:rPr>
                <w:rFonts w:ascii="Garamond" w:hAnsi="Garamond"/>
                <w:sz w:val="18"/>
              </w:rPr>
              <w:t>SC</w:t>
            </w:r>
          </w:p>
        </w:tc>
        <w:tc>
          <w:tcPr>
            <w:tcW w:type="dxa" w:w="2340"/>
          </w:tcPr>
          <w:p>
            <w:pPr>
              <w:spacing w:line="240" w:lineRule="auto"/>
              <w:jc w:val="right"/>
            </w:pPr>
            <w:r/>
            <w:r>
              <w:rPr>
                <w:rFonts w:ascii="Garamond" w:hAnsi="Garamond"/>
                <w:sz w:val="18"/>
              </w:rPr>
              <w:t>13.4</w:t>
            </w:r>
          </w:p>
        </w:tc>
        <w:tc>
          <w:tcPr>
            <w:tcW w:type="dxa" w:w="2340"/>
          </w:tcPr>
          <w:p>
            <w:pPr>
              <w:spacing w:line="240" w:lineRule="auto"/>
              <w:jc w:val="right"/>
            </w:pPr>
            <w:r/>
            <w:r>
              <w:rPr>
                <w:rFonts w:ascii="Garamond" w:hAnsi="Garamond"/>
                <w:sz w:val="18"/>
              </w:rPr>
              <w:t>1</w:t>
            </w:r>
          </w:p>
        </w:tc>
      </w:tr>
      <w:tr>
        <w:tc>
          <w:tcPr>
            <w:tcW w:type="dxa" w:w="2340"/>
          </w:tcPr>
          <w:p>
            <w:pPr>
              <w:spacing w:line="240" w:lineRule="auto"/>
            </w:pPr>
            <w:r/>
            <w:r>
              <w:rPr>
                <w:rFonts w:ascii="Garamond" w:hAnsi="Garamond"/>
                <w:sz w:val="18"/>
              </w:rPr>
              <w:t>Whites Creek Landco, LLC (https://www.davidsonportal.com/gis/file.php?file=202504230031176)</w:t>
            </w:r>
          </w:p>
        </w:tc>
        <w:tc>
          <w:tcPr>
            <w:tcW w:type="dxa" w:w="2340"/>
          </w:tcPr>
          <w:p>
            <w:pPr>
              <w:spacing w:line="240" w:lineRule="auto"/>
            </w:pPr>
            <w:r/>
            <w:r>
              <w:rPr>
                <w:rFonts w:ascii="Garamond" w:hAnsi="Garamond"/>
                <w:sz w:val="18"/>
              </w:rPr>
              <w:t>FL</w:t>
            </w:r>
          </w:p>
        </w:tc>
        <w:tc>
          <w:tcPr>
            <w:tcW w:type="dxa" w:w="2340"/>
          </w:tcPr>
          <w:p>
            <w:pPr>
              <w:spacing w:line="240" w:lineRule="auto"/>
              <w:jc w:val="right"/>
            </w:pPr>
            <w:r/>
            <w:r>
              <w:rPr>
                <w:rFonts w:ascii="Garamond" w:hAnsi="Garamond"/>
                <w:sz w:val="18"/>
              </w:rPr>
              <w:t>12.2</w:t>
            </w:r>
          </w:p>
        </w:tc>
        <w:tc>
          <w:tcPr>
            <w:tcW w:type="dxa" w:w="2340"/>
          </w:tcPr>
          <w:p>
            <w:pPr>
              <w:spacing w:line="240" w:lineRule="auto"/>
              <w:jc w:val="right"/>
            </w:pPr>
            <w:r/>
            <w:r>
              <w:rPr>
                <w:rFonts w:ascii="Garamond" w:hAnsi="Garamond"/>
                <w:sz w:val="18"/>
              </w:rPr>
              <w:t>4</w:t>
            </w:r>
          </w:p>
        </w:tc>
      </w:tr>
      <w:tr>
        <w:tc>
          <w:tcPr>
            <w:tcW w:type="dxa" w:w="2340"/>
          </w:tcPr>
          <w:p>
            <w:pPr>
              <w:spacing w:line="240" w:lineRule="auto"/>
            </w:pPr>
            <w:r/>
            <w:r>
              <w:rPr>
                <w:rFonts w:ascii="Garamond" w:hAnsi="Garamond"/>
                <w:sz w:val="18"/>
              </w:rPr>
              <w:t>Cowden Land Trust (https://www.davidsonportal.com/gis/file.php?file=201902120013050)</w:t>
            </w:r>
          </w:p>
        </w:tc>
        <w:tc>
          <w:tcPr>
            <w:tcW w:type="dxa" w:w="2340"/>
          </w:tcPr>
          <w:p>
            <w:pPr>
              <w:spacing w:line="240" w:lineRule="auto"/>
            </w:pPr>
            <w:r/>
            <w:r>
              <w:rPr>
                <w:rFonts w:ascii="Garamond" w:hAnsi="Garamond"/>
                <w:sz w:val="18"/>
              </w:rPr>
              <w:t>TX</w:t>
            </w:r>
          </w:p>
        </w:tc>
        <w:tc>
          <w:tcPr>
            <w:tcW w:type="dxa" w:w="2340"/>
          </w:tcPr>
          <w:p>
            <w:pPr>
              <w:spacing w:line="240" w:lineRule="auto"/>
              <w:jc w:val="right"/>
            </w:pPr>
            <w:r/>
            <w:r>
              <w:rPr>
                <w:rFonts w:ascii="Garamond" w:hAnsi="Garamond"/>
                <w:sz w:val="18"/>
              </w:rPr>
              <w:t>11.9</w:t>
            </w:r>
          </w:p>
        </w:tc>
        <w:tc>
          <w:tcPr>
            <w:tcW w:type="dxa" w:w="2340"/>
          </w:tcPr>
          <w:p>
            <w:pPr>
              <w:spacing w:line="240" w:lineRule="auto"/>
              <w:jc w:val="right"/>
            </w:pPr>
            <w:r/>
            <w:r>
              <w:rPr>
                <w:rFonts w:ascii="Garamond" w:hAnsi="Garamond"/>
                <w:sz w:val="18"/>
              </w:rPr>
              <w:t>8</w:t>
            </w:r>
          </w:p>
        </w:tc>
      </w:tr>
      <w:tr>
        <w:tc>
          <w:tcPr>
            <w:tcW w:type="dxa" w:w="2340"/>
          </w:tcPr>
          <w:p>
            <w:pPr>
              <w:spacing w:line="240" w:lineRule="auto"/>
            </w:pPr>
            <w:r/>
            <w:r>
              <w:rPr>
                <w:rFonts w:ascii="Garamond" w:hAnsi="Garamond"/>
                <w:sz w:val="18"/>
              </w:rPr>
              <w:t>Meridian Land Owner, LLC (https://www.davidsonportal.com/gis/file.php?file=202112070161986)</w:t>
            </w:r>
          </w:p>
        </w:tc>
        <w:tc>
          <w:tcPr>
            <w:tcW w:type="dxa" w:w="2340"/>
          </w:tcPr>
          <w:p>
            <w:pPr>
              <w:spacing w:line="240" w:lineRule="auto"/>
            </w:pPr>
            <w:r/>
            <w:r>
              <w:rPr>
                <w:rFonts w:ascii="Garamond" w:hAnsi="Garamond"/>
                <w:sz w:val="18"/>
              </w:rPr>
              <w:t>TX</w:t>
            </w:r>
          </w:p>
        </w:tc>
        <w:tc>
          <w:tcPr>
            <w:tcW w:type="dxa" w:w="2340"/>
          </w:tcPr>
          <w:p>
            <w:pPr>
              <w:spacing w:line="240" w:lineRule="auto"/>
              <w:jc w:val="right"/>
            </w:pPr>
            <w:r/>
            <w:r>
              <w:rPr>
                <w:rFonts w:ascii="Garamond" w:hAnsi="Garamond"/>
                <w:sz w:val="18"/>
              </w:rPr>
              <w:t>11.3</w:t>
            </w:r>
          </w:p>
        </w:tc>
        <w:tc>
          <w:tcPr>
            <w:tcW w:type="dxa" w:w="2340"/>
          </w:tcPr>
          <w:p>
            <w:pPr>
              <w:spacing w:line="240" w:lineRule="auto"/>
              <w:jc w:val="right"/>
            </w:pPr>
            <w:r/>
            <w:r>
              <w:rPr>
                <w:rFonts w:ascii="Garamond" w:hAnsi="Garamond"/>
                <w:sz w:val="18"/>
              </w:rPr>
              <w:t>2</w:t>
            </w:r>
          </w:p>
        </w:tc>
      </w:tr>
      <w:tr>
        <w:tc>
          <w:tcPr>
            <w:tcW w:type="dxa" w:w="2340"/>
          </w:tcPr>
          <w:p>
            <w:pPr>
              <w:spacing w:line="240" w:lineRule="auto"/>
            </w:pPr>
            <w:r/>
            <w:r>
              <w:rPr>
                <w:rFonts w:ascii="Garamond" w:hAnsi="Garamond"/>
                <w:sz w:val="18"/>
              </w:rPr>
              <w:t>Midwest Real Estate Holdings, LLC (https://www.davidsonportal.com/gis/file.php?file=202309270075758)</w:t>
            </w:r>
          </w:p>
        </w:tc>
        <w:tc>
          <w:tcPr>
            <w:tcW w:type="dxa" w:w="2340"/>
          </w:tcPr>
          <w:p>
            <w:pPr>
              <w:spacing w:line="240" w:lineRule="auto"/>
            </w:pPr>
            <w:r/>
            <w:r>
              <w:rPr>
                <w:rFonts w:ascii="Garamond" w:hAnsi="Garamond"/>
                <w:sz w:val="18"/>
              </w:rPr>
              <w:t>KS</w:t>
            </w:r>
          </w:p>
        </w:tc>
        <w:tc>
          <w:tcPr>
            <w:tcW w:type="dxa" w:w="2340"/>
          </w:tcPr>
          <w:p>
            <w:pPr>
              <w:spacing w:line="240" w:lineRule="auto"/>
              <w:jc w:val="right"/>
            </w:pPr>
            <w:r/>
            <w:r>
              <w:rPr>
                <w:rFonts w:ascii="Garamond" w:hAnsi="Garamond"/>
                <w:sz w:val="18"/>
              </w:rPr>
              <w:t>10.8</w:t>
            </w:r>
          </w:p>
        </w:tc>
        <w:tc>
          <w:tcPr>
            <w:tcW w:type="dxa" w:w="2340"/>
          </w:tcPr>
          <w:p>
            <w:pPr>
              <w:spacing w:line="240" w:lineRule="auto"/>
              <w:jc w:val="right"/>
            </w:pPr>
            <w:r/>
            <w:r>
              <w:rPr>
                <w:rFonts w:ascii="Garamond" w:hAnsi="Garamond"/>
                <w:sz w:val="18"/>
              </w:rPr>
              <w:t>1</w:t>
            </w:r>
          </w:p>
        </w:tc>
      </w:tr>
      <w:tr>
        <w:tc>
          <w:tcPr>
            <w:tcW w:type="dxa" w:w="2340"/>
          </w:tcPr>
          <w:p>
            <w:pPr>
              <w:spacing w:line="240" w:lineRule="auto"/>
            </w:pPr>
            <w:r/>
            <w:r>
              <w:rPr>
                <w:rFonts w:ascii="Garamond" w:hAnsi="Garamond"/>
                <w:sz w:val="18"/>
              </w:rPr>
              <w:t>Cove Residential Holdings III, LLC (https://www.davidsonportal.com/gis/file.php?file=202411210091196)</w:t>
            </w:r>
          </w:p>
        </w:tc>
        <w:tc>
          <w:tcPr>
            <w:tcW w:type="dxa" w:w="2340"/>
          </w:tcPr>
          <w:p>
            <w:pPr>
              <w:spacing w:line="240" w:lineRule="auto"/>
            </w:pPr>
            <w:r/>
            <w:r>
              <w:rPr>
                <w:rFonts w:ascii="Garamond" w:hAnsi="Garamond"/>
                <w:sz w:val="18"/>
              </w:rPr>
              <w:t>NY</w:t>
            </w:r>
          </w:p>
        </w:tc>
        <w:tc>
          <w:tcPr>
            <w:tcW w:type="dxa" w:w="2340"/>
          </w:tcPr>
          <w:p>
            <w:pPr>
              <w:spacing w:line="240" w:lineRule="auto"/>
              <w:jc w:val="right"/>
            </w:pPr>
            <w:r/>
            <w:r>
              <w:rPr>
                <w:rFonts w:ascii="Garamond" w:hAnsi="Garamond"/>
                <w:sz w:val="18"/>
              </w:rPr>
              <w:t>8.1</w:t>
            </w:r>
          </w:p>
        </w:tc>
        <w:tc>
          <w:tcPr>
            <w:tcW w:type="dxa" w:w="2340"/>
          </w:tcPr>
          <w:p>
            <w:pPr>
              <w:spacing w:line="240" w:lineRule="auto"/>
              <w:jc w:val="right"/>
            </w:pPr>
            <w:r/>
            <w:r>
              <w:rPr>
                <w:rFonts w:ascii="Garamond" w:hAnsi="Garamond"/>
                <w:sz w:val="18"/>
              </w:rPr>
              <w:t>4</w:t>
            </w:r>
          </w:p>
        </w:tc>
      </w:tr>
      <w:tr>
        <w:tc>
          <w:tcPr>
            <w:tcW w:type="dxa" w:w="2340"/>
          </w:tcPr>
          <w:p>
            <w:pPr>
              <w:spacing w:line="240" w:lineRule="auto"/>
            </w:pPr>
            <w:r/>
            <w:r>
              <w:rPr>
                <w:rFonts w:ascii="Garamond" w:hAnsi="Garamond"/>
                <w:sz w:val="18"/>
              </w:rPr>
              <w:t>Reed District Landco Partners, LLC (https://www.davidsonportal.com/gis/file.php?file=202110190140201)</w:t>
            </w:r>
          </w:p>
        </w:tc>
        <w:tc>
          <w:tcPr>
            <w:tcW w:type="dxa" w:w="2340"/>
          </w:tcPr>
          <w:p>
            <w:pPr>
              <w:spacing w:line="240" w:lineRule="auto"/>
            </w:pPr>
            <w:r/>
            <w:r>
              <w:rPr>
                <w:rFonts w:ascii="Garamond" w:hAnsi="Garamond"/>
                <w:sz w:val="18"/>
              </w:rPr>
              <w:t>GA</w:t>
            </w:r>
          </w:p>
        </w:tc>
        <w:tc>
          <w:tcPr>
            <w:tcW w:type="dxa" w:w="2340"/>
          </w:tcPr>
          <w:p>
            <w:pPr>
              <w:spacing w:line="240" w:lineRule="auto"/>
              <w:jc w:val="right"/>
            </w:pPr>
            <w:r/>
            <w:r>
              <w:rPr>
                <w:rFonts w:ascii="Garamond" w:hAnsi="Garamond"/>
                <w:sz w:val="18"/>
              </w:rPr>
              <w:t>5.7</w:t>
            </w:r>
          </w:p>
        </w:tc>
        <w:tc>
          <w:tcPr>
            <w:tcW w:type="dxa" w:w="2340"/>
          </w:tcPr>
          <w:p>
            <w:pPr>
              <w:spacing w:line="240" w:lineRule="auto"/>
              <w:jc w:val="right"/>
            </w:pPr>
            <w:r/>
            <w:r>
              <w:rPr>
                <w:rFonts w:ascii="Garamond" w:hAnsi="Garamond"/>
                <w:sz w:val="18"/>
              </w:rPr>
              <w:t>3</w:t>
            </w:r>
          </w:p>
        </w:tc>
      </w:tr>
    </w:tbl>
    <w:p>
      <w:pPr>
        <w:spacing w:after="0"/>
      </w:pPr>
    </w:p>
    <w:p>
      <w:pPr>
        <w:spacing w:line="240" w:lineRule="auto" w:before="0" w:after="120"/>
      </w:pPr>
      <w:r>
        <w:rPr>
          <w:rFonts w:ascii="Garamond" w:hAnsi="Garamond"/>
          <w:i/>
          <w:sz w:val="19"/>
        </w:rPr>
        <w:t>Notes: Author's curated out-of-state land-holder layer (211 parcels, 67 distinct out-of-state holders; each parcel carries its acquisition date, instrument, acreage, appraised value, and a link to the recorded deed image), built from the Cadastral Layer 4 and the ParcelHistory ownership layer and published in the online data appendix. This set captures fee-simple holders acquiring and holding Davidson land from out of state, distinct from the recorded option-and-takedown vehicles in Table A1; some entries are multifamily or mixed-use rather than single-family land banks and are reported for completeness. A companion roster keyed to the cadastral owner field (489 parcels, 39 owners) corroborates the same holders.</w:t>
      </w:r>
    </w:p>
    <w:p>
      <w:pPr>
        <w:spacing w:line="240" w:lineRule="auto" w:before="0" w:after="120"/>
      </w:pPr>
      <w:r>
        <w:rPr>
          <w:rFonts w:ascii="Garamond" w:hAnsi="Garamond"/>
          <w:b/>
          <w:sz w:val="19"/>
        </w:rPr>
        <w:t>Table B2:</w:t>
      </w:r>
      <w:r>
        <w:rPr>
          <w:rFonts w:ascii="Garamond" w:hAnsi="Garamond"/>
          <w:sz w:val="19"/>
        </w:rPr>
        <w:t xml:space="preserve"> Private and corporate owners of Davidson parcels that began vacant and remain vacant, ranked by still-vacant acreage, excluding public and government holders.</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2340"/>
        <w:gridCol w:w="2340"/>
        <w:gridCol w:w="2340"/>
        <w:gridCol w:w="2340"/>
      </w:tblGrid>
      <w:tr>
        <w:tc>
          <w:tcPr>
            <w:tcW w:type="dxa" w:w="2340"/>
            <w:tcBorders>
              <w:bottom w:val="single" w:sz="4" w:color="000000"/>
            </w:tcBorders>
          </w:tcPr>
          <w:p>
            <w:pPr>
              <w:spacing w:line="240" w:lineRule="auto"/>
            </w:pPr>
            <w:r>
              <w:rPr>
                <w:b/>
              </w:rPr>
            </w:r>
            <w:r>
              <w:rPr>
                <w:rFonts w:ascii="Garamond" w:hAnsi="Garamond"/>
                <w:b/>
                <w:sz w:val="18"/>
              </w:rPr>
              <w:t>Owner (cleaned parent)</w:t>
            </w:r>
          </w:p>
        </w:tc>
        <w:tc>
          <w:tcPr>
            <w:tcW w:type="dxa" w:w="2340"/>
            <w:tcBorders>
              <w:bottom w:val="single" w:sz="4" w:color="000000"/>
            </w:tcBorders>
          </w:tcPr>
          <w:p>
            <w:pPr>
              <w:spacing w:line="240" w:lineRule="auto"/>
            </w:pPr>
            <w:r>
              <w:rPr>
                <w:b/>
              </w:rPr>
            </w:r>
            <w:r>
              <w:rPr>
                <w:rFonts w:ascii="Garamond" w:hAnsi="Garamond"/>
                <w:b/>
                <w:sz w:val="18"/>
              </w:rPr>
              <w:t>Mailing state</w:t>
            </w:r>
          </w:p>
        </w:tc>
        <w:tc>
          <w:tcPr>
            <w:tcW w:type="dxa" w:w="2340"/>
            <w:tcBorders>
              <w:bottom w:val="single" w:sz="4" w:color="000000"/>
            </w:tcBorders>
          </w:tcPr>
          <w:p>
            <w:pPr>
              <w:spacing w:line="240" w:lineRule="auto"/>
            </w:pPr>
            <w:r>
              <w:rPr>
                <w:b/>
              </w:rPr>
            </w:r>
            <w:r>
              <w:rPr>
                <w:rFonts w:ascii="Garamond" w:hAnsi="Garamond"/>
                <w:b/>
                <w:sz w:val="18"/>
              </w:rPr>
              <w:t>Still-vacant acres</w:t>
            </w:r>
          </w:p>
        </w:tc>
        <w:tc>
          <w:tcPr>
            <w:tcW w:type="dxa" w:w="2340"/>
            <w:tcBorders>
              <w:bottom w:val="single" w:sz="4" w:color="000000"/>
            </w:tcBorders>
          </w:tcPr>
          <w:p>
            <w:pPr>
              <w:spacing w:line="240" w:lineRule="auto"/>
            </w:pPr>
            <w:r>
              <w:rPr>
                <w:b/>
              </w:rPr>
            </w:r>
            <w:r>
              <w:rPr>
                <w:rFonts w:ascii="Garamond" w:hAnsi="Garamond"/>
                <w:b/>
                <w:sz w:val="18"/>
              </w:rPr>
              <w:t>Still-vacant parcels</w:t>
            </w:r>
          </w:p>
        </w:tc>
      </w:tr>
      <w:tr>
        <w:tc>
          <w:tcPr>
            <w:tcW w:type="dxa" w:w="2340"/>
          </w:tcPr>
          <w:p>
            <w:pPr>
              <w:spacing w:line="240" w:lineRule="auto"/>
            </w:pPr>
            <w:r/>
            <w:r>
              <w:rPr>
                <w:rFonts w:ascii="Garamond" w:hAnsi="Garamond"/>
                <w:sz w:val="18"/>
              </w:rPr>
              <w:t>Meritage Homes</w:t>
            </w:r>
          </w:p>
        </w:tc>
        <w:tc>
          <w:tcPr>
            <w:tcW w:type="dxa" w:w="2340"/>
          </w:tcPr>
          <w:p>
            <w:pPr>
              <w:spacing w:line="240" w:lineRule="auto"/>
            </w:pPr>
            <w:r/>
            <w:r>
              <w:rPr>
                <w:rFonts w:ascii="Garamond" w:hAnsi="Garamond"/>
                <w:sz w:val="18"/>
              </w:rPr>
              <w:t>AZ</w:t>
            </w:r>
          </w:p>
        </w:tc>
        <w:tc>
          <w:tcPr>
            <w:tcW w:type="dxa" w:w="2340"/>
          </w:tcPr>
          <w:p>
            <w:pPr>
              <w:spacing w:line="240" w:lineRule="auto"/>
              <w:jc w:val="right"/>
            </w:pPr>
            <w:r/>
            <w:r>
              <w:rPr>
                <w:rFonts w:ascii="Garamond" w:hAnsi="Garamond"/>
                <w:sz w:val="18"/>
              </w:rPr>
              <w:t>233.1</w:t>
            </w:r>
          </w:p>
        </w:tc>
        <w:tc>
          <w:tcPr>
            <w:tcW w:type="dxa" w:w="2340"/>
          </w:tcPr>
          <w:p>
            <w:pPr>
              <w:spacing w:line="240" w:lineRule="auto"/>
              <w:jc w:val="right"/>
            </w:pPr>
            <w:r/>
            <w:r>
              <w:rPr>
                <w:rFonts w:ascii="Garamond" w:hAnsi="Garamond"/>
                <w:sz w:val="18"/>
              </w:rPr>
              <w:t>155</w:t>
            </w:r>
          </w:p>
        </w:tc>
      </w:tr>
      <w:tr>
        <w:tc>
          <w:tcPr>
            <w:tcW w:type="dxa" w:w="2340"/>
          </w:tcPr>
          <w:p>
            <w:pPr>
              <w:spacing w:line="240" w:lineRule="auto"/>
            </w:pPr>
            <w:r/>
            <w:r>
              <w:rPr>
                <w:rFonts w:ascii="Garamond" w:hAnsi="Garamond"/>
                <w:sz w:val="18"/>
              </w:rPr>
              <w:t>Parkhaven Communities, LLC</w:t>
            </w:r>
          </w:p>
        </w:tc>
        <w:tc>
          <w:tcPr>
            <w:tcW w:type="dxa" w:w="2340"/>
          </w:tcPr>
          <w:p>
            <w:pPr>
              <w:spacing w:line="240" w:lineRule="auto"/>
            </w:pPr>
            <w:r/>
            <w:r>
              <w:rPr>
                <w:rFonts w:ascii="Garamond" w:hAnsi="Garamond"/>
                <w:sz w:val="18"/>
              </w:rPr>
              <w:t>TN</w:t>
            </w:r>
          </w:p>
        </w:tc>
        <w:tc>
          <w:tcPr>
            <w:tcW w:type="dxa" w:w="2340"/>
          </w:tcPr>
          <w:p>
            <w:pPr>
              <w:spacing w:line="240" w:lineRule="auto"/>
              <w:jc w:val="right"/>
            </w:pPr>
            <w:r/>
            <w:r>
              <w:rPr>
                <w:rFonts w:ascii="Garamond" w:hAnsi="Garamond"/>
                <w:sz w:val="18"/>
              </w:rPr>
              <w:t>177.5</w:t>
            </w:r>
          </w:p>
        </w:tc>
        <w:tc>
          <w:tcPr>
            <w:tcW w:type="dxa" w:w="2340"/>
          </w:tcPr>
          <w:p>
            <w:pPr>
              <w:spacing w:line="240" w:lineRule="auto"/>
              <w:jc w:val="right"/>
            </w:pPr>
            <w:r/>
            <w:r>
              <w:rPr>
                <w:rFonts w:ascii="Garamond" w:hAnsi="Garamond"/>
                <w:sz w:val="18"/>
              </w:rPr>
              <w:t>123</w:t>
            </w:r>
          </w:p>
        </w:tc>
      </w:tr>
      <w:tr>
        <w:tc>
          <w:tcPr>
            <w:tcW w:type="dxa" w:w="2340"/>
          </w:tcPr>
          <w:p>
            <w:pPr>
              <w:spacing w:line="240" w:lineRule="auto"/>
            </w:pPr>
            <w:r/>
            <w:r>
              <w:rPr>
                <w:rFonts w:ascii="Garamond" w:hAnsi="Garamond"/>
                <w:sz w:val="18"/>
              </w:rPr>
              <w:t>Regent Homes</w:t>
            </w:r>
          </w:p>
        </w:tc>
        <w:tc>
          <w:tcPr>
            <w:tcW w:type="dxa" w:w="2340"/>
          </w:tcPr>
          <w:p>
            <w:pPr>
              <w:spacing w:line="240" w:lineRule="auto"/>
            </w:pPr>
            <w:r/>
            <w:r>
              <w:rPr>
                <w:rFonts w:ascii="Garamond" w:hAnsi="Garamond"/>
                <w:sz w:val="18"/>
              </w:rPr>
              <w:t>TN</w:t>
            </w:r>
          </w:p>
        </w:tc>
        <w:tc>
          <w:tcPr>
            <w:tcW w:type="dxa" w:w="2340"/>
          </w:tcPr>
          <w:p>
            <w:pPr>
              <w:spacing w:line="240" w:lineRule="auto"/>
              <w:jc w:val="right"/>
            </w:pPr>
            <w:r/>
            <w:r>
              <w:rPr>
                <w:rFonts w:ascii="Garamond" w:hAnsi="Garamond"/>
                <w:sz w:val="18"/>
              </w:rPr>
              <w:t>170.4</w:t>
            </w:r>
          </w:p>
        </w:tc>
        <w:tc>
          <w:tcPr>
            <w:tcW w:type="dxa" w:w="2340"/>
          </w:tcPr>
          <w:p>
            <w:pPr>
              <w:spacing w:line="240" w:lineRule="auto"/>
              <w:jc w:val="right"/>
            </w:pPr>
            <w:r/>
            <w:r>
              <w:rPr>
                <w:rFonts w:ascii="Garamond" w:hAnsi="Garamond"/>
                <w:sz w:val="18"/>
              </w:rPr>
              <w:t>263</w:t>
            </w:r>
          </w:p>
        </w:tc>
      </w:tr>
      <w:tr>
        <w:tc>
          <w:tcPr>
            <w:tcW w:type="dxa" w:w="2340"/>
          </w:tcPr>
          <w:p>
            <w:pPr>
              <w:spacing w:line="240" w:lineRule="auto"/>
            </w:pPr>
            <w:r/>
            <w:r>
              <w:rPr>
                <w:rFonts w:ascii="Garamond" w:hAnsi="Garamond"/>
                <w:sz w:val="18"/>
              </w:rPr>
              <w:t>Green Trails, LLC</w:t>
            </w:r>
          </w:p>
        </w:tc>
        <w:tc>
          <w:tcPr>
            <w:tcW w:type="dxa" w:w="2340"/>
          </w:tcPr>
          <w:p>
            <w:pPr>
              <w:spacing w:line="240" w:lineRule="auto"/>
            </w:pPr>
            <w:r/>
            <w:r>
              <w:rPr>
                <w:rFonts w:ascii="Garamond" w:hAnsi="Garamond"/>
                <w:sz w:val="18"/>
              </w:rPr>
              <w:t>TN</w:t>
            </w:r>
          </w:p>
        </w:tc>
        <w:tc>
          <w:tcPr>
            <w:tcW w:type="dxa" w:w="2340"/>
          </w:tcPr>
          <w:p>
            <w:pPr>
              <w:spacing w:line="240" w:lineRule="auto"/>
              <w:jc w:val="right"/>
            </w:pPr>
            <w:r/>
            <w:r>
              <w:rPr>
                <w:rFonts w:ascii="Garamond" w:hAnsi="Garamond"/>
                <w:sz w:val="18"/>
              </w:rPr>
              <w:t>74.7</w:t>
            </w:r>
          </w:p>
        </w:tc>
        <w:tc>
          <w:tcPr>
            <w:tcW w:type="dxa" w:w="2340"/>
          </w:tcPr>
          <w:p>
            <w:pPr>
              <w:spacing w:line="240" w:lineRule="auto"/>
              <w:jc w:val="right"/>
            </w:pPr>
            <w:r/>
            <w:r>
              <w:rPr>
                <w:rFonts w:ascii="Garamond" w:hAnsi="Garamond"/>
                <w:sz w:val="18"/>
              </w:rPr>
              <w:t>94</w:t>
            </w:r>
          </w:p>
        </w:tc>
      </w:tr>
      <w:tr>
        <w:tc>
          <w:tcPr>
            <w:tcW w:type="dxa" w:w="2340"/>
          </w:tcPr>
          <w:p>
            <w:pPr>
              <w:spacing w:line="240" w:lineRule="auto"/>
            </w:pPr>
            <w:r/>
            <w:r>
              <w:rPr>
                <w:rFonts w:ascii="Garamond" w:hAnsi="Garamond"/>
                <w:sz w:val="18"/>
              </w:rPr>
              <w:t>Beazer Homes</w:t>
            </w:r>
          </w:p>
        </w:tc>
        <w:tc>
          <w:tcPr>
            <w:tcW w:type="dxa" w:w="2340"/>
          </w:tcPr>
          <w:p>
            <w:pPr>
              <w:spacing w:line="240" w:lineRule="auto"/>
            </w:pPr>
            <w:r/>
            <w:r>
              <w:rPr>
                <w:rFonts w:ascii="Garamond" w:hAnsi="Garamond"/>
                <w:sz w:val="18"/>
              </w:rPr>
              <w:t>TN</w:t>
            </w:r>
          </w:p>
        </w:tc>
        <w:tc>
          <w:tcPr>
            <w:tcW w:type="dxa" w:w="2340"/>
          </w:tcPr>
          <w:p>
            <w:pPr>
              <w:spacing w:line="240" w:lineRule="auto"/>
              <w:jc w:val="right"/>
            </w:pPr>
            <w:r/>
            <w:r>
              <w:rPr>
                <w:rFonts w:ascii="Garamond" w:hAnsi="Garamond"/>
                <w:sz w:val="18"/>
              </w:rPr>
              <w:t>37.6</w:t>
            </w:r>
          </w:p>
        </w:tc>
        <w:tc>
          <w:tcPr>
            <w:tcW w:type="dxa" w:w="2340"/>
          </w:tcPr>
          <w:p>
            <w:pPr>
              <w:spacing w:line="240" w:lineRule="auto"/>
              <w:jc w:val="right"/>
            </w:pPr>
            <w:r/>
            <w:r>
              <w:rPr>
                <w:rFonts w:ascii="Garamond" w:hAnsi="Garamond"/>
                <w:sz w:val="18"/>
              </w:rPr>
              <w:t>110</w:t>
            </w:r>
          </w:p>
        </w:tc>
      </w:tr>
      <w:tr>
        <w:tc>
          <w:tcPr>
            <w:tcW w:type="dxa" w:w="2340"/>
          </w:tcPr>
          <w:p>
            <w:pPr>
              <w:spacing w:line="240" w:lineRule="auto"/>
            </w:pPr>
            <w:r/>
            <w:r>
              <w:rPr>
                <w:rFonts w:ascii="Garamond" w:hAnsi="Garamond"/>
                <w:sz w:val="18"/>
              </w:rPr>
              <w:t>Ole South Properties</w:t>
            </w:r>
          </w:p>
        </w:tc>
        <w:tc>
          <w:tcPr>
            <w:tcW w:type="dxa" w:w="2340"/>
          </w:tcPr>
          <w:p>
            <w:pPr>
              <w:spacing w:line="240" w:lineRule="auto"/>
            </w:pPr>
            <w:r/>
            <w:r>
              <w:rPr>
                <w:rFonts w:ascii="Garamond" w:hAnsi="Garamond"/>
                <w:sz w:val="18"/>
              </w:rPr>
              <w:t>TN</w:t>
            </w:r>
          </w:p>
        </w:tc>
        <w:tc>
          <w:tcPr>
            <w:tcW w:type="dxa" w:w="2340"/>
          </w:tcPr>
          <w:p>
            <w:pPr>
              <w:spacing w:line="240" w:lineRule="auto"/>
              <w:jc w:val="right"/>
            </w:pPr>
            <w:r/>
            <w:r>
              <w:rPr>
                <w:rFonts w:ascii="Garamond" w:hAnsi="Garamond"/>
                <w:sz w:val="18"/>
              </w:rPr>
              <w:t>24.1</w:t>
            </w:r>
          </w:p>
        </w:tc>
        <w:tc>
          <w:tcPr>
            <w:tcW w:type="dxa" w:w="2340"/>
          </w:tcPr>
          <w:p>
            <w:pPr>
              <w:spacing w:line="240" w:lineRule="auto"/>
              <w:jc w:val="right"/>
            </w:pPr>
            <w:r/>
            <w:r>
              <w:rPr>
                <w:rFonts w:ascii="Garamond" w:hAnsi="Garamond"/>
                <w:sz w:val="18"/>
              </w:rPr>
              <w:t>82</w:t>
            </w:r>
          </w:p>
        </w:tc>
      </w:tr>
      <w:tr>
        <w:tc>
          <w:tcPr>
            <w:tcW w:type="dxa" w:w="2340"/>
          </w:tcPr>
          <w:p>
            <w:pPr>
              <w:spacing w:line="240" w:lineRule="auto"/>
            </w:pPr>
            <w:r/>
            <w:r>
              <w:rPr>
                <w:rFonts w:ascii="Garamond" w:hAnsi="Garamond"/>
                <w:sz w:val="18"/>
              </w:rPr>
              <w:t>Legacy South, LLC</w:t>
            </w:r>
          </w:p>
        </w:tc>
        <w:tc>
          <w:tcPr>
            <w:tcW w:type="dxa" w:w="2340"/>
          </w:tcPr>
          <w:p>
            <w:pPr>
              <w:spacing w:line="240" w:lineRule="auto"/>
            </w:pPr>
            <w:r/>
            <w:r>
              <w:rPr>
                <w:rFonts w:ascii="Garamond" w:hAnsi="Garamond"/>
                <w:sz w:val="18"/>
              </w:rPr>
              <w:t>TN</w:t>
            </w:r>
          </w:p>
        </w:tc>
        <w:tc>
          <w:tcPr>
            <w:tcW w:type="dxa" w:w="2340"/>
          </w:tcPr>
          <w:p>
            <w:pPr>
              <w:spacing w:line="240" w:lineRule="auto"/>
              <w:jc w:val="right"/>
            </w:pPr>
            <w:r/>
            <w:r>
              <w:rPr>
                <w:rFonts w:ascii="Garamond" w:hAnsi="Garamond"/>
                <w:sz w:val="18"/>
              </w:rPr>
              <w:t>11.2</w:t>
            </w:r>
          </w:p>
        </w:tc>
        <w:tc>
          <w:tcPr>
            <w:tcW w:type="dxa" w:w="2340"/>
          </w:tcPr>
          <w:p>
            <w:pPr>
              <w:spacing w:line="240" w:lineRule="auto"/>
              <w:jc w:val="right"/>
            </w:pPr>
            <w:r/>
            <w:r>
              <w:rPr>
                <w:rFonts w:ascii="Garamond" w:hAnsi="Garamond"/>
                <w:sz w:val="18"/>
              </w:rPr>
              <w:t>429</w:t>
            </w:r>
          </w:p>
        </w:tc>
      </w:tr>
      <w:tr>
        <w:tc>
          <w:tcPr>
            <w:tcW w:type="dxa" w:w="2340"/>
          </w:tcPr>
          <w:p>
            <w:pPr>
              <w:spacing w:line="240" w:lineRule="auto"/>
            </w:pPr>
            <w:r/>
            <w:r>
              <w:rPr>
                <w:rFonts w:ascii="Garamond" w:hAnsi="Garamond"/>
                <w:sz w:val="18"/>
              </w:rPr>
              <w:t>Elle Condos, LLC</w:t>
            </w:r>
          </w:p>
        </w:tc>
        <w:tc>
          <w:tcPr>
            <w:tcW w:type="dxa" w:w="2340"/>
          </w:tcPr>
          <w:p>
            <w:pPr>
              <w:spacing w:line="240" w:lineRule="auto"/>
            </w:pPr>
            <w:r/>
            <w:r>
              <w:rPr>
                <w:rFonts w:ascii="Garamond" w:hAnsi="Garamond"/>
                <w:sz w:val="18"/>
              </w:rPr>
              <w:t>TN</w:t>
            </w:r>
          </w:p>
        </w:tc>
        <w:tc>
          <w:tcPr>
            <w:tcW w:type="dxa" w:w="2340"/>
          </w:tcPr>
          <w:p>
            <w:pPr>
              <w:spacing w:line="240" w:lineRule="auto"/>
              <w:jc w:val="right"/>
            </w:pPr>
            <w:r/>
            <w:r>
              <w:rPr>
                <w:rFonts w:ascii="Garamond" w:hAnsi="Garamond"/>
                <w:sz w:val="18"/>
              </w:rPr>
              <w:t>3.2</w:t>
            </w:r>
          </w:p>
        </w:tc>
        <w:tc>
          <w:tcPr>
            <w:tcW w:type="dxa" w:w="2340"/>
          </w:tcPr>
          <w:p>
            <w:pPr>
              <w:spacing w:line="240" w:lineRule="auto"/>
              <w:jc w:val="right"/>
            </w:pPr>
            <w:r/>
            <w:r>
              <w:rPr>
                <w:rFonts w:ascii="Garamond" w:hAnsi="Garamond"/>
                <w:sz w:val="18"/>
              </w:rPr>
              <w:t>161</w:t>
            </w:r>
          </w:p>
        </w:tc>
      </w:tr>
      <w:tr>
        <w:tc>
          <w:tcPr>
            <w:tcW w:type="dxa" w:w="2340"/>
          </w:tcPr>
          <w:p>
            <w:pPr>
              <w:spacing w:line="240" w:lineRule="auto"/>
            </w:pPr>
            <w:r/>
            <w:r>
              <w:rPr>
                <w:rFonts w:ascii="Garamond" w:hAnsi="Garamond"/>
                <w:sz w:val="18"/>
              </w:rPr>
              <w:t>PulteGroup</w:t>
            </w:r>
          </w:p>
        </w:tc>
        <w:tc>
          <w:tcPr>
            <w:tcW w:type="dxa" w:w="2340"/>
          </w:tcPr>
          <w:p>
            <w:pPr>
              <w:spacing w:line="240" w:lineRule="auto"/>
            </w:pPr>
            <w:r/>
            <w:r>
              <w:rPr>
                <w:rFonts w:ascii="Garamond" w:hAnsi="Garamond"/>
                <w:sz w:val="18"/>
              </w:rPr>
              <w:t>TN</w:t>
            </w:r>
          </w:p>
        </w:tc>
        <w:tc>
          <w:tcPr>
            <w:tcW w:type="dxa" w:w="2340"/>
          </w:tcPr>
          <w:p>
            <w:pPr>
              <w:spacing w:line="240" w:lineRule="auto"/>
              <w:jc w:val="right"/>
            </w:pPr>
            <w:r/>
            <w:r>
              <w:rPr>
                <w:rFonts w:ascii="Garamond" w:hAnsi="Garamond"/>
                <w:sz w:val="18"/>
              </w:rPr>
              <w:t>1.5</w:t>
            </w:r>
          </w:p>
        </w:tc>
        <w:tc>
          <w:tcPr>
            <w:tcW w:type="dxa" w:w="2340"/>
          </w:tcPr>
          <w:p>
            <w:pPr>
              <w:spacing w:line="240" w:lineRule="auto"/>
              <w:jc w:val="right"/>
            </w:pPr>
            <w:r/>
            <w:r>
              <w:rPr>
                <w:rFonts w:ascii="Garamond" w:hAnsi="Garamond"/>
                <w:sz w:val="18"/>
              </w:rPr>
              <w:t>111</w:t>
            </w:r>
          </w:p>
        </w:tc>
      </w:tr>
      <w:tr>
        <w:tc>
          <w:tcPr>
            <w:tcW w:type="dxa" w:w="2340"/>
          </w:tcPr>
          <w:p>
            <w:pPr>
              <w:spacing w:line="240" w:lineRule="auto"/>
            </w:pPr>
            <w:r/>
            <w:r>
              <w:rPr>
                <w:rFonts w:ascii="Garamond" w:hAnsi="Garamond"/>
                <w:sz w:val="18"/>
              </w:rPr>
              <w:t>Phillips Builders, Inc.</w:t>
            </w:r>
          </w:p>
        </w:tc>
        <w:tc>
          <w:tcPr>
            <w:tcW w:type="dxa" w:w="2340"/>
          </w:tcPr>
          <w:p>
            <w:pPr>
              <w:spacing w:line="240" w:lineRule="auto"/>
            </w:pPr>
            <w:r/>
            <w:r>
              <w:rPr>
                <w:rFonts w:ascii="Garamond" w:hAnsi="Garamond"/>
                <w:sz w:val="18"/>
              </w:rPr>
              <w:t>TN</w:t>
            </w:r>
          </w:p>
        </w:tc>
        <w:tc>
          <w:tcPr>
            <w:tcW w:type="dxa" w:w="2340"/>
          </w:tcPr>
          <w:p>
            <w:pPr>
              <w:spacing w:line="240" w:lineRule="auto"/>
              <w:jc w:val="right"/>
            </w:pPr>
            <w:r/>
            <w:r>
              <w:rPr>
                <w:rFonts w:ascii="Garamond" w:hAnsi="Garamond"/>
                <w:sz w:val="18"/>
              </w:rPr>
              <w:t>0.8</w:t>
            </w:r>
          </w:p>
        </w:tc>
        <w:tc>
          <w:tcPr>
            <w:tcW w:type="dxa" w:w="2340"/>
          </w:tcPr>
          <w:p>
            <w:pPr>
              <w:spacing w:line="240" w:lineRule="auto"/>
              <w:jc w:val="right"/>
            </w:pPr>
            <w:r/>
            <w:r>
              <w:rPr>
                <w:rFonts w:ascii="Garamond" w:hAnsi="Garamond"/>
                <w:sz w:val="18"/>
              </w:rPr>
              <w:t>103</w:t>
            </w:r>
          </w:p>
        </w:tc>
      </w:tr>
      <w:tr>
        <w:tc>
          <w:tcPr>
            <w:tcW w:type="dxa" w:w="2340"/>
          </w:tcPr>
          <w:p>
            <w:pPr>
              <w:spacing w:line="240" w:lineRule="auto"/>
            </w:pPr>
            <w:r/>
            <w:r>
              <w:rPr>
                <w:rFonts w:ascii="Garamond" w:hAnsi="Garamond"/>
                <w:sz w:val="18"/>
              </w:rPr>
              <w:t>1010 Church Owner, LLC</w:t>
            </w:r>
          </w:p>
        </w:tc>
        <w:tc>
          <w:tcPr>
            <w:tcW w:type="dxa" w:w="2340"/>
          </w:tcPr>
          <w:p>
            <w:pPr>
              <w:spacing w:line="240" w:lineRule="auto"/>
            </w:pPr>
            <w:r/>
            <w:r>
              <w:rPr>
                <w:rFonts w:ascii="Garamond" w:hAnsi="Garamond"/>
                <w:sz w:val="18"/>
              </w:rPr>
              <w:t>TN</w:t>
            </w:r>
          </w:p>
        </w:tc>
        <w:tc>
          <w:tcPr>
            <w:tcW w:type="dxa" w:w="2340"/>
          </w:tcPr>
          <w:p>
            <w:pPr>
              <w:spacing w:line="240" w:lineRule="auto"/>
              <w:jc w:val="right"/>
            </w:pPr>
            <w:r/>
            <w:r>
              <w:rPr>
                <w:rFonts w:ascii="Garamond" w:hAnsi="Garamond"/>
                <w:sz w:val="18"/>
              </w:rPr>
              <w:t>0.7</w:t>
            </w:r>
          </w:p>
        </w:tc>
        <w:tc>
          <w:tcPr>
            <w:tcW w:type="dxa" w:w="2340"/>
          </w:tcPr>
          <w:p>
            <w:pPr>
              <w:spacing w:line="240" w:lineRule="auto"/>
              <w:jc w:val="right"/>
            </w:pPr>
            <w:r/>
            <w:r>
              <w:rPr>
                <w:rFonts w:ascii="Garamond" w:hAnsi="Garamond"/>
                <w:sz w:val="18"/>
              </w:rPr>
              <w:t>262</w:t>
            </w:r>
          </w:p>
        </w:tc>
      </w:tr>
      <w:tr>
        <w:tc>
          <w:tcPr>
            <w:tcW w:type="dxa" w:w="2340"/>
          </w:tcPr>
          <w:p>
            <w:pPr>
              <w:spacing w:line="240" w:lineRule="auto"/>
            </w:pPr>
            <w:r/>
            <w:r>
              <w:rPr>
                <w:rFonts w:ascii="Garamond" w:hAnsi="Garamond"/>
                <w:sz w:val="18"/>
              </w:rPr>
              <w:t>RSD West Trinity Lane, LLC</w:t>
            </w:r>
          </w:p>
        </w:tc>
        <w:tc>
          <w:tcPr>
            <w:tcW w:type="dxa" w:w="2340"/>
          </w:tcPr>
          <w:p>
            <w:pPr>
              <w:spacing w:line="240" w:lineRule="auto"/>
            </w:pPr>
            <w:r/>
            <w:r>
              <w:rPr>
                <w:rFonts w:ascii="Garamond" w:hAnsi="Garamond"/>
                <w:sz w:val="18"/>
              </w:rPr>
              <w:t>IL</w:t>
            </w:r>
          </w:p>
        </w:tc>
        <w:tc>
          <w:tcPr>
            <w:tcW w:type="dxa" w:w="2340"/>
          </w:tcPr>
          <w:p>
            <w:pPr>
              <w:spacing w:line="240" w:lineRule="auto"/>
              <w:jc w:val="right"/>
            </w:pPr>
            <w:r/>
            <w:r>
              <w:rPr>
                <w:rFonts w:ascii="Garamond" w:hAnsi="Garamond"/>
                <w:sz w:val="18"/>
              </w:rPr>
              <w:t>0.5</w:t>
            </w:r>
          </w:p>
        </w:tc>
        <w:tc>
          <w:tcPr>
            <w:tcW w:type="dxa" w:w="2340"/>
          </w:tcPr>
          <w:p>
            <w:pPr>
              <w:spacing w:line="240" w:lineRule="auto"/>
              <w:jc w:val="right"/>
            </w:pPr>
            <w:r/>
            <w:r>
              <w:rPr>
                <w:rFonts w:ascii="Garamond" w:hAnsi="Garamond"/>
                <w:sz w:val="18"/>
              </w:rPr>
              <w:t>109</w:t>
            </w:r>
          </w:p>
        </w:tc>
      </w:tr>
      <w:tr>
        <w:tc>
          <w:tcPr>
            <w:tcW w:type="dxa" w:w="2340"/>
          </w:tcPr>
          <w:p>
            <w:pPr>
              <w:spacing w:line="240" w:lineRule="auto"/>
            </w:pPr>
            <w:r/>
            <w:r>
              <w:rPr>
                <w:rFonts w:ascii="Garamond" w:hAnsi="Garamond"/>
                <w:sz w:val="18"/>
              </w:rPr>
              <w:t>Ava Madison, LLC</w:t>
            </w:r>
          </w:p>
        </w:tc>
        <w:tc>
          <w:tcPr>
            <w:tcW w:type="dxa" w:w="2340"/>
          </w:tcPr>
          <w:p>
            <w:pPr>
              <w:spacing w:line="240" w:lineRule="auto"/>
            </w:pPr>
            <w:r/>
            <w:r>
              <w:rPr>
                <w:rFonts w:ascii="Garamond" w:hAnsi="Garamond"/>
                <w:sz w:val="18"/>
              </w:rPr>
              <w:t>GA</w:t>
            </w:r>
          </w:p>
        </w:tc>
        <w:tc>
          <w:tcPr>
            <w:tcW w:type="dxa" w:w="2340"/>
          </w:tcPr>
          <w:p>
            <w:pPr>
              <w:spacing w:line="240" w:lineRule="auto"/>
              <w:jc w:val="right"/>
            </w:pPr>
            <w:r/>
            <w:r>
              <w:rPr>
                <w:rFonts w:ascii="Garamond" w:hAnsi="Garamond"/>
                <w:sz w:val="18"/>
              </w:rPr>
              <w:t>0.0</w:t>
            </w:r>
          </w:p>
        </w:tc>
        <w:tc>
          <w:tcPr>
            <w:tcW w:type="dxa" w:w="2340"/>
          </w:tcPr>
          <w:p>
            <w:pPr>
              <w:spacing w:line="240" w:lineRule="auto"/>
              <w:jc w:val="right"/>
            </w:pPr>
            <w:r/>
            <w:r>
              <w:rPr>
                <w:rFonts w:ascii="Garamond" w:hAnsi="Garamond"/>
                <w:sz w:val="18"/>
              </w:rPr>
              <w:t>201</w:t>
            </w:r>
          </w:p>
        </w:tc>
      </w:tr>
      <w:tr>
        <w:tc>
          <w:tcPr>
            <w:tcW w:type="dxa" w:w="2340"/>
          </w:tcPr>
          <w:p>
            <w:pPr>
              <w:spacing w:line="240" w:lineRule="auto"/>
            </w:pPr>
            <w:r/>
            <w:r>
              <w:rPr>
                <w:rFonts w:ascii="Garamond" w:hAnsi="Garamond"/>
                <w:sz w:val="18"/>
              </w:rPr>
              <w:t>Paseo T2 Hotel, LLC</w:t>
            </w:r>
          </w:p>
        </w:tc>
        <w:tc>
          <w:tcPr>
            <w:tcW w:type="dxa" w:w="2340"/>
          </w:tcPr>
          <w:p>
            <w:pPr>
              <w:spacing w:line="240" w:lineRule="auto"/>
            </w:pPr>
            <w:r/>
            <w:r>
              <w:rPr>
                <w:rFonts w:ascii="Garamond" w:hAnsi="Garamond"/>
                <w:sz w:val="18"/>
              </w:rPr>
              <w:t>NY</w:t>
            </w:r>
          </w:p>
        </w:tc>
        <w:tc>
          <w:tcPr>
            <w:tcW w:type="dxa" w:w="2340"/>
          </w:tcPr>
          <w:p>
            <w:pPr>
              <w:spacing w:line="240" w:lineRule="auto"/>
              <w:jc w:val="right"/>
            </w:pPr>
            <w:r/>
            <w:r>
              <w:rPr>
                <w:rFonts w:ascii="Garamond" w:hAnsi="Garamond"/>
                <w:sz w:val="18"/>
              </w:rPr>
              <w:t>0.0</w:t>
            </w:r>
          </w:p>
        </w:tc>
        <w:tc>
          <w:tcPr>
            <w:tcW w:type="dxa" w:w="2340"/>
          </w:tcPr>
          <w:p>
            <w:pPr>
              <w:spacing w:line="240" w:lineRule="auto"/>
              <w:jc w:val="right"/>
            </w:pPr>
            <w:r/>
            <w:r>
              <w:rPr>
                <w:rFonts w:ascii="Garamond" w:hAnsi="Garamond"/>
                <w:sz w:val="18"/>
              </w:rPr>
              <w:t>147</w:t>
            </w:r>
          </w:p>
        </w:tc>
      </w:tr>
      <w:tr>
        <w:tc>
          <w:tcPr>
            <w:tcW w:type="dxa" w:w="2340"/>
          </w:tcPr>
          <w:p>
            <w:pPr>
              <w:spacing w:line="240" w:lineRule="auto"/>
            </w:pPr>
            <w:r/>
            <w:r>
              <w:rPr>
                <w:rFonts w:ascii="Garamond" w:hAnsi="Garamond"/>
                <w:sz w:val="18"/>
              </w:rPr>
              <w:t>KLLB AIV, LLC</w:t>
            </w:r>
          </w:p>
        </w:tc>
        <w:tc>
          <w:tcPr>
            <w:tcW w:type="dxa" w:w="2340"/>
          </w:tcPr>
          <w:p>
            <w:pPr>
              <w:spacing w:line="240" w:lineRule="auto"/>
            </w:pPr>
            <w:r/>
            <w:r>
              <w:rPr>
                <w:rFonts w:ascii="Garamond" w:hAnsi="Garamond"/>
                <w:sz w:val="18"/>
              </w:rPr>
              <w:t>AZ</w:t>
            </w:r>
          </w:p>
        </w:tc>
        <w:tc>
          <w:tcPr>
            <w:tcW w:type="dxa" w:w="2340"/>
          </w:tcPr>
          <w:p>
            <w:pPr>
              <w:spacing w:line="240" w:lineRule="auto"/>
              <w:jc w:val="right"/>
            </w:pPr>
            <w:r/>
            <w:r>
              <w:rPr>
                <w:rFonts w:ascii="Garamond" w:hAnsi="Garamond"/>
                <w:sz w:val="18"/>
              </w:rPr>
              <w:t>0.0</w:t>
            </w:r>
          </w:p>
        </w:tc>
        <w:tc>
          <w:tcPr>
            <w:tcW w:type="dxa" w:w="2340"/>
          </w:tcPr>
          <w:p>
            <w:pPr>
              <w:spacing w:line="240" w:lineRule="auto"/>
              <w:jc w:val="right"/>
            </w:pPr>
            <w:r/>
            <w:r>
              <w:rPr>
                <w:rFonts w:ascii="Garamond" w:hAnsi="Garamond"/>
                <w:sz w:val="18"/>
              </w:rPr>
              <w:t>142</w:t>
            </w:r>
          </w:p>
        </w:tc>
      </w:tr>
      <w:tr>
        <w:tc>
          <w:tcPr>
            <w:tcW w:type="dxa" w:w="2340"/>
          </w:tcPr>
          <w:p>
            <w:pPr>
              <w:spacing w:line="240" w:lineRule="auto"/>
            </w:pPr>
            <w:r/>
            <w:r>
              <w:rPr>
                <w:rFonts w:ascii="Garamond" w:hAnsi="Garamond"/>
                <w:sz w:val="18"/>
              </w:rPr>
              <w:t>2433 Buena Vista, LLC</w:t>
            </w:r>
          </w:p>
        </w:tc>
        <w:tc>
          <w:tcPr>
            <w:tcW w:type="dxa" w:w="2340"/>
          </w:tcPr>
          <w:p>
            <w:pPr>
              <w:spacing w:line="240" w:lineRule="auto"/>
            </w:pPr>
            <w:r/>
            <w:r>
              <w:rPr>
                <w:rFonts w:ascii="Garamond" w:hAnsi="Garamond"/>
                <w:sz w:val="18"/>
              </w:rPr>
              <w:t>TN</w:t>
            </w:r>
          </w:p>
        </w:tc>
        <w:tc>
          <w:tcPr>
            <w:tcW w:type="dxa" w:w="2340"/>
          </w:tcPr>
          <w:p>
            <w:pPr>
              <w:spacing w:line="240" w:lineRule="auto"/>
              <w:jc w:val="right"/>
            </w:pPr>
            <w:r/>
            <w:r>
              <w:rPr>
                <w:rFonts w:ascii="Garamond" w:hAnsi="Garamond"/>
                <w:sz w:val="18"/>
              </w:rPr>
              <w:t>0.0</w:t>
            </w:r>
          </w:p>
        </w:tc>
        <w:tc>
          <w:tcPr>
            <w:tcW w:type="dxa" w:w="2340"/>
          </w:tcPr>
          <w:p>
            <w:pPr>
              <w:spacing w:line="240" w:lineRule="auto"/>
              <w:jc w:val="right"/>
            </w:pPr>
            <w:r/>
            <w:r>
              <w:rPr>
                <w:rFonts w:ascii="Garamond" w:hAnsi="Garamond"/>
                <w:sz w:val="18"/>
              </w:rPr>
              <w:t>123</w:t>
            </w:r>
          </w:p>
        </w:tc>
      </w:tr>
      <w:tr>
        <w:tc>
          <w:tcPr>
            <w:tcW w:type="dxa" w:w="2340"/>
          </w:tcPr>
          <w:p>
            <w:pPr>
              <w:spacing w:line="240" w:lineRule="auto"/>
            </w:pPr>
            <w:r/>
            <w:r>
              <w:rPr>
                <w:rFonts w:ascii="Garamond" w:hAnsi="Garamond"/>
                <w:sz w:val="18"/>
              </w:rPr>
              <w:t>Crescent BTR Nashville Sonya Drive, LLC</w:t>
            </w:r>
          </w:p>
        </w:tc>
        <w:tc>
          <w:tcPr>
            <w:tcW w:type="dxa" w:w="2340"/>
          </w:tcPr>
          <w:p>
            <w:pPr>
              <w:spacing w:line="240" w:lineRule="auto"/>
            </w:pPr>
            <w:r/>
            <w:r>
              <w:rPr>
                <w:rFonts w:ascii="Garamond" w:hAnsi="Garamond"/>
                <w:sz w:val="18"/>
              </w:rPr>
              <w:t>NC</w:t>
            </w:r>
          </w:p>
        </w:tc>
        <w:tc>
          <w:tcPr>
            <w:tcW w:type="dxa" w:w="2340"/>
          </w:tcPr>
          <w:p>
            <w:pPr>
              <w:spacing w:line="240" w:lineRule="auto"/>
              <w:jc w:val="right"/>
            </w:pPr>
            <w:r/>
            <w:r>
              <w:rPr>
                <w:rFonts w:ascii="Garamond" w:hAnsi="Garamond"/>
                <w:sz w:val="18"/>
              </w:rPr>
              <w:t>0.0</w:t>
            </w:r>
          </w:p>
        </w:tc>
        <w:tc>
          <w:tcPr>
            <w:tcW w:type="dxa" w:w="2340"/>
          </w:tcPr>
          <w:p>
            <w:pPr>
              <w:spacing w:line="240" w:lineRule="auto"/>
              <w:jc w:val="right"/>
            </w:pPr>
            <w:r/>
            <w:r>
              <w:rPr>
                <w:rFonts w:ascii="Garamond" w:hAnsi="Garamond"/>
                <w:sz w:val="18"/>
              </w:rPr>
              <w:t>94</w:t>
            </w:r>
          </w:p>
        </w:tc>
      </w:tr>
      <w:tr>
        <w:tc>
          <w:tcPr>
            <w:tcW w:type="dxa" w:w="2340"/>
          </w:tcPr>
          <w:p>
            <w:pPr>
              <w:spacing w:line="240" w:lineRule="auto"/>
            </w:pPr>
            <w:r/>
            <w:r>
              <w:rPr>
                <w:rFonts w:ascii="Garamond" w:hAnsi="Garamond"/>
                <w:sz w:val="18"/>
              </w:rPr>
              <w:t>1101 Grundy Property Owner, LLC</w:t>
            </w:r>
          </w:p>
        </w:tc>
        <w:tc>
          <w:tcPr>
            <w:tcW w:type="dxa" w:w="2340"/>
          </w:tcPr>
          <w:p>
            <w:pPr>
              <w:spacing w:line="240" w:lineRule="auto"/>
            </w:pPr>
            <w:r/>
            <w:r>
              <w:rPr>
                <w:rFonts w:ascii="Garamond" w:hAnsi="Garamond"/>
                <w:sz w:val="18"/>
              </w:rPr>
              <w:t>NY</w:t>
            </w:r>
          </w:p>
        </w:tc>
        <w:tc>
          <w:tcPr>
            <w:tcW w:type="dxa" w:w="2340"/>
          </w:tcPr>
          <w:p>
            <w:pPr>
              <w:spacing w:line="240" w:lineRule="auto"/>
              <w:jc w:val="right"/>
            </w:pPr>
            <w:r/>
            <w:r>
              <w:rPr>
                <w:rFonts w:ascii="Garamond" w:hAnsi="Garamond"/>
                <w:sz w:val="18"/>
              </w:rPr>
              <w:t>0.0</w:t>
            </w:r>
          </w:p>
        </w:tc>
        <w:tc>
          <w:tcPr>
            <w:tcW w:type="dxa" w:w="2340"/>
          </w:tcPr>
          <w:p>
            <w:pPr>
              <w:spacing w:line="240" w:lineRule="auto"/>
              <w:jc w:val="right"/>
            </w:pPr>
            <w:r/>
            <w:r>
              <w:rPr>
                <w:rFonts w:ascii="Garamond" w:hAnsi="Garamond"/>
                <w:sz w:val="18"/>
              </w:rPr>
              <w:t>89</w:t>
            </w:r>
          </w:p>
        </w:tc>
      </w:tr>
      <w:tr>
        <w:tc>
          <w:tcPr>
            <w:tcW w:type="dxa" w:w="2340"/>
          </w:tcPr>
          <w:p>
            <w:pPr>
              <w:spacing w:line="240" w:lineRule="auto"/>
            </w:pPr>
            <w:r/>
            <w:r>
              <w:rPr>
                <w:rFonts w:ascii="Garamond" w:hAnsi="Garamond"/>
                <w:sz w:val="18"/>
              </w:rPr>
              <w:t>Mid TN Capital, LLC</w:t>
            </w:r>
          </w:p>
        </w:tc>
        <w:tc>
          <w:tcPr>
            <w:tcW w:type="dxa" w:w="2340"/>
          </w:tcPr>
          <w:p>
            <w:pPr>
              <w:spacing w:line="240" w:lineRule="auto"/>
            </w:pPr>
            <w:r/>
            <w:r>
              <w:rPr>
                <w:rFonts w:ascii="Garamond" w:hAnsi="Garamond"/>
                <w:sz w:val="18"/>
              </w:rPr>
              <w:t>TN</w:t>
            </w:r>
          </w:p>
        </w:tc>
        <w:tc>
          <w:tcPr>
            <w:tcW w:type="dxa" w:w="2340"/>
          </w:tcPr>
          <w:p>
            <w:pPr>
              <w:spacing w:line="240" w:lineRule="auto"/>
              <w:jc w:val="right"/>
            </w:pPr>
            <w:r/>
            <w:r>
              <w:rPr>
                <w:rFonts w:ascii="Garamond" w:hAnsi="Garamond"/>
                <w:sz w:val="18"/>
              </w:rPr>
              <w:t>0.0</w:t>
            </w:r>
          </w:p>
        </w:tc>
        <w:tc>
          <w:tcPr>
            <w:tcW w:type="dxa" w:w="2340"/>
          </w:tcPr>
          <w:p>
            <w:pPr>
              <w:spacing w:line="240" w:lineRule="auto"/>
              <w:jc w:val="right"/>
            </w:pPr>
            <w:r/>
            <w:r>
              <w:rPr>
                <w:rFonts w:ascii="Garamond" w:hAnsi="Garamond"/>
                <w:sz w:val="18"/>
              </w:rPr>
              <w:t>84</w:t>
            </w:r>
          </w:p>
        </w:tc>
      </w:tr>
    </w:tbl>
    <w:p>
      <w:pPr>
        <w:spacing w:after="0"/>
      </w:pPr>
    </w:p>
    <w:p>
      <w:pPr>
        <w:spacing w:line="240" w:lineRule="auto" w:before="0" w:after="120"/>
      </w:pPr>
      <w:r>
        <w:rPr>
          <w:rFonts w:ascii="Garamond" w:hAnsi="Garamond"/>
          <w:i/>
          <w:sz w:val="19"/>
        </w:rPr>
        <w:t>Notes: Author's vacant-origin timeline from the per-parcel assessment history, joined to the series' cleaned owner-group attribution. Still-vacant = began vacant (improvement-appraised value 0 at origin) and carries no structure today. Acreage summed from the cadastral for each owner's still-vacant parcels; condo-unit holders (Ava Madison, Paseo, KLLB, 2433 Buena Vista, Crescent BTR, 1101 Grundy) show near-zero land acreage because each condominium parcel carries no separate land area, the parcel-heavy, acre-light signature that distinguishes a condo developer from a land banker. Public and government holders (MDHA, Metro, State of Tennessee, Vanderbilt, airport, utility boards) are excluded; they hold 11.7 percent of the still-vacant inventory.</w:t>
      </w:r>
    </w:p>
    <w:p>
      <w:pPr>
        <w:spacing w:line="240" w:lineRule="auto" w:before="0" w:after="120"/>
      </w:pPr>
      <w:r>
        <w:rPr>
          <w:rFonts w:ascii="Garamond" w:hAnsi="Garamond"/>
          <w:b/>
          <w:sz w:val="19"/>
        </w:rPr>
        <w:t>Table B3:</w:t>
      </w:r>
      <w:r>
        <w:rPr>
          <w:rFonts w:ascii="Garamond" w:hAnsi="Garamond"/>
          <w:sz w:val="19"/>
        </w:rPr>
        <w:t xml:space="preserve"> New-construction parcels traced from a builder back to a prior land-holding entity, by builder parent.</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4680"/>
        <w:gridCol w:w="4680"/>
      </w:tblGrid>
      <w:tr>
        <w:tc>
          <w:tcPr>
            <w:tcW w:type="dxa" w:w="4680"/>
            <w:tcBorders>
              <w:bottom w:val="single" w:sz="4" w:color="000000"/>
            </w:tcBorders>
          </w:tcPr>
          <w:p>
            <w:pPr>
              <w:spacing w:line="240" w:lineRule="auto"/>
            </w:pPr>
            <w:r>
              <w:rPr>
                <w:b/>
              </w:rPr>
            </w:r>
            <w:r>
              <w:rPr>
                <w:rFonts w:ascii="Garamond" w:hAnsi="Garamond"/>
                <w:b/>
                <w:sz w:val="18"/>
              </w:rPr>
              <w:t>Builder parent</w:t>
            </w:r>
          </w:p>
        </w:tc>
        <w:tc>
          <w:tcPr>
            <w:tcW w:type="dxa" w:w="4680"/>
            <w:tcBorders>
              <w:bottom w:val="single" w:sz="4" w:color="000000"/>
            </w:tcBorders>
          </w:tcPr>
          <w:p>
            <w:pPr>
              <w:spacing w:line="240" w:lineRule="auto"/>
            </w:pPr>
            <w:r>
              <w:rPr>
                <w:b/>
              </w:rPr>
            </w:r>
            <w:r>
              <w:rPr>
                <w:rFonts w:ascii="Garamond" w:hAnsi="Garamond"/>
                <w:b/>
                <w:sz w:val="18"/>
              </w:rPr>
              <w:t>Parcels traced from a prior land holder</w:t>
            </w:r>
          </w:p>
        </w:tc>
      </w:tr>
      <w:tr>
        <w:tc>
          <w:tcPr>
            <w:tcW w:type="dxa" w:w="4680"/>
          </w:tcPr>
          <w:p>
            <w:pPr>
              <w:spacing w:line="240" w:lineRule="auto"/>
            </w:pPr>
            <w:r/>
            <w:r>
              <w:rPr>
                <w:rFonts w:ascii="Garamond" w:hAnsi="Garamond"/>
                <w:sz w:val="18"/>
              </w:rPr>
              <w:t>Beazer Homes</w:t>
            </w:r>
          </w:p>
        </w:tc>
        <w:tc>
          <w:tcPr>
            <w:tcW w:type="dxa" w:w="4680"/>
          </w:tcPr>
          <w:p>
            <w:pPr>
              <w:spacing w:line="240" w:lineRule="auto"/>
              <w:jc w:val="right"/>
            </w:pPr>
            <w:r/>
            <w:r>
              <w:rPr>
                <w:rFonts w:ascii="Garamond" w:hAnsi="Garamond"/>
                <w:sz w:val="18"/>
              </w:rPr>
              <w:t>4,647</w:t>
            </w:r>
          </w:p>
        </w:tc>
      </w:tr>
      <w:tr>
        <w:tc>
          <w:tcPr>
            <w:tcW w:type="dxa" w:w="4680"/>
          </w:tcPr>
          <w:p>
            <w:pPr>
              <w:spacing w:line="240" w:lineRule="auto"/>
            </w:pPr>
            <w:r/>
            <w:r>
              <w:rPr>
                <w:rFonts w:ascii="Garamond" w:hAnsi="Garamond"/>
                <w:sz w:val="18"/>
              </w:rPr>
              <w:t>D.R. Horton</w:t>
            </w:r>
          </w:p>
        </w:tc>
        <w:tc>
          <w:tcPr>
            <w:tcW w:type="dxa" w:w="4680"/>
          </w:tcPr>
          <w:p>
            <w:pPr>
              <w:spacing w:line="240" w:lineRule="auto"/>
              <w:jc w:val="right"/>
            </w:pPr>
            <w:r/>
            <w:r>
              <w:rPr>
                <w:rFonts w:ascii="Garamond" w:hAnsi="Garamond"/>
                <w:sz w:val="18"/>
              </w:rPr>
              <w:t>4,371</w:t>
            </w:r>
          </w:p>
        </w:tc>
      </w:tr>
      <w:tr>
        <w:tc>
          <w:tcPr>
            <w:tcW w:type="dxa" w:w="4680"/>
          </w:tcPr>
          <w:p>
            <w:pPr>
              <w:spacing w:line="240" w:lineRule="auto"/>
            </w:pPr>
            <w:r/>
            <w:r>
              <w:rPr>
                <w:rFonts w:ascii="Garamond" w:hAnsi="Garamond"/>
                <w:sz w:val="18"/>
              </w:rPr>
              <w:t>PulteGroup</w:t>
            </w:r>
          </w:p>
        </w:tc>
        <w:tc>
          <w:tcPr>
            <w:tcW w:type="dxa" w:w="4680"/>
          </w:tcPr>
          <w:p>
            <w:pPr>
              <w:spacing w:line="240" w:lineRule="auto"/>
              <w:jc w:val="right"/>
            </w:pPr>
            <w:r/>
            <w:r>
              <w:rPr>
                <w:rFonts w:ascii="Garamond" w:hAnsi="Garamond"/>
                <w:sz w:val="18"/>
              </w:rPr>
              <w:t>3,207</w:t>
            </w:r>
          </w:p>
        </w:tc>
      </w:tr>
      <w:tr>
        <w:tc>
          <w:tcPr>
            <w:tcW w:type="dxa" w:w="4680"/>
          </w:tcPr>
          <w:p>
            <w:pPr>
              <w:spacing w:line="240" w:lineRule="auto"/>
            </w:pPr>
            <w:r/>
            <w:r>
              <w:rPr>
                <w:rFonts w:ascii="Garamond" w:hAnsi="Garamond"/>
                <w:sz w:val="18"/>
              </w:rPr>
              <w:t>Ole South Properties</w:t>
            </w:r>
          </w:p>
        </w:tc>
        <w:tc>
          <w:tcPr>
            <w:tcW w:type="dxa" w:w="4680"/>
          </w:tcPr>
          <w:p>
            <w:pPr>
              <w:spacing w:line="240" w:lineRule="auto"/>
              <w:jc w:val="right"/>
            </w:pPr>
            <w:r/>
            <w:r>
              <w:rPr>
                <w:rFonts w:ascii="Garamond" w:hAnsi="Garamond"/>
                <w:sz w:val="18"/>
              </w:rPr>
              <w:t>2,847</w:t>
            </w:r>
          </w:p>
        </w:tc>
      </w:tr>
      <w:tr>
        <w:tc>
          <w:tcPr>
            <w:tcW w:type="dxa" w:w="4680"/>
          </w:tcPr>
          <w:p>
            <w:pPr>
              <w:spacing w:line="240" w:lineRule="auto"/>
            </w:pPr>
            <w:r/>
            <w:r>
              <w:rPr>
                <w:rFonts w:ascii="Garamond" w:hAnsi="Garamond"/>
                <w:sz w:val="18"/>
              </w:rPr>
              <w:t>Meritage Homes</w:t>
            </w:r>
          </w:p>
        </w:tc>
        <w:tc>
          <w:tcPr>
            <w:tcW w:type="dxa" w:w="4680"/>
          </w:tcPr>
          <w:p>
            <w:pPr>
              <w:spacing w:line="240" w:lineRule="auto"/>
              <w:jc w:val="right"/>
            </w:pPr>
            <w:r/>
            <w:r>
              <w:rPr>
                <w:rFonts w:ascii="Garamond" w:hAnsi="Garamond"/>
                <w:sz w:val="18"/>
              </w:rPr>
              <w:t>1,879</w:t>
            </w:r>
          </w:p>
        </w:tc>
      </w:tr>
      <w:tr>
        <w:tc>
          <w:tcPr>
            <w:tcW w:type="dxa" w:w="4680"/>
          </w:tcPr>
          <w:p>
            <w:pPr>
              <w:spacing w:line="240" w:lineRule="auto"/>
            </w:pPr>
            <w:r/>
            <w:r>
              <w:rPr>
                <w:rFonts w:ascii="Garamond" w:hAnsi="Garamond"/>
                <w:sz w:val="18"/>
              </w:rPr>
              <w:t>CastleRock / Jones</w:t>
            </w:r>
          </w:p>
        </w:tc>
        <w:tc>
          <w:tcPr>
            <w:tcW w:type="dxa" w:w="4680"/>
          </w:tcPr>
          <w:p>
            <w:pPr>
              <w:spacing w:line="240" w:lineRule="auto"/>
              <w:jc w:val="right"/>
            </w:pPr>
            <w:r/>
            <w:r>
              <w:rPr>
                <w:rFonts w:ascii="Garamond" w:hAnsi="Garamond"/>
                <w:sz w:val="18"/>
              </w:rPr>
              <w:t>1,151</w:t>
            </w:r>
          </w:p>
        </w:tc>
      </w:tr>
      <w:tr>
        <w:tc>
          <w:tcPr>
            <w:tcW w:type="dxa" w:w="4680"/>
          </w:tcPr>
          <w:p>
            <w:pPr>
              <w:spacing w:line="240" w:lineRule="auto"/>
            </w:pPr>
            <w:r/>
            <w:r>
              <w:rPr>
                <w:rFonts w:ascii="Garamond" w:hAnsi="Garamond"/>
                <w:sz w:val="18"/>
              </w:rPr>
              <w:t>NVR / Ryan Homes</w:t>
            </w:r>
          </w:p>
        </w:tc>
        <w:tc>
          <w:tcPr>
            <w:tcW w:type="dxa" w:w="4680"/>
          </w:tcPr>
          <w:p>
            <w:pPr>
              <w:spacing w:line="240" w:lineRule="auto"/>
              <w:jc w:val="right"/>
            </w:pPr>
            <w:r/>
            <w:r>
              <w:rPr>
                <w:rFonts w:ascii="Garamond" w:hAnsi="Garamond"/>
                <w:sz w:val="18"/>
              </w:rPr>
              <w:t>380</w:t>
            </w:r>
          </w:p>
        </w:tc>
      </w:tr>
      <w:tr>
        <w:tc>
          <w:tcPr>
            <w:tcW w:type="dxa" w:w="4680"/>
          </w:tcPr>
          <w:p>
            <w:pPr>
              <w:spacing w:line="240" w:lineRule="auto"/>
            </w:pPr>
            <w:r/>
            <w:r>
              <w:rPr>
                <w:rFonts w:ascii="Garamond" w:hAnsi="Garamond"/>
                <w:sz w:val="18"/>
              </w:rPr>
              <w:t>Lennar</w:t>
            </w:r>
          </w:p>
        </w:tc>
        <w:tc>
          <w:tcPr>
            <w:tcW w:type="dxa" w:w="4680"/>
          </w:tcPr>
          <w:p>
            <w:pPr>
              <w:spacing w:line="240" w:lineRule="auto"/>
              <w:jc w:val="right"/>
            </w:pPr>
            <w:r/>
            <w:r>
              <w:rPr>
                <w:rFonts w:ascii="Garamond" w:hAnsi="Garamond"/>
                <w:sz w:val="18"/>
              </w:rPr>
              <w:t>152</w:t>
            </w:r>
          </w:p>
        </w:tc>
      </w:tr>
      <w:tr>
        <w:tc>
          <w:tcPr>
            <w:tcW w:type="dxa" w:w="4680"/>
          </w:tcPr>
          <w:p>
            <w:pPr>
              <w:spacing w:line="240" w:lineRule="auto"/>
            </w:pPr>
            <w:r/>
            <w:r>
              <w:rPr>
                <w:rFonts w:ascii="Garamond" w:hAnsi="Garamond"/>
                <w:sz w:val="18"/>
              </w:rPr>
              <w:t>M/I Homes</w:t>
            </w:r>
          </w:p>
        </w:tc>
        <w:tc>
          <w:tcPr>
            <w:tcW w:type="dxa" w:w="4680"/>
          </w:tcPr>
          <w:p>
            <w:pPr>
              <w:spacing w:line="240" w:lineRule="auto"/>
              <w:jc w:val="right"/>
            </w:pPr>
            <w:r/>
            <w:r>
              <w:rPr>
                <w:rFonts w:ascii="Garamond" w:hAnsi="Garamond"/>
                <w:sz w:val="18"/>
              </w:rPr>
              <w:t>50</w:t>
            </w:r>
          </w:p>
        </w:tc>
      </w:tr>
    </w:tbl>
    <w:p>
      <w:pPr>
        <w:spacing w:after="0"/>
      </w:pPr>
    </w:p>
    <w:p>
      <w:pPr>
        <w:spacing w:line="240" w:lineRule="auto" w:before="0" w:after="120"/>
      </w:pPr>
      <w:r>
        <w:rPr>
          <w:rFonts w:ascii="Garamond" w:hAnsi="Garamond"/>
          <w:i/>
          <w:sz w:val="19"/>
        </w:rPr>
        <w:t>Notes: Author's builder-to-land-holder chain trace from the ParcelHistory ownership and property layers (18,684 parcel-chains resolving to 320 distinct prior land holders, each chain carrying a recorded deed URL). A parcel is counted where the builder acquired it from a prior owner who held it as raw or entitled land.</w:t>
      </w:r>
    </w:p>
    <w:p>
      <w:pPr>
        <w:spacing w:line="240" w:lineRule="auto" w:before="0" w:after="120"/>
      </w:pPr>
      <w:r>
        <w:rPr>
          <w:rFonts w:ascii="Garamond" w:hAnsi="Garamond"/>
          <w:b/>
          <w:sz w:val="19"/>
        </w:rPr>
        <w:t>Table B4:</w:t>
      </w:r>
      <w:r>
        <w:rPr>
          <w:rFonts w:ascii="Garamond" w:hAnsi="Garamond"/>
          <w:sz w:val="19"/>
        </w:rPr>
        <w:t xml:space="preserve"> Davidson entities that acquired land and conveyed it to homebuilders, by consideration in, consideration out, median markup, and median annualized return.</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560"/>
        <w:gridCol w:w="1560"/>
        <w:gridCol w:w="1560"/>
        <w:gridCol w:w="1560"/>
        <w:gridCol w:w="1560"/>
        <w:gridCol w:w="1560"/>
      </w:tblGrid>
      <w:tr>
        <w:tc>
          <w:tcPr>
            <w:tcW w:type="dxa" w:w="1560"/>
            <w:tcBorders>
              <w:bottom w:val="single" w:sz="4" w:color="000000"/>
            </w:tcBorders>
          </w:tcPr>
          <w:p>
            <w:pPr>
              <w:spacing w:line="240" w:lineRule="auto"/>
            </w:pPr>
            <w:r>
              <w:rPr>
                <w:b/>
              </w:rPr>
            </w:r>
            <w:r>
              <w:rPr>
                <w:rFonts w:ascii="Garamond" w:hAnsi="Garamond"/>
                <w:b/>
                <w:sz w:val="17"/>
              </w:rPr>
              <w:t>Seller (land banker)</w:t>
            </w:r>
          </w:p>
        </w:tc>
        <w:tc>
          <w:tcPr>
            <w:tcW w:type="dxa" w:w="1560"/>
            <w:tcBorders>
              <w:bottom w:val="single" w:sz="4" w:color="000000"/>
            </w:tcBorders>
          </w:tcPr>
          <w:p>
            <w:pPr>
              <w:spacing w:line="240" w:lineRule="auto"/>
            </w:pPr>
            <w:r>
              <w:rPr>
                <w:b/>
              </w:rPr>
            </w:r>
            <w:r>
              <w:rPr>
                <w:rFonts w:ascii="Garamond" w:hAnsi="Garamond"/>
                <w:b/>
                <w:sz w:val="17"/>
              </w:rPr>
              <w:t>Handoffs</w:t>
            </w:r>
          </w:p>
        </w:tc>
        <w:tc>
          <w:tcPr>
            <w:tcW w:type="dxa" w:w="1560"/>
            <w:tcBorders>
              <w:bottom w:val="single" w:sz="4" w:color="000000"/>
            </w:tcBorders>
          </w:tcPr>
          <w:p>
            <w:pPr>
              <w:spacing w:line="240" w:lineRule="auto"/>
            </w:pPr>
            <w:r>
              <w:rPr>
                <w:b/>
              </w:rPr>
            </w:r>
            <w:r>
              <w:rPr>
                <w:rFonts w:ascii="Garamond" w:hAnsi="Garamond"/>
                <w:b/>
                <w:sz w:val="17"/>
              </w:rPr>
              <w:t>Acquired for</w:t>
            </w:r>
          </w:p>
        </w:tc>
        <w:tc>
          <w:tcPr>
            <w:tcW w:type="dxa" w:w="1560"/>
            <w:tcBorders>
              <w:bottom w:val="single" w:sz="4" w:color="000000"/>
            </w:tcBorders>
          </w:tcPr>
          <w:p>
            <w:pPr>
              <w:spacing w:line="240" w:lineRule="auto"/>
            </w:pPr>
            <w:r>
              <w:rPr>
                <w:b/>
              </w:rPr>
            </w:r>
            <w:r>
              <w:rPr>
                <w:rFonts w:ascii="Garamond" w:hAnsi="Garamond"/>
                <w:b/>
                <w:sz w:val="17"/>
              </w:rPr>
              <w:t>Conveyed for</w:t>
            </w:r>
          </w:p>
        </w:tc>
        <w:tc>
          <w:tcPr>
            <w:tcW w:type="dxa" w:w="1560"/>
            <w:tcBorders>
              <w:bottom w:val="single" w:sz="4" w:color="000000"/>
            </w:tcBorders>
          </w:tcPr>
          <w:p>
            <w:pPr>
              <w:spacing w:line="240" w:lineRule="auto"/>
            </w:pPr>
            <w:r>
              <w:rPr>
                <w:b/>
              </w:rPr>
            </w:r>
            <w:r>
              <w:rPr>
                <w:rFonts w:ascii="Garamond" w:hAnsi="Garamond"/>
                <w:b/>
                <w:sz w:val="17"/>
              </w:rPr>
              <w:t>Markup</w:t>
            </w:r>
          </w:p>
        </w:tc>
        <w:tc>
          <w:tcPr>
            <w:tcW w:type="dxa" w:w="1560"/>
            <w:tcBorders>
              <w:bottom w:val="single" w:sz="4" w:color="000000"/>
            </w:tcBorders>
          </w:tcPr>
          <w:p>
            <w:pPr>
              <w:spacing w:line="240" w:lineRule="auto"/>
            </w:pPr>
            <w:r>
              <w:rPr>
                <w:b/>
              </w:rPr>
            </w:r>
            <w:r>
              <w:rPr>
                <w:rFonts w:ascii="Garamond" w:hAnsi="Garamond"/>
                <w:b/>
                <w:sz w:val="17"/>
              </w:rPr>
              <w:t>Median return/yr</w:t>
            </w:r>
          </w:p>
        </w:tc>
      </w:tr>
      <w:tr>
        <w:tc>
          <w:tcPr>
            <w:tcW w:type="dxa" w:w="1560"/>
          </w:tcPr>
          <w:p>
            <w:pPr>
              <w:spacing w:line="240" w:lineRule="auto"/>
            </w:pPr>
            <w:r/>
            <w:r>
              <w:rPr>
                <w:rFonts w:ascii="Garamond" w:hAnsi="Garamond"/>
                <w:sz w:val="17"/>
              </w:rPr>
              <w:t>ECG Mountain Springs, LLC</w:t>
            </w:r>
          </w:p>
        </w:tc>
        <w:tc>
          <w:tcPr>
            <w:tcW w:type="dxa" w:w="1560"/>
          </w:tcPr>
          <w:p>
            <w:pPr>
              <w:spacing w:line="240" w:lineRule="auto"/>
              <w:jc w:val="right"/>
            </w:pPr>
            <w:r/>
            <w:r>
              <w:rPr>
                <w:rFonts w:ascii="Garamond" w:hAnsi="Garamond"/>
                <w:sz w:val="17"/>
              </w:rPr>
              <w:t>117</w:t>
            </w:r>
          </w:p>
        </w:tc>
        <w:tc>
          <w:tcPr>
            <w:tcW w:type="dxa" w:w="1560"/>
          </w:tcPr>
          <w:p>
            <w:pPr>
              <w:spacing w:line="240" w:lineRule="auto"/>
              <w:jc w:val="right"/>
            </w:pPr>
            <w:r/>
            <w:r>
              <w:rPr>
                <w:rFonts w:ascii="Garamond" w:hAnsi="Garamond"/>
                <w:sz w:val="17"/>
              </w:rPr>
              <w:t>$174,501,990</w:t>
            </w:r>
          </w:p>
        </w:tc>
        <w:tc>
          <w:tcPr>
            <w:tcW w:type="dxa" w:w="1560"/>
          </w:tcPr>
          <w:p>
            <w:pPr>
              <w:spacing w:line="240" w:lineRule="auto"/>
              <w:jc w:val="right"/>
            </w:pPr>
            <w:r/>
            <w:r>
              <w:rPr>
                <w:rFonts w:ascii="Garamond" w:hAnsi="Garamond"/>
                <w:sz w:val="17"/>
              </w:rPr>
              <w:t>$1,098,441,513</w:t>
            </w:r>
          </w:p>
        </w:tc>
        <w:tc>
          <w:tcPr>
            <w:tcW w:type="dxa" w:w="1560"/>
          </w:tcPr>
          <w:p>
            <w:pPr>
              <w:spacing w:line="240" w:lineRule="auto"/>
              <w:jc w:val="right"/>
            </w:pPr>
            <w:r/>
            <w:r>
              <w:rPr>
                <w:rFonts w:ascii="Garamond" w:hAnsi="Garamond"/>
                <w:sz w:val="17"/>
              </w:rPr>
              <w:t>6.3x</w:t>
            </w:r>
          </w:p>
        </w:tc>
        <w:tc>
          <w:tcPr>
            <w:tcW w:type="dxa" w:w="1560"/>
          </w:tcPr>
          <w:p>
            <w:pPr>
              <w:spacing w:line="240" w:lineRule="auto"/>
              <w:jc w:val="right"/>
            </w:pPr>
            <w:r/>
            <w:r>
              <w:rPr>
                <w:rFonts w:ascii="Garamond" w:hAnsi="Garamond"/>
                <w:sz w:val="17"/>
              </w:rPr>
              <w:t>271%</w:t>
            </w:r>
          </w:p>
        </w:tc>
      </w:tr>
      <w:tr>
        <w:tc>
          <w:tcPr>
            <w:tcW w:type="dxa" w:w="1560"/>
          </w:tcPr>
          <w:p>
            <w:pPr>
              <w:spacing w:line="240" w:lineRule="auto"/>
            </w:pPr>
            <w:r/>
            <w:r>
              <w:rPr>
                <w:rFonts w:ascii="Garamond" w:hAnsi="Garamond"/>
                <w:sz w:val="17"/>
              </w:rPr>
              <w:t>CSH Property One, LLC (Invitation Homes) (https://www.davidsonportal.com/gis/file.php?file=201912160129207)</w:t>
            </w:r>
          </w:p>
        </w:tc>
        <w:tc>
          <w:tcPr>
            <w:tcW w:type="dxa" w:w="1560"/>
          </w:tcPr>
          <w:p>
            <w:pPr>
              <w:spacing w:line="240" w:lineRule="auto"/>
              <w:jc w:val="right"/>
            </w:pPr>
            <w:r/>
            <w:r>
              <w:rPr>
                <w:rFonts w:ascii="Garamond" w:hAnsi="Garamond"/>
                <w:sz w:val="17"/>
              </w:rPr>
              <w:t>41</w:t>
            </w:r>
          </w:p>
        </w:tc>
        <w:tc>
          <w:tcPr>
            <w:tcW w:type="dxa" w:w="1560"/>
          </w:tcPr>
          <w:p>
            <w:pPr>
              <w:spacing w:line="240" w:lineRule="auto"/>
              <w:jc w:val="right"/>
            </w:pPr>
            <w:r/>
            <w:r>
              <w:rPr>
                <w:rFonts w:ascii="Garamond" w:hAnsi="Garamond"/>
                <w:sz w:val="17"/>
              </w:rPr>
              <w:t>$178,355,511</w:t>
            </w:r>
          </w:p>
        </w:tc>
        <w:tc>
          <w:tcPr>
            <w:tcW w:type="dxa" w:w="1560"/>
          </w:tcPr>
          <w:p>
            <w:pPr>
              <w:spacing w:line="240" w:lineRule="auto"/>
              <w:jc w:val="right"/>
            </w:pPr>
            <w:r/>
            <w:r>
              <w:rPr>
                <w:rFonts w:ascii="Garamond" w:hAnsi="Garamond"/>
                <w:sz w:val="17"/>
              </w:rPr>
              <w:t>$898,597,000</w:t>
            </w:r>
          </w:p>
        </w:tc>
        <w:tc>
          <w:tcPr>
            <w:tcW w:type="dxa" w:w="1560"/>
          </w:tcPr>
          <w:p>
            <w:pPr>
              <w:spacing w:line="240" w:lineRule="auto"/>
              <w:jc w:val="right"/>
            </w:pPr>
            <w:r/>
            <w:r>
              <w:rPr>
                <w:rFonts w:ascii="Garamond" w:hAnsi="Garamond"/>
                <w:sz w:val="17"/>
              </w:rPr>
              <w:t>4.7x</w:t>
            </w:r>
          </w:p>
        </w:tc>
        <w:tc>
          <w:tcPr>
            <w:tcW w:type="dxa" w:w="1560"/>
          </w:tcPr>
          <w:p>
            <w:pPr>
              <w:spacing w:line="240" w:lineRule="auto"/>
              <w:jc w:val="right"/>
            </w:pPr>
            <w:r/>
            <w:r>
              <w:rPr>
                <w:rFonts w:ascii="Garamond" w:hAnsi="Garamond"/>
                <w:sz w:val="17"/>
              </w:rPr>
              <w:t>68%</w:t>
            </w:r>
          </w:p>
        </w:tc>
      </w:tr>
      <w:tr>
        <w:tc>
          <w:tcPr>
            <w:tcW w:type="dxa" w:w="1560"/>
          </w:tcPr>
          <w:p>
            <w:pPr>
              <w:spacing w:line="240" w:lineRule="auto"/>
            </w:pPr>
            <w:r/>
            <w:r>
              <w:rPr>
                <w:rFonts w:ascii="Garamond" w:hAnsi="Garamond"/>
                <w:sz w:val="17"/>
              </w:rPr>
              <w:t>Fox Ridge Homes, Inc.</w:t>
            </w:r>
          </w:p>
        </w:tc>
        <w:tc>
          <w:tcPr>
            <w:tcW w:type="dxa" w:w="1560"/>
          </w:tcPr>
          <w:p>
            <w:pPr>
              <w:spacing w:line="240" w:lineRule="auto"/>
              <w:jc w:val="right"/>
            </w:pPr>
            <w:r/>
            <w:r>
              <w:rPr>
                <w:rFonts w:ascii="Garamond" w:hAnsi="Garamond"/>
                <w:sz w:val="17"/>
              </w:rPr>
              <w:t>36</w:t>
            </w:r>
          </w:p>
        </w:tc>
        <w:tc>
          <w:tcPr>
            <w:tcW w:type="dxa" w:w="1560"/>
          </w:tcPr>
          <w:p>
            <w:pPr>
              <w:spacing w:line="240" w:lineRule="auto"/>
              <w:jc w:val="right"/>
            </w:pPr>
            <w:r/>
            <w:r>
              <w:rPr>
                <w:rFonts w:ascii="Garamond" w:hAnsi="Garamond"/>
                <w:sz w:val="17"/>
              </w:rPr>
              <w:t>$16,572,500</w:t>
            </w:r>
          </w:p>
        </w:tc>
        <w:tc>
          <w:tcPr>
            <w:tcW w:type="dxa" w:w="1560"/>
          </w:tcPr>
          <w:p>
            <w:pPr>
              <w:spacing w:line="240" w:lineRule="auto"/>
              <w:jc w:val="right"/>
            </w:pPr>
            <w:r/>
            <w:r>
              <w:rPr>
                <w:rFonts w:ascii="Garamond" w:hAnsi="Garamond"/>
                <w:sz w:val="17"/>
              </w:rPr>
              <w:t>$327,043,760</w:t>
            </w:r>
          </w:p>
        </w:tc>
        <w:tc>
          <w:tcPr>
            <w:tcW w:type="dxa" w:w="1560"/>
          </w:tcPr>
          <w:p>
            <w:pPr>
              <w:spacing w:line="240" w:lineRule="auto"/>
              <w:jc w:val="right"/>
            </w:pPr>
            <w:r/>
            <w:r>
              <w:rPr>
                <w:rFonts w:ascii="Garamond" w:hAnsi="Garamond"/>
                <w:sz w:val="17"/>
              </w:rPr>
              <w:t>21.4x</w:t>
            </w:r>
          </w:p>
        </w:tc>
        <w:tc>
          <w:tcPr>
            <w:tcW w:type="dxa" w:w="1560"/>
          </w:tcPr>
          <w:p>
            <w:pPr>
              <w:spacing w:line="240" w:lineRule="auto"/>
              <w:jc w:val="right"/>
            </w:pPr>
            <w:r/>
            <w:r>
              <w:rPr>
                <w:rFonts w:ascii="Garamond" w:hAnsi="Garamond"/>
                <w:sz w:val="17"/>
              </w:rPr>
              <w:t>1,279%</w:t>
            </w:r>
          </w:p>
        </w:tc>
      </w:tr>
      <w:tr>
        <w:tc>
          <w:tcPr>
            <w:tcW w:type="dxa" w:w="1560"/>
          </w:tcPr>
          <w:p>
            <w:pPr>
              <w:spacing w:line="240" w:lineRule="auto"/>
            </w:pPr>
            <w:r/>
            <w:r>
              <w:rPr>
                <w:rFonts w:ascii="Garamond" w:hAnsi="Garamond"/>
                <w:sz w:val="17"/>
              </w:rPr>
              <w:t>Oliveri, LLC</w:t>
            </w:r>
          </w:p>
        </w:tc>
        <w:tc>
          <w:tcPr>
            <w:tcW w:type="dxa" w:w="1560"/>
          </w:tcPr>
          <w:p>
            <w:pPr>
              <w:spacing w:line="240" w:lineRule="auto"/>
              <w:jc w:val="right"/>
            </w:pPr>
            <w:r/>
            <w:r>
              <w:rPr>
                <w:rFonts w:ascii="Garamond" w:hAnsi="Garamond"/>
                <w:sz w:val="17"/>
              </w:rPr>
              <w:t>91</w:t>
            </w:r>
          </w:p>
        </w:tc>
        <w:tc>
          <w:tcPr>
            <w:tcW w:type="dxa" w:w="1560"/>
          </w:tcPr>
          <w:p>
            <w:pPr>
              <w:spacing w:line="240" w:lineRule="auto"/>
              <w:jc w:val="right"/>
            </w:pPr>
            <w:r/>
            <w:r>
              <w:rPr>
                <w:rFonts w:ascii="Garamond" w:hAnsi="Garamond"/>
                <w:sz w:val="17"/>
              </w:rPr>
              <w:t>$63,700,000</w:t>
            </w:r>
          </w:p>
        </w:tc>
        <w:tc>
          <w:tcPr>
            <w:tcW w:type="dxa" w:w="1560"/>
          </w:tcPr>
          <w:p>
            <w:pPr>
              <w:spacing w:line="240" w:lineRule="auto"/>
              <w:jc w:val="right"/>
            </w:pPr>
            <w:r/>
            <w:r>
              <w:rPr>
                <w:rFonts w:ascii="Garamond" w:hAnsi="Garamond"/>
                <w:sz w:val="17"/>
              </w:rPr>
              <w:t>$250,687,000</w:t>
            </w:r>
          </w:p>
        </w:tc>
        <w:tc>
          <w:tcPr>
            <w:tcW w:type="dxa" w:w="1560"/>
          </w:tcPr>
          <w:p>
            <w:pPr>
              <w:spacing w:line="240" w:lineRule="auto"/>
              <w:jc w:val="right"/>
            </w:pPr>
            <w:r/>
            <w:r>
              <w:rPr>
                <w:rFonts w:ascii="Garamond" w:hAnsi="Garamond"/>
                <w:sz w:val="17"/>
              </w:rPr>
              <w:t>3.8x</w:t>
            </w:r>
          </w:p>
        </w:tc>
        <w:tc>
          <w:tcPr>
            <w:tcW w:type="dxa" w:w="1560"/>
          </w:tcPr>
          <w:p>
            <w:pPr>
              <w:spacing w:line="240" w:lineRule="auto"/>
              <w:jc w:val="right"/>
            </w:pPr>
            <w:r/>
            <w:r>
              <w:rPr>
                <w:rFonts w:ascii="Garamond" w:hAnsi="Garamond"/>
                <w:sz w:val="17"/>
              </w:rPr>
              <w:t>37%</w:t>
            </w:r>
          </w:p>
        </w:tc>
      </w:tr>
      <w:tr>
        <w:tc>
          <w:tcPr>
            <w:tcW w:type="dxa" w:w="1560"/>
          </w:tcPr>
          <w:p>
            <w:pPr>
              <w:spacing w:line="240" w:lineRule="auto"/>
            </w:pPr>
            <w:r/>
            <w:r>
              <w:rPr>
                <w:rFonts w:ascii="Garamond" w:hAnsi="Garamond"/>
                <w:sz w:val="17"/>
              </w:rPr>
              <w:t>SNY of Tennessee, LLC</w:t>
            </w:r>
          </w:p>
        </w:tc>
        <w:tc>
          <w:tcPr>
            <w:tcW w:type="dxa" w:w="1560"/>
          </w:tcPr>
          <w:p>
            <w:pPr>
              <w:spacing w:line="240" w:lineRule="auto"/>
              <w:jc w:val="right"/>
            </w:pPr>
            <w:r/>
            <w:r>
              <w:rPr>
                <w:rFonts w:ascii="Garamond" w:hAnsi="Garamond"/>
                <w:sz w:val="17"/>
              </w:rPr>
              <w:t>30</w:t>
            </w:r>
          </w:p>
        </w:tc>
        <w:tc>
          <w:tcPr>
            <w:tcW w:type="dxa" w:w="1560"/>
          </w:tcPr>
          <w:p>
            <w:pPr>
              <w:spacing w:line="240" w:lineRule="auto"/>
              <w:jc w:val="right"/>
            </w:pPr>
            <w:r/>
            <w:r>
              <w:rPr>
                <w:rFonts w:ascii="Garamond" w:hAnsi="Garamond"/>
                <w:sz w:val="17"/>
              </w:rPr>
              <w:t>$22,460,000</w:t>
            </w:r>
          </w:p>
        </w:tc>
        <w:tc>
          <w:tcPr>
            <w:tcW w:type="dxa" w:w="1560"/>
          </w:tcPr>
          <w:p>
            <w:pPr>
              <w:spacing w:line="240" w:lineRule="auto"/>
              <w:jc w:val="right"/>
            </w:pPr>
            <w:r/>
            <w:r>
              <w:rPr>
                <w:rFonts w:ascii="Garamond" w:hAnsi="Garamond"/>
                <w:sz w:val="17"/>
              </w:rPr>
              <w:t>$102,000,000</w:t>
            </w:r>
          </w:p>
        </w:tc>
        <w:tc>
          <w:tcPr>
            <w:tcW w:type="dxa" w:w="1560"/>
          </w:tcPr>
          <w:p>
            <w:pPr>
              <w:spacing w:line="240" w:lineRule="auto"/>
              <w:jc w:val="right"/>
            </w:pPr>
            <w:r/>
            <w:r>
              <w:rPr>
                <w:rFonts w:ascii="Garamond" w:hAnsi="Garamond"/>
                <w:sz w:val="17"/>
              </w:rPr>
              <w:t>4.5x</w:t>
            </w:r>
          </w:p>
        </w:tc>
        <w:tc>
          <w:tcPr>
            <w:tcW w:type="dxa" w:w="1560"/>
          </w:tcPr>
          <w:p>
            <w:pPr>
              <w:spacing w:line="240" w:lineRule="auto"/>
              <w:jc w:val="right"/>
            </w:pPr>
            <w:r/>
            <w:r>
              <w:rPr>
                <w:rFonts w:ascii="Garamond" w:hAnsi="Garamond"/>
                <w:sz w:val="17"/>
              </w:rPr>
              <w:t>36%</w:t>
            </w:r>
          </w:p>
        </w:tc>
      </w:tr>
      <w:tr>
        <w:tc>
          <w:tcPr>
            <w:tcW w:type="dxa" w:w="1560"/>
          </w:tcPr>
          <w:p>
            <w:pPr>
              <w:spacing w:line="240" w:lineRule="auto"/>
            </w:pPr>
            <w:r/>
            <w:r>
              <w:rPr>
                <w:rFonts w:ascii="Garamond" w:hAnsi="Garamond"/>
                <w:sz w:val="17"/>
              </w:rPr>
              <w:t>Drapac Group 46, LLC</w:t>
            </w:r>
          </w:p>
        </w:tc>
        <w:tc>
          <w:tcPr>
            <w:tcW w:type="dxa" w:w="1560"/>
          </w:tcPr>
          <w:p>
            <w:pPr>
              <w:spacing w:line="240" w:lineRule="auto"/>
              <w:jc w:val="right"/>
            </w:pPr>
            <w:r/>
            <w:r>
              <w:rPr>
                <w:rFonts w:ascii="Garamond" w:hAnsi="Garamond"/>
                <w:sz w:val="17"/>
              </w:rPr>
              <w:t>6</w:t>
            </w:r>
          </w:p>
        </w:tc>
        <w:tc>
          <w:tcPr>
            <w:tcW w:type="dxa" w:w="1560"/>
          </w:tcPr>
          <w:p>
            <w:pPr>
              <w:spacing w:line="240" w:lineRule="auto"/>
              <w:jc w:val="right"/>
            </w:pPr>
            <w:r/>
            <w:r>
              <w:rPr>
                <w:rFonts w:ascii="Garamond" w:hAnsi="Garamond"/>
                <w:sz w:val="17"/>
              </w:rPr>
              <w:t>$3,000,000</w:t>
            </w:r>
          </w:p>
        </w:tc>
        <w:tc>
          <w:tcPr>
            <w:tcW w:type="dxa" w:w="1560"/>
          </w:tcPr>
          <w:p>
            <w:pPr>
              <w:spacing w:line="240" w:lineRule="auto"/>
              <w:jc w:val="right"/>
            </w:pPr>
            <w:r/>
            <w:r>
              <w:rPr>
                <w:rFonts w:ascii="Garamond" w:hAnsi="Garamond"/>
                <w:sz w:val="17"/>
              </w:rPr>
              <w:t>$32,100,000</w:t>
            </w:r>
          </w:p>
        </w:tc>
        <w:tc>
          <w:tcPr>
            <w:tcW w:type="dxa" w:w="1560"/>
          </w:tcPr>
          <w:p>
            <w:pPr>
              <w:spacing w:line="240" w:lineRule="auto"/>
              <w:jc w:val="right"/>
            </w:pPr>
            <w:r/>
            <w:r>
              <w:rPr>
                <w:rFonts w:ascii="Garamond" w:hAnsi="Garamond"/>
                <w:sz w:val="17"/>
              </w:rPr>
              <w:t>10.7x</w:t>
            </w:r>
          </w:p>
        </w:tc>
        <w:tc>
          <w:tcPr>
            <w:tcW w:type="dxa" w:w="1560"/>
          </w:tcPr>
          <w:p>
            <w:pPr>
              <w:spacing w:line="240" w:lineRule="auto"/>
              <w:jc w:val="right"/>
            </w:pPr>
            <w:r/>
            <w:r>
              <w:rPr>
                <w:rFonts w:ascii="Garamond" w:hAnsi="Garamond"/>
                <w:sz w:val="17"/>
              </w:rPr>
              <w:t>35%</w:t>
            </w:r>
          </w:p>
        </w:tc>
      </w:tr>
      <w:tr>
        <w:tc>
          <w:tcPr>
            <w:tcW w:type="dxa" w:w="1560"/>
          </w:tcPr>
          <w:p>
            <w:pPr>
              <w:spacing w:line="240" w:lineRule="auto"/>
            </w:pPr>
            <w:r/>
            <w:r>
              <w:rPr>
                <w:rFonts w:ascii="Garamond" w:hAnsi="Garamond"/>
                <w:sz w:val="17"/>
              </w:rPr>
              <w:t>Schell Brothers Nashville, LLC</w:t>
            </w:r>
          </w:p>
        </w:tc>
        <w:tc>
          <w:tcPr>
            <w:tcW w:type="dxa" w:w="1560"/>
          </w:tcPr>
          <w:p>
            <w:pPr>
              <w:spacing w:line="240" w:lineRule="auto"/>
              <w:jc w:val="right"/>
            </w:pPr>
            <w:r/>
            <w:r>
              <w:rPr>
                <w:rFonts w:ascii="Garamond" w:hAnsi="Garamond"/>
                <w:sz w:val="17"/>
              </w:rPr>
              <w:t>10</w:t>
            </w:r>
          </w:p>
        </w:tc>
        <w:tc>
          <w:tcPr>
            <w:tcW w:type="dxa" w:w="1560"/>
          </w:tcPr>
          <w:p>
            <w:pPr>
              <w:spacing w:line="240" w:lineRule="auto"/>
              <w:jc w:val="right"/>
            </w:pPr>
            <w:r/>
            <w:r>
              <w:rPr>
                <w:rFonts w:ascii="Garamond" w:hAnsi="Garamond"/>
                <w:sz w:val="17"/>
              </w:rPr>
              <w:t>$11,500,000</w:t>
            </w:r>
          </w:p>
        </w:tc>
        <w:tc>
          <w:tcPr>
            <w:tcW w:type="dxa" w:w="1560"/>
          </w:tcPr>
          <w:p>
            <w:pPr>
              <w:spacing w:line="240" w:lineRule="auto"/>
              <w:jc w:val="right"/>
            </w:pPr>
            <w:r/>
            <w:r>
              <w:rPr>
                <w:rFonts w:ascii="Garamond" w:hAnsi="Garamond"/>
                <w:sz w:val="17"/>
              </w:rPr>
              <w:t>$22,550,000</w:t>
            </w:r>
          </w:p>
        </w:tc>
        <w:tc>
          <w:tcPr>
            <w:tcW w:type="dxa" w:w="1560"/>
          </w:tcPr>
          <w:p>
            <w:pPr>
              <w:spacing w:line="240" w:lineRule="auto"/>
              <w:jc w:val="right"/>
            </w:pPr>
            <w:r/>
            <w:r>
              <w:rPr>
                <w:rFonts w:ascii="Garamond" w:hAnsi="Garamond"/>
                <w:sz w:val="17"/>
              </w:rPr>
              <w:t>2.0x</w:t>
            </w:r>
          </w:p>
        </w:tc>
        <w:tc>
          <w:tcPr>
            <w:tcW w:type="dxa" w:w="1560"/>
          </w:tcPr>
          <w:p>
            <w:pPr>
              <w:spacing w:line="240" w:lineRule="auto"/>
              <w:jc w:val="right"/>
            </w:pPr>
            <w:r/>
            <w:r>
              <w:rPr>
                <w:rFonts w:ascii="Garamond" w:hAnsi="Garamond"/>
                <w:sz w:val="17"/>
              </w:rPr>
              <w:t>62%</w:t>
            </w:r>
          </w:p>
        </w:tc>
      </w:tr>
      <w:tr>
        <w:tc>
          <w:tcPr>
            <w:tcW w:type="dxa" w:w="1560"/>
          </w:tcPr>
          <w:p>
            <w:pPr>
              <w:spacing w:line="240" w:lineRule="auto"/>
            </w:pPr>
            <w:r/>
            <w:r>
              <w:rPr>
                <w:rFonts w:ascii="Garamond" w:hAnsi="Garamond"/>
                <w:sz w:val="17"/>
              </w:rPr>
              <w:t>1201 Neelys Bend Road, LLC</w:t>
            </w:r>
          </w:p>
        </w:tc>
        <w:tc>
          <w:tcPr>
            <w:tcW w:type="dxa" w:w="1560"/>
          </w:tcPr>
          <w:p>
            <w:pPr>
              <w:spacing w:line="240" w:lineRule="auto"/>
              <w:jc w:val="right"/>
            </w:pPr>
            <w:r/>
            <w:r>
              <w:rPr>
                <w:rFonts w:ascii="Garamond" w:hAnsi="Garamond"/>
                <w:sz w:val="17"/>
              </w:rPr>
              <w:t>68</w:t>
            </w:r>
          </w:p>
        </w:tc>
        <w:tc>
          <w:tcPr>
            <w:tcW w:type="dxa" w:w="1560"/>
          </w:tcPr>
          <w:p>
            <w:pPr>
              <w:spacing w:line="240" w:lineRule="auto"/>
              <w:jc w:val="right"/>
            </w:pPr>
            <w:r/>
            <w:r>
              <w:rPr>
                <w:rFonts w:ascii="Garamond" w:hAnsi="Garamond"/>
                <w:sz w:val="17"/>
              </w:rPr>
              <w:t>$16,790,000</w:t>
            </w:r>
          </w:p>
        </w:tc>
        <w:tc>
          <w:tcPr>
            <w:tcW w:type="dxa" w:w="1560"/>
          </w:tcPr>
          <w:p>
            <w:pPr>
              <w:spacing w:line="240" w:lineRule="auto"/>
              <w:jc w:val="right"/>
            </w:pPr>
            <w:r/>
            <w:r>
              <w:rPr>
                <w:rFonts w:ascii="Garamond" w:hAnsi="Garamond"/>
                <w:sz w:val="17"/>
              </w:rPr>
              <w:t>$24,207,775</w:t>
            </w:r>
          </w:p>
        </w:tc>
        <w:tc>
          <w:tcPr>
            <w:tcW w:type="dxa" w:w="1560"/>
          </w:tcPr>
          <w:p>
            <w:pPr>
              <w:spacing w:line="240" w:lineRule="auto"/>
              <w:jc w:val="right"/>
            </w:pPr>
            <w:r/>
            <w:r>
              <w:rPr>
                <w:rFonts w:ascii="Garamond" w:hAnsi="Garamond"/>
                <w:sz w:val="17"/>
              </w:rPr>
              <w:t>2.0x</w:t>
            </w:r>
          </w:p>
        </w:tc>
        <w:tc>
          <w:tcPr>
            <w:tcW w:type="dxa" w:w="1560"/>
          </w:tcPr>
          <w:p>
            <w:pPr>
              <w:spacing w:line="240" w:lineRule="auto"/>
              <w:jc w:val="right"/>
            </w:pPr>
            <w:r/>
            <w:r>
              <w:rPr>
                <w:rFonts w:ascii="Garamond" w:hAnsi="Garamond"/>
                <w:sz w:val="17"/>
              </w:rPr>
              <w:t>8%</w:t>
            </w:r>
          </w:p>
        </w:tc>
      </w:tr>
      <w:tr>
        <w:tc>
          <w:tcPr>
            <w:tcW w:type="dxa" w:w="1560"/>
          </w:tcPr>
          <w:p>
            <w:pPr>
              <w:spacing w:line="240" w:lineRule="auto"/>
            </w:pPr>
            <w:r/>
            <w:r>
              <w:rPr>
                <w:rFonts w:ascii="Garamond" w:hAnsi="Garamond"/>
                <w:sz w:val="17"/>
              </w:rPr>
              <w:t>Lux Development Group, LLC</w:t>
            </w:r>
          </w:p>
        </w:tc>
        <w:tc>
          <w:tcPr>
            <w:tcW w:type="dxa" w:w="1560"/>
          </w:tcPr>
          <w:p>
            <w:pPr>
              <w:spacing w:line="240" w:lineRule="auto"/>
              <w:jc w:val="right"/>
            </w:pPr>
            <w:r/>
            <w:r>
              <w:rPr>
                <w:rFonts w:ascii="Garamond" w:hAnsi="Garamond"/>
                <w:sz w:val="17"/>
              </w:rPr>
              <w:t>2</w:t>
            </w:r>
          </w:p>
        </w:tc>
        <w:tc>
          <w:tcPr>
            <w:tcW w:type="dxa" w:w="1560"/>
          </w:tcPr>
          <w:p>
            <w:pPr>
              <w:spacing w:line="240" w:lineRule="auto"/>
              <w:jc w:val="right"/>
            </w:pPr>
            <w:r/>
            <w:r>
              <w:rPr>
                <w:rFonts w:ascii="Garamond" w:hAnsi="Garamond"/>
                <w:sz w:val="17"/>
              </w:rPr>
              <w:t>$1,041,334</w:t>
            </w:r>
          </w:p>
        </w:tc>
        <w:tc>
          <w:tcPr>
            <w:tcW w:type="dxa" w:w="1560"/>
          </w:tcPr>
          <w:p>
            <w:pPr>
              <w:spacing w:line="240" w:lineRule="auto"/>
              <w:jc w:val="right"/>
            </w:pPr>
            <w:r/>
            <w:r>
              <w:rPr>
                <w:rFonts w:ascii="Garamond" w:hAnsi="Garamond"/>
                <w:sz w:val="17"/>
              </w:rPr>
              <w:t>$7,398,000</w:t>
            </w:r>
          </w:p>
        </w:tc>
        <w:tc>
          <w:tcPr>
            <w:tcW w:type="dxa" w:w="1560"/>
          </w:tcPr>
          <w:p>
            <w:pPr>
              <w:spacing w:line="240" w:lineRule="auto"/>
              <w:jc w:val="right"/>
            </w:pPr>
            <w:r/>
            <w:r>
              <w:rPr>
                <w:rFonts w:ascii="Garamond" w:hAnsi="Garamond"/>
                <w:sz w:val="17"/>
              </w:rPr>
              <w:t>17.1x</w:t>
            </w:r>
          </w:p>
        </w:tc>
        <w:tc>
          <w:tcPr>
            <w:tcW w:type="dxa" w:w="1560"/>
          </w:tcPr>
          <w:p>
            <w:pPr>
              <w:spacing w:line="240" w:lineRule="auto"/>
              <w:jc w:val="right"/>
            </w:pPr>
            <w:r/>
            <w:r>
              <w:rPr>
                <w:rFonts w:ascii="Garamond" w:hAnsi="Garamond"/>
                <w:sz w:val="17"/>
              </w:rPr>
              <w:t>107%</w:t>
            </w:r>
          </w:p>
        </w:tc>
      </w:tr>
      <w:tr>
        <w:tc>
          <w:tcPr>
            <w:tcW w:type="dxa" w:w="1560"/>
          </w:tcPr>
          <w:p>
            <w:pPr>
              <w:spacing w:line="240" w:lineRule="auto"/>
            </w:pPr>
            <w:r/>
            <w:r>
              <w:rPr>
                <w:rFonts w:ascii="Garamond" w:hAnsi="Garamond"/>
                <w:sz w:val="17"/>
              </w:rPr>
              <w:t>Davenport Downs Holdings, LLC</w:t>
            </w:r>
          </w:p>
        </w:tc>
        <w:tc>
          <w:tcPr>
            <w:tcW w:type="dxa" w:w="1560"/>
          </w:tcPr>
          <w:p>
            <w:pPr>
              <w:spacing w:line="240" w:lineRule="auto"/>
              <w:jc w:val="right"/>
            </w:pPr>
            <w:r/>
            <w:r>
              <w:rPr>
                <w:rFonts w:ascii="Garamond" w:hAnsi="Garamond"/>
                <w:sz w:val="17"/>
              </w:rPr>
              <w:t>5</w:t>
            </w:r>
          </w:p>
        </w:tc>
        <w:tc>
          <w:tcPr>
            <w:tcW w:type="dxa" w:w="1560"/>
          </w:tcPr>
          <w:p>
            <w:pPr>
              <w:spacing w:line="240" w:lineRule="auto"/>
              <w:jc w:val="right"/>
            </w:pPr>
            <w:r/>
            <w:r>
              <w:rPr>
                <w:rFonts w:ascii="Garamond" w:hAnsi="Garamond"/>
                <w:sz w:val="17"/>
              </w:rPr>
              <w:t>$3,731,250</w:t>
            </w:r>
          </w:p>
        </w:tc>
        <w:tc>
          <w:tcPr>
            <w:tcW w:type="dxa" w:w="1560"/>
          </w:tcPr>
          <w:p>
            <w:pPr>
              <w:spacing w:line="240" w:lineRule="auto"/>
              <w:jc w:val="right"/>
            </w:pPr>
            <w:r/>
            <w:r>
              <w:rPr>
                <w:rFonts w:ascii="Garamond" w:hAnsi="Garamond"/>
                <w:sz w:val="17"/>
              </w:rPr>
              <w:t>$10,000,000</w:t>
            </w:r>
          </w:p>
        </w:tc>
        <w:tc>
          <w:tcPr>
            <w:tcW w:type="dxa" w:w="1560"/>
          </w:tcPr>
          <w:p>
            <w:pPr>
              <w:spacing w:line="240" w:lineRule="auto"/>
              <w:jc w:val="right"/>
            </w:pPr>
            <w:r/>
            <w:r>
              <w:rPr>
                <w:rFonts w:ascii="Garamond" w:hAnsi="Garamond"/>
                <w:sz w:val="17"/>
              </w:rPr>
              <w:t>2.7x</w:t>
            </w:r>
          </w:p>
        </w:tc>
        <w:tc>
          <w:tcPr>
            <w:tcW w:type="dxa" w:w="1560"/>
          </w:tcPr>
          <w:p>
            <w:pPr>
              <w:spacing w:line="240" w:lineRule="auto"/>
              <w:jc w:val="right"/>
            </w:pPr>
            <w:r/>
            <w:r>
              <w:rPr>
                <w:rFonts w:ascii="Garamond" w:hAnsi="Garamond"/>
                <w:sz w:val="17"/>
              </w:rPr>
              <w:t>31%</w:t>
            </w:r>
          </w:p>
        </w:tc>
      </w:tr>
    </w:tbl>
    <w:p>
      <w:pPr>
        <w:spacing w:after="0"/>
      </w:pPr>
    </w:p>
    <w:p>
      <w:pPr>
        <w:spacing w:line="240" w:lineRule="auto" w:before="0" w:after="120"/>
      </w:pPr>
      <w:r>
        <w:rPr>
          <w:rFonts w:ascii="Garamond" w:hAnsi="Garamond"/>
          <w:i/>
          <w:sz w:val="19"/>
        </w:rPr>
        <w:t>Notes: Author's seller-to-builder handoff analysis from the Davidson County ParcelHistory ownership layer, https://maps.nashville.gov/arcgis2/rest/services/Parcels/ParcelHistory/MapServer/2. For each entity that acquired parcels and later conveyed them to a homebuilder brand, the table reports the count of handoffs, total acquisition consideration, total conveyance consideration, the median per-parcel markup multiple, and the median annualized return over the hold. Markup and return are medians across handoffs, not portfolio ratios. CSH Property One is a Colony Starwood shell that conveyed to Invitation Homes / Blackstone.</w:t>
      </w:r>
    </w:p>
    <w:p>
      <w:pPr>
        <w:pStyle w:val="Heading1"/>
        <w:spacing w:before="360"/>
      </w:pPr>
      <w:r>
        <w:t>APPENDIX C: BUILDABLE CAPACITY OF ENTITY-HELD VACANT LAND</w:t>
      </w:r>
    </w:p>
    <w:p>
      <w:pPr>
        <w:spacing w:line="240" w:lineRule="auto" w:before="0" w:after="120"/>
      </w:pPr>
      <w:r>
        <w:rPr>
          <w:rFonts w:ascii="Garamond" w:hAnsi="Garamond"/>
          <w:b/>
          <w:sz w:val="19"/>
        </w:rPr>
        <w:t>Table C1:</w:t>
      </w:r>
      <w:r>
        <w:rPr>
          <w:rFonts w:ascii="Garamond" w:hAnsi="Garamond"/>
          <w:sz w:val="19"/>
        </w:rPr>
        <w:t xml:space="preserve"> Homes the entity-held vacant residential land could carry, two ways.</w:t>
      </w:r>
    </w:p>
    <w:tbl>
      <w:tblPr>
        <w:tblW w:type="auto" w:w="0"/>
        <w:tblLayout w:type="autofit"/>
        <w:tblLook w:firstColumn="1" w:firstRow="1" w:lastColumn="0" w:lastRow="0" w:noHBand="0" w:noVBand="1" w:val="04A0"/>
        <w:tblBorders>
          <w:top w:val="single" w:sz="12" w:space="0" w:color="000000"/>
          <w:bottom w:val="single" w:sz="12" w:space="0" w:color="000000"/>
          <w:left w:val="nil" w:sz="0" w:space="0" w:color="000000"/>
          <w:right w:val="nil" w:sz="0" w:space="0" w:color="000000"/>
          <w:insideH w:val="nil" w:sz="0" w:space="0" w:color="000000"/>
          <w:insideV w:val="nil" w:sz="0" w:space="0" w:color="000000"/>
        </w:tblBorders>
      </w:tblPr>
      <w:tblGrid>
        <w:gridCol w:w="1872"/>
        <w:gridCol w:w="1872"/>
        <w:gridCol w:w="1872"/>
        <w:gridCol w:w="1872"/>
        <w:gridCol w:w="1872"/>
      </w:tblGrid>
      <w:tr>
        <w:tc>
          <w:tcPr>
            <w:tcW w:type="dxa" w:w="1872"/>
            <w:tcBorders>
              <w:bottom w:val="single" w:sz="4" w:color="000000"/>
            </w:tcBorders>
          </w:tcPr>
          <w:p>
            <w:pPr>
              <w:spacing w:line="240" w:lineRule="auto"/>
            </w:pPr>
            <w:r>
              <w:rPr>
                <w:b/>
              </w:rPr>
            </w:r>
            <w:r>
              <w:rPr>
                <w:rFonts w:ascii="Garamond" w:hAnsi="Garamond"/>
                <w:b/>
                <w:sz w:val="18"/>
              </w:rPr>
              <w:t>Cut</w:t>
            </w:r>
          </w:p>
        </w:tc>
        <w:tc>
          <w:tcPr>
            <w:tcW w:type="dxa" w:w="1872"/>
            <w:tcBorders>
              <w:bottom w:val="single" w:sz="4" w:color="000000"/>
            </w:tcBorders>
          </w:tcPr>
          <w:p>
            <w:pPr>
              <w:spacing w:line="240" w:lineRule="auto"/>
            </w:pPr>
            <w:r>
              <w:rPr>
                <w:b/>
              </w:rPr>
            </w:r>
            <w:r>
              <w:rPr>
                <w:rFonts w:ascii="Garamond" w:hAnsi="Garamond"/>
                <w:b/>
                <w:sz w:val="18"/>
              </w:rPr>
              <w:t>Parcels</w:t>
            </w:r>
          </w:p>
        </w:tc>
        <w:tc>
          <w:tcPr>
            <w:tcW w:type="dxa" w:w="1872"/>
            <w:tcBorders>
              <w:bottom w:val="single" w:sz="4" w:color="000000"/>
            </w:tcBorders>
          </w:tcPr>
          <w:p>
            <w:pPr>
              <w:spacing w:line="240" w:lineRule="auto"/>
            </w:pPr>
            <w:r>
              <w:rPr>
                <w:b/>
              </w:rPr>
            </w:r>
            <w:r>
              <w:rPr>
                <w:rFonts w:ascii="Garamond" w:hAnsi="Garamond"/>
                <w:b/>
                <w:sz w:val="18"/>
              </w:rPr>
              <w:t>Acres</w:t>
            </w:r>
          </w:p>
        </w:tc>
        <w:tc>
          <w:tcPr>
            <w:tcW w:type="dxa" w:w="1872"/>
            <w:tcBorders>
              <w:bottom w:val="single" w:sz="4" w:color="000000"/>
            </w:tcBorders>
          </w:tcPr>
          <w:p>
            <w:pPr>
              <w:spacing w:line="240" w:lineRule="auto"/>
            </w:pPr>
            <w:r>
              <w:rPr>
                <w:b/>
              </w:rPr>
            </w:r>
            <w:r>
              <w:rPr>
                <w:rFonts w:ascii="Garamond" w:hAnsi="Garamond"/>
                <w:b/>
                <w:sz w:val="18"/>
              </w:rPr>
              <w:t>Homes at market-norm yield</w:t>
            </w:r>
          </w:p>
        </w:tc>
        <w:tc>
          <w:tcPr>
            <w:tcW w:type="dxa" w:w="1872"/>
            <w:tcBorders>
              <w:bottom w:val="single" w:sz="4" w:color="000000"/>
            </w:tcBorders>
          </w:tcPr>
          <w:p>
            <w:pPr>
              <w:spacing w:line="240" w:lineRule="auto"/>
            </w:pPr>
            <w:r>
              <w:rPr>
                <w:b/>
              </w:rPr>
            </w:r>
            <w:r>
              <w:rPr>
                <w:rFonts w:ascii="Garamond" w:hAnsi="Garamond"/>
                <w:b/>
                <w:sz w:val="18"/>
              </w:rPr>
              <w:t>Homes at zoning maximum</w:t>
            </w:r>
          </w:p>
        </w:tc>
      </w:tr>
      <w:tr>
        <w:tc>
          <w:tcPr>
            <w:tcW w:type="dxa" w:w="1872"/>
          </w:tcPr>
          <w:p>
            <w:pPr>
              <w:spacing w:line="240" w:lineRule="auto"/>
            </w:pPr>
            <w:r/>
            <w:r>
              <w:rPr>
                <w:rFonts w:ascii="Garamond" w:hAnsi="Garamond"/>
                <w:sz w:val="18"/>
              </w:rPr>
              <w:t>All entity-owned vacant residential parcels</w:t>
            </w:r>
          </w:p>
        </w:tc>
        <w:tc>
          <w:tcPr>
            <w:tcW w:type="dxa" w:w="1872"/>
          </w:tcPr>
          <w:p>
            <w:pPr>
              <w:spacing w:line="240" w:lineRule="auto"/>
              <w:jc w:val="right"/>
            </w:pPr>
            <w:r/>
            <w:r>
              <w:rPr>
                <w:rFonts w:ascii="Garamond" w:hAnsi="Garamond"/>
                <w:sz w:val="18"/>
              </w:rPr>
              <w:t>8,838</w:t>
            </w:r>
          </w:p>
        </w:tc>
        <w:tc>
          <w:tcPr>
            <w:tcW w:type="dxa" w:w="1872"/>
          </w:tcPr>
          <w:p>
            <w:pPr>
              <w:spacing w:line="240" w:lineRule="auto"/>
              <w:jc w:val="right"/>
            </w:pPr>
            <w:r/>
            <w:r>
              <w:rPr>
                <w:rFonts w:ascii="Garamond" w:hAnsi="Garamond"/>
                <w:sz w:val="18"/>
              </w:rPr>
              <w:t>15,629</w:t>
            </w:r>
          </w:p>
        </w:tc>
        <w:tc>
          <w:tcPr>
            <w:tcW w:type="dxa" w:w="1872"/>
          </w:tcPr>
          <w:p>
            <w:pPr>
              <w:spacing w:line="240" w:lineRule="auto"/>
              <w:jc w:val="right"/>
            </w:pPr>
            <w:r/>
            <w:r>
              <w:rPr>
                <w:rFonts w:ascii="Garamond" w:hAnsi="Garamond"/>
                <w:sz w:val="18"/>
              </w:rPr>
              <w:t>41,136</w:t>
            </w:r>
          </w:p>
        </w:tc>
        <w:tc>
          <w:tcPr>
            <w:tcW w:type="dxa" w:w="1872"/>
          </w:tcPr>
          <w:p>
            <w:pPr>
              <w:spacing w:line="240" w:lineRule="auto"/>
              <w:jc w:val="right"/>
            </w:pPr>
            <w:r/>
            <w:r>
              <w:rPr>
                <w:rFonts w:ascii="Garamond" w:hAnsi="Garamond"/>
                <w:sz w:val="18"/>
              </w:rPr>
              <w:t>72,480</w:t>
            </w:r>
          </w:p>
        </w:tc>
      </w:tr>
      <w:tr>
        <w:tc>
          <w:tcPr>
            <w:tcW w:type="dxa" w:w="1872"/>
          </w:tcPr>
          <w:p>
            <w:pPr>
              <w:spacing w:line="240" w:lineRule="auto"/>
            </w:pPr>
            <w:r/>
            <w:r>
              <w:rPr>
                <w:rFonts w:ascii="Garamond" w:hAnsi="Garamond"/>
                <w:sz w:val="18"/>
              </w:rPr>
              <w:t>Developable cut (parcels of 25 acres or less)</w:t>
            </w:r>
          </w:p>
        </w:tc>
        <w:tc>
          <w:tcPr>
            <w:tcW w:type="dxa" w:w="1872"/>
          </w:tcPr>
          <w:p>
            <w:pPr>
              <w:spacing w:line="240" w:lineRule="auto"/>
              <w:jc w:val="right"/>
            </w:pPr>
            <w:r/>
            <w:r>
              <w:rPr>
                <w:rFonts w:ascii="Garamond" w:hAnsi="Garamond"/>
                <w:sz w:val="18"/>
              </w:rPr>
              <w:t>8,742</w:t>
            </w:r>
          </w:p>
        </w:tc>
        <w:tc>
          <w:tcPr>
            <w:tcW w:type="dxa" w:w="1872"/>
          </w:tcPr>
          <w:p>
            <w:pPr>
              <w:spacing w:line="240" w:lineRule="auto"/>
              <w:jc w:val="right"/>
            </w:pPr>
            <w:r/>
            <w:r>
              <w:rPr>
                <w:rFonts w:ascii="Garamond" w:hAnsi="Garamond"/>
                <w:sz w:val="18"/>
              </w:rPr>
              <w:t>9,214</w:t>
            </w:r>
          </w:p>
        </w:tc>
        <w:tc>
          <w:tcPr>
            <w:tcW w:type="dxa" w:w="1872"/>
          </w:tcPr>
          <w:p>
            <w:pPr>
              <w:spacing w:line="240" w:lineRule="auto"/>
              <w:jc w:val="right"/>
            </w:pPr>
            <w:r/>
            <w:r>
              <w:rPr>
                <w:rFonts w:ascii="Garamond" w:hAnsi="Garamond"/>
                <w:sz w:val="18"/>
              </w:rPr>
              <w:t>26,597</w:t>
            </w:r>
          </w:p>
        </w:tc>
        <w:tc>
          <w:tcPr>
            <w:tcW w:type="dxa" w:w="1872"/>
          </w:tcPr>
          <w:p>
            <w:pPr>
              <w:spacing w:line="240" w:lineRule="auto"/>
              <w:jc w:val="right"/>
            </w:pPr>
            <w:r/>
            <w:r>
              <w:rPr>
                <w:rFonts w:ascii="Garamond" w:hAnsi="Garamond"/>
                <w:sz w:val="18"/>
              </w:rPr>
              <w:t>47,711</w:t>
            </w:r>
          </w:p>
        </w:tc>
      </w:tr>
    </w:tbl>
    <w:p>
      <w:pPr>
        <w:spacing w:after="0"/>
      </w:pPr>
    </w:p>
    <w:p>
      <w:pPr>
        <w:spacing w:line="240" w:lineRule="auto" w:before="0" w:after="120"/>
      </w:pPr>
      <w:r>
        <w:rPr>
          <w:rFonts w:ascii="Garamond" w:hAnsi="Garamond"/>
          <w:i/>
          <w:sz w:val="19"/>
        </w:rPr>
        <w:t>Notes: Entity-owned vacant residential parcels from the Cadastral Layer 4, https://maps.nashville.gov/arcgis/rest/services/Cadastral/Cadastral_Layers/MapServer/4 (land use residential or vacant, improvement appraised value near zero, owner name carrying a business-entity token with government and trusts removed). Zoning maximum applies the base-district density of the transaction year from the ParcelHistory Zoning History layer, https://maps.nashville.gov/arcgis2/rest/services/Parcels/ParcelHistory/MapServer/5. Market-norm yield applies the empirical lot yield in Katz and Willen. The developable cut drops tracts larger than 25 acres, most of them rural, so the range brackets the estimate rather than asserting one number.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rPr>
          <w:rFonts w:ascii="Garamond" w:hAnsi="Garamond"/>
          <w:sz w:val="20"/>
        </w:rPr>
        <w:separator/>
      </w:r>
    </w:p>
  </w:footnote>
  <w:footnote w:type="continuationSeparator" w:id="0">
    <w:p>
      <w:r>
        <w:rPr>
          <w:rFonts w:ascii="Garamond" w:hAnsi="Garamond"/>
          <w:sz w:val="20"/>
        </w:rPr>
        <w:continuationSeparator/>
      </w:r>
    </w:p>
  </w:footnote>
  <w:footnote w:id="1">
    <w:p>
      <w:pPr>
        <w:pStyle w:val="FootnoteText"/>
      </w:pPr>
      <w:r>
        <w:rPr>
          <w:rStyle w:val="FootnoteReference"/>
          <w:rFonts w:ascii="Garamond" w:hAnsi="Garamond"/>
          <w:sz w:val="20"/>
        </w:rPr>
        <w:footnoteRef/>
      </w:r>
      <w:r>
        <w:rPr>
          <w:rFonts w:ascii="Garamond" w:hAnsi="Garamond"/>
          <w:sz w:val="20"/>
        </w:rPr>
        <w:t xml:space="preserve"> KLLB AIV LLC acquired the 14.01-acre City Vista tract for $17,385,000 on Oct. 12, 2023 (Instrument No. 20231012-0079929, https://davidsonportal.com/gis/file.php?file=202310120079929); Memorandum of Option Agreement to Lennar Homes of Tennessee through Jan. 7, 2028 (Instrument No. 20231012-0079931, https://davidsonportal.com/gis/file.php?file=202310120079931). KLLB AIV c/o KL Servicers LLC, 6900 E. Camelback Rd., Suite 1900, Scottsdale, AZ 85251.</w:t>
      </w:r>
    </w:p>
  </w:footnote>
  <w:footnote w:id="2">
    <w:p>
      <w:pPr>
        <w:pStyle w:val="FootnoteText"/>
      </w:pPr>
      <w:r>
        <w:rPr>
          <w:rStyle w:val="FootnoteReference"/>
          <w:rFonts w:ascii="Garamond" w:hAnsi="Garamond"/>
          <w:sz w:val="20"/>
        </w:rPr>
        <w:footnoteRef/>
      </w:r>
      <w:r>
        <w:rPr>
          <w:rFonts w:ascii="Garamond" w:hAnsi="Garamond"/>
          <w:sz w:val="20"/>
        </w:rPr>
        <w:t xml:space="preserve"> Davidson Cnty. Register of Deeds, Reciprocal Easement Agreement, Instrument No. 20231012-0079930 (Oct. 12, 2023) (defining KLLB AIV LLC as "Land Bank Investor"); Declaration of Covenants, Conditions and Restrictions for Pemberton Townhomes, Instrument No. 20250819-0066340 (Aug. 19, 2025) (naming TPG AG EHC SD (LEN) Multi State 1, LLC the "Land Bank").</w:t>
      </w:r>
    </w:p>
  </w:footnote>
  <w:footnote w:id="3">
    <w:p>
      <w:pPr>
        <w:pStyle w:val="FootnoteText"/>
      </w:pPr>
      <w:r>
        <w:rPr>
          <w:rStyle w:val="FootnoteReference"/>
          <w:rFonts w:ascii="Garamond" w:hAnsi="Garamond"/>
          <w:sz w:val="20"/>
        </w:rPr>
        <w:footnoteRef/>
      </w:r>
      <w:r>
        <w:rPr>
          <w:rFonts w:ascii="Garamond" w:hAnsi="Garamond"/>
          <w:sz w:val="20"/>
        </w:rPr>
        <w:t xml:space="preserve"> On the size of the shortage, see Elena Patel et al., Make It Count: Measuring Our Housing Supply Shortage, Brookings Inst. (Nov. 26, 2024), https://www.brookings.edu/articles/make-it-count-measuring-our-housing-supply-shortage/ (1.5 to 5.5 million-unit range); David Wessel, Where Do the Estimates of a "Housing Shortage" Come From?, Brookings Inst. (Oct. 21, 2024), https://www.brookings.edu/articles/where-do-the-estimates-of-a-housing-shortage-come-from/; Kevin Corinth &amp; Hugo Dante, The Understated Housing Shortage in the United States, IZA Discussion Paper No. 15447 (2022), https://ssrn.com/abstract=4178923; Freddie Mac, Housing Supply: A Growing Deficit, Rsch. Note (May 7, 2021), https://www.freddiemac.com/research/insight/20210507-housing-supply. On the causes, see Edward Glaeser, Joseph Gyourko &amp; Raven E. Saks, Urban Growth and Housing Supply, NBER Working Paper No. 11097 (2005), https://www.nber.org/papers/w11097; Edward Glaeser &amp; Joseph Gyourko, The Economic Implications of Housing Supply, 32 J. Econ. Persp. 3 (2018); Leonardo D'Amico et al., Why Has Construction Productivity Stagnated? The Role of Land-Use Regulation, NBER Working Paper No. 33188 (Nov. 2024), https://www.nber.org/papers/w33188; Kirk McClure &amp; Alex Schwartz, Where Is the Housing Shortage?, 35 Hous. Pol'y Debate 49 (2025). On builder concentration as a supply factor, see Peter Wissoker, Putting the Supplier in Housing Supply: The Growth and Concentration of Large Homebuilders in the United States (1990-2007), 26 Hous. Pol'y Debate 205 (2016). For the Congressional Research Service's treatment of the shortage, see Katie Jones, Cong. Rsch. Serv., R48892, Housing Supply: Current Trends and Policy Considerations (Apr. 2, 2026), https://www.congress.gov/crs-product/R48892; Cong. Rsch. Serv., IF12988, Housing Supply (May 7, 2025), https://www.congress.gov/crs-product/IF12988; Lida R. Weinstock, Cong. Rsch. Serv., R47617, U.S. Housing Supply: Recent Trends and Policy Considerations, https://www.congress.gov/crs-product/R47617; Katie Jones &amp; Lida R. Weinstock, Cong. Rsch. Serv., IN12628, Estimates of a "Housing Shortage" (Dec. 15, 2025), https://www.congress.gov/crs-product/IN12628; Cong. Rsch. Serv., IN12195, https://www.congress.gov/crs-product/IN12195. On institutional and private-equity ownership of the rental stock, see Cong. Rsch. Serv., R47332, Ownership of the U.S. Rental Housing Stock by Investor Type: In Brief (Dec. 13, 2022), https://www.congress.gov/crs-product/R47332; Cong. Rsch. Serv., IF13214, Private Equity in Selected Industries: Policy Background (May 4, 2026), https://www.congress.gov/crs-product/IF13214.</w:t>
      </w:r>
    </w:p>
  </w:footnote>
  <w:footnote w:id="4">
    <w:p>
      <w:pPr>
        <w:pStyle w:val="FootnoteText"/>
      </w:pPr>
      <w:r>
        <w:rPr>
          <w:rStyle w:val="FootnoteReference"/>
          <w:rFonts w:ascii="Garamond" w:hAnsi="Garamond"/>
          <w:sz w:val="20"/>
        </w:rPr>
        <w:footnoteRef/>
      </w:r>
      <w:r>
        <w:rPr>
          <w:rFonts w:ascii="Garamond" w:hAnsi="Garamond"/>
          <w:sz w:val="20"/>
        </w:rPr>
        <w:t xml:space="preserve"> Justin Katz &amp; Paul S. Willen, The Effect of Land Supply for New Homes on Residential Investment and House Prices (Fed. Rsrv. Bank of Bos., Working Paper No. 26-7, Apr. 2026), https://www.bostonfed.org/-/media/Documents/Workingpapers/PDF/2026/wp2607.pdf (parcel-level evidence that large buildable parcels are scarce and fragmented, that scarcity raises price growth and lowers development, and that recombining small parcels into larger ones would raise supply and construction productivity while holding total buildable land fixed).</w:t>
      </w:r>
    </w:p>
  </w:footnote>
  <w:footnote w:id="5">
    <w:p>
      <w:pPr>
        <w:pStyle w:val="FootnoteText"/>
      </w:pPr>
      <w:r>
        <w:rPr>
          <w:rStyle w:val="FootnoteReference"/>
          <w:rFonts w:ascii="Garamond" w:hAnsi="Garamond"/>
          <w:sz w:val="20"/>
        </w:rPr>
        <w:footnoteRef/>
      </w:r>
      <w:r>
        <w:rPr>
          <w:rFonts w:ascii="Garamond" w:hAnsi="Garamond"/>
          <w:sz w:val="20"/>
        </w:rPr>
        <w:t xml:space="preserve"> Am. Econ. Liberties Project, Fact Sheet: How Wall Street Drives Land Hoarding and Raises Housing Prices (Jan. 2026), https://www.economicliberties.us/wp-content/uploads/2026/01/2026-1-13-Land-Hoarding-Fact-Sheet-CLEAN.pdf (land banking "involves increasing their land holdings to protect their pricing power" and "secures a 'delay premium' for builders by strategically holding developable land off the market, creating artificial scarcity"; the "land light" strategy uses "a 10% to 20% deposit plus a carry fee" to secure "an 'option' to control vast tracts of land for 2 to 5 years"; "Wall Street homebuilders now control roughly 1 million more lots than they did in 2020," and "D.R. Horton alone owns or controls over 600,000 lots, via land bankers such as Walton Global"; as of mid-2025 D.R. Horton "controlled more than 7 years' worth of lots," which Fitch Ratings called only "modestly above average"; large public builders "enjoyed an average gross margin of nearly 22% over the past decade," and PulteGroup's CEO emphasized "prioritizing price and margin over volume"; and "land prices increased two and a half times as much as the cost of labor and materials," with 63 percent of builders in a 2025 survey citing "lot costs and availability as their most significant building cost problem"). Drawn from Laurel Kilgour, Capital Crunch: How the Fall of Local Finance and the Rise of Shareholder Primacy Warped Single-Family Homebuilding in America, Am. Econ. Liberties Project (Nov. 2025) (lead researcher Ashley Nowicki), https://www.economicliberties.us/wp-content/uploads/2025/11/20251110-aelp-capitalcrunch-final-1.pdf.</w:t>
      </w:r>
    </w:p>
  </w:footnote>
  <w:footnote w:id="6">
    <w:p>
      <w:pPr>
        <w:pStyle w:val="FootnoteText"/>
      </w:pPr>
      <w:r>
        <w:rPr>
          <w:rStyle w:val="FootnoteReference"/>
          <w:rFonts w:ascii="Garamond" w:hAnsi="Garamond"/>
          <w:sz w:val="20"/>
        </w:rPr>
        <w:footnoteRef/>
      </w:r>
      <w:r>
        <w:rPr>
          <w:rFonts w:ascii="Garamond" w:hAnsi="Garamond"/>
          <w:sz w:val="20"/>
        </w:rPr>
        <w:t xml:space="preserve"> Lennar Corp., Lennar Completes Spin-off of Millrose Properties (Feb. 7, 2025), https://newsroom.lennar.com/2025-02-11-Lennar-Completes-Spin-off-of-Millrose-Properties; Millrose Properties, Inc., Annual Report (Form 10-K) for FY 2025 (contributing approximately $5.5 billion in land and $1.0 billion in cash; externally managed by Kennedy Lewis Land and Residential Advisors LLC), https://ir.millroseproperties.com/financials/sec-filings/default.aspx.</w:t>
      </w:r>
    </w:p>
  </w:footnote>
  <w:footnote w:id="7">
    <w:p>
      <w:pPr>
        <w:pStyle w:val="FootnoteText"/>
      </w:pPr>
      <w:r>
        <w:rPr>
          <w:rStyle w:val="FootnoteReference"/>
          <w:rFonts w:ascii="Garamond" w:hAnsi="Garamond"/>
          <w:sz w:val="20"/>
        </w:rPr>
        <w:footnoteRef/>
      </w:r>
      <w:r>
        <w:rPr>
          <w:rFonts w:ascii="Garamond" w:hAnsi="Garamond"/>
          <w:sz w:val="20"/>
        </w:rPr>
        <w:t xml:space="preserve"> For the view that institutional investors add supply and that restricting them would backfire, see Sissi Li, Tobias Peter &amp; Edward J. Pinto, Institutional Investors in the U.S. Housing Market: Myths and Realities, Am. Enter. Inst. (Aug. 25, 2025), https://www.aei.org/research-products/report/institutional-investors-in-the-u-s-housing-market-myths-and-realities/ (full report at https://www.aei.org/wp-content/uploads/2025/08/Reevaluating-the-Role-of-Institutional-Investors-in-U.S.-Housing-Market-final-v2.pdf) (institutional investors hold less than one percent of the national single-family stock; only twenty-two counties, 0.7 percent, reach a 5-to-10 percent share; institutional buying is a reaction to a regulator-made shortage, and the remedy is to build more); Sarah Borchersen-Keto, Single-Family Rental REITs Playing a Growing Role in Boosting Housing Supply, Nareit (Sept. 6, 2024), https://www.reit.com/news/articles/single-family-rental-reits-playing-growing-role-boosting-housing-supply; Edward J. Pinto &amp; Tobias Peter, Senate Investor Ban to Cut Supply and Hurt Low-Income Families, Am. Enter. Inst. (Apr. 10, 2026), https://www.aei.org/wp-content/uploads/2026/04/Senate-Investor-Ban-to-Cut-Supply-and-Hurt-Low-Income-Families-4.10.26.pdf; Joseph Gyourko, The Ripple Effects of Banning Institutional Purchases of Single-Family Rentals, Brookings Inst. (Feb. 23, 2026), https://www.brookings.edu/articles/the-ripple-effects-of-banning-institutional-purchases-of-single-family-rentals/; see also Darryl E. Getter, Cong. Rsch. Serv., IF12225, Single-Family Market Rents and Institutional Investors (Oct. 3, 2022), https://www.congress.gov/crs-product/IF12225; U.S. Gov't Accountability Off., Rental Housing: Information on Institutional Investment in Single-Family Homes, GAO-24-106643 (May 2024), https://www.gao.gov/assets/gao-24-106643.pdf (institutional investors owned roughly 450,000 single-family homes by 2022, about 3 percent of the single-family rental stock). This Article accepts that institutions build and renovate and isolates the distinct upstream question of land withheld before any home exists.</w:t>
      </w:r>
    </w:p>
  </w:footnote>
  <w:footnote w:id="8">
    <w:p>
      <w:pPr>
        <w:pStyle w:val="FootnoteText"/>
      </w:pPr>
      <w:r>
        <w:rPr>
          <w:rStyle w:val="FootnoteReference"/>
          <w:rFonts w:ascii="Garamond" w:hAnsi="Garamond"/>
          <w:sz w:val="20"/>
        </w:rPr>
        <w:footnoteRef/>
      </w:r>
      <w:r>
        <w:rPr>
          <w:rFonts w:ascii="Garamond" w:hAnsi="Garamond"/>
          <w:sz w:val="20"/>
        </w:rPr>
        <w:t xml:space="preserve"> See supra note 5.</w:t>
      </w:r>
    </w:p>
  </w:footnote>
  <w:footnote w:id="9">
    <w:p>
      <w:pPr>
        <w:pStyle w:val="FootnoteText"/>
      </w:pPr>
      <w:r>
        <w:rPr>
          <w:rStyle w:val="FootnoteReference"/>
          <w:rFonts w:ascii="Garamond" w:hAnsi="Garamond"/>
          <w:sz w:val="20"/>
        </w:rPr>
        <w:footnoteRef/>
      </w:r>
      <w:r>
        <w:rPr>
          <w:rFonts w:ascii="Garamond" w:hAnsi="Garamond"/>
          <w:sz w:val="20"/>
        </w:rPr>
        <w:t xml:space="preserve"> Identification methods, per author's methodology: (1) SEC EDGAR "land bank" keyword search; (2) ParcelHistory transaction analysis of vacant, out-of-state acquisitions and hold duration; (3) known-landbanker roster (e.g., Walton) pulled from the Parcels feature service; (4) parcel acreage measured against years held. See Part IV.B.</w:t>
      </w:r>
    </w:p>
  </w:footnote>
  <w:footnote w:id="10">
    <w:p>
      <w:pPr>
        <w:pStyle w:val="FootnoteText"/>
      </w:pPr>
      <w:r>
        <w:rPr>
          <w:rStyle w:val="FootnoteReference"/>
          <w:rFonts w:ascii="Garamond" w:hAnsi="Garamond"/>
          <w:sz w:val="20"/>
        </w:rPr>
        <w:footnoteRef/>
      </w:r>
      <w:r>
        <w:rPr>
          <w:rFonts w:ascii="Garamond" w:hAnsi="Garamond"/>
          <w:sz w:val="20"/>
        </w:rPr>
        <w:t xml:space="preserve"> See supra note 2.</w:t>
      </w:r>
    </w:p>
  </w:footnote>
  <w:footnote w:id="11">
    <w:p>
      <w:pPr>
        <w:pStyle w:val="FootnoteText"/>
      </w:pPr>
      <w:r>
        <w:rPr>
          <w:rStyle w:val="FootnoteReference"/>
          <w:rFonts w:ascii="Garamond" w:hAnsi="Garamond"/>
          <w:sz w:val="20"/>
        </w:rPr>
        <w:footnoteRef/>
      </w:r>
      <w:r>
        <w:rPr>
          <w:rFonts w:ascii="Garamond" w:hAnsi="Garamond"/>
          <w:sz w:val="20"/>
        </w:rPr>
        <w:t xml:space="preserve"> Author's queries of the Davidson Cadastral Layer 4 owner field for each of the seventeen vehicle names, run October 19, 2026 (for example https://maps.nashville.gov/arcgis/rest/services/Cadastral/Cadastral_Layers/MapServer/4/query?where=UPPER(Owner)+LIKE+'%25KLLB+AIV%25'&amp;outFields=Owner,Acres,LUDesc,ParID&amp;returnGeometry=false&amp;f=json), against the same roster counted from the same layer on June 24, 2026. The June count of 1,444 covered sixteen vehicles with a seventeenth, 1207B BCP, listed as a single project without a count; the October count of 993 covers all seventeen. Counts rise when a vehicle plats a tract into lots and fall as lots are taken down, so they measure the stage of each deal, not acreage banked. See Appendix Table A2; the query log is a replication file in the online data appendix.</w:t>
      </w:r>
    </w:p>
  </w:footnote>
  <w:footnote w:id="12">
    <w:p>
      <w:pPr>
        <w:pStyle w:val="FootnoteText"/>
      </w:pPr>
      <w:r>
        <w:rPr>
          <w:rStyle w:val="FootnoteReference"/>
          <w:rFonts w:ascii="Garamond" w:hAnsi="Garamond"/>
          <w:sz w:val="20"/>
        </w:rPr>
        <w:footnoteRef/>
      </w:r>
      <w:r>
        <w:rPr>
          <w:rFonts w:ascii="Garamond" w:hAnsi="Garamond"/>
          <w:sz w:val="20"/>
        </w:rPr>
        <w:t xml:space="preserve"> Author's analysis of the nine confirmed residential land-bank option agreements in Davidson County, from the recorded Memoranda of Option Agreement and the current Cadastral owner layer. Eight documented deals cover 248 acres (about 870 homes at 3.5 net lots per acre); the six-entity current snapshot covers 538 acres (about 1,880 homes). Homes-equivalent figures are an entitlement-capacity estimate, not a build forecast. See Appendix Table A1.</w:t>
      </w:r>
    </w:p>
  </w:footnote>
  <w:footnote w:id="13">
    <w:p>
      <w:pPr>
        <w:pStyle w:val="FootnoteText"/>
      </w:pPr>
      <w:r>
        <w:rPr>
          <w:rStyle w:val="FootnoteReference"/>
          <w:rFonts w:ascii="Garamond" w:hAnsi="Garamond"/>
          <w:sz w:val="20"/>
        </w:rPr>
        <w:footnoteRef/>
      </w:r>
      <w:r>
        <w:rPr>
          <w:rFonts w:ascii="Garamond" w:hAnsi="Garamond"/>
          <w:sz w:val="20"/>
        </w:rPr>
        <w:t xml:space="preserve"> Author's vacant-origin trace from the per-parcel, per-year assessment record, ParcelService GetAssessmentHistory, https://maps.nashville.gov/ParcelService/Search.asmx?op=GetAssessmentHistory (136,605 parcels vacant at origin; 93,244 later built, median one year acquisition-to-construction; 43,361 began vacant and remain vacant; of the still-vacant, 88.3 percent private, 21,553 corporate, 9,118 corporate-held ten or more years; Regent Homes the leading private holder). Build year corroborated against the Assessor's year-built, original-builder, and build-permit fields, which agree with the assessment build year within three years for 83 percent of parcels carrying both. Acquisition date and owner state from the ParcelHistory ownership layer, https://maps.nashville.gov/arcgis2/rest/services/Parcels/ParcelHistory/MapServer/2. Replication files in the online data appendix.</w:t>
      </w:r>
    </w:p>
  </w:footnote>
  <w:footnote w:id="14">
    <w:p>
      <w:pPr>
        <w:pStyle w:val="FootnoteText"/>
      </w:pPr>
      <w:r>
        <w:rPr>
          <w:rStyle w:val="FootnoteReference"/>
          <w:rFonts w:ascii="Garamond" w:hAnsi="Garamond"/>
          <w:sz w:val="20"/>
        </w:rPr>
        <w:footnoteRef/>
      </w:r>
      <w:r>
        <w:rPr>
          <w:rFonts w:ascii="Garamond" w:hAnsi="Garamond"/>
          <w:sz w:val="20"/>
        </w:rPr>
        <w:t xml:space="preserve"> Author's assembled deal-chain table, Appendix Table A4 and the instrument-level chains published at https://nataliebaldacci.github.io/Who-Owns-Nashville/LandBank_Takedowns_Nashville.html (eight recorded institutional land-banking chains with acquisition price, aggregate takedown proceeds, and hold to first takedown, each instrument cited to its Davidson County recording number and deed-image URL). Hold to first takedown: KLLB/City Vista 791 days; TPG (LEN)/Pemberton 407 days; Domain/Heritage Creek 370 days; DRP TN 1/Cameron Park 351 days; DRP Multistate/Heritage Creek 1B 48 days; TPG (MTH)/Zermatt-Antioch 14 days.</w:t>
      </w:r>
    </w:p>
  </w:footnote>
  <w:footnote w:id="15">
    <w:p>
      <w:pPr>
        <w:pStyle w:val="FootnoteText"/>
      </w:pPr>
      <w:r>
        <w:rPr>
          <w:rStyle w:val="FootnoteReference"/>
          <w:rFonts w:ascii="Garamond" w:hAnsi="Garamond"/>
          <w:sz w:val="20"/>
        </w:rPr>
        <w:footnoteRef/>
      </w:r>
      <w:r>
        <w:rPr>
          <w:rFonts w:ascii="Garamond" w:hAnsi="Garamond"/>
          <w:sz w:val="20"/>
        </w:rPr>
        <w:t xml:space="preserve"> NIR Homes, Inc. acquired the 3.63-acre parcel Mar. 3, 2022 for $420,000 (Instrument No. DB-20220321 0031903); Metro Ordinance No. BL2024-681 rezoned the assemblage effective Feb. 27, 2025; NIR conveyed the parcel to TPG AG EHC III (MTH) Multi State 1, LLC Dec. 5, 2025 for $3,132,000 (Instrument No. DB-20251216 0099988), a 7.45x markup over 33 months; option to Meritage Homes of Tennessee through Apr. 25, 2029 (Instrument No. 20251216-0099989). https://davidsonportal.com/gis/file.php?file=202512160099988.</w:t>
      </w:r>
    </w:p>
  </w:footnote>
  <w:footnote w:id="16">
    <w:p>
      <w:pPr>
        <w:pStyle w:val="FootnoteText"/>
      </w:pPr>
      <w:r>
        <w:rPr>
          <w:rStyle w:val="FootnoteReference"/>
          <w:rFonts w:ascii="Garamond" w:hAnsi="Garamond"/>
          <w:sz w:val="20"/>
        </w:rPr>
        <w:footnoteRef/>
      </w:r>
      <w:r>
        <w:rPr>
          <w:rFonts w:ascii="Garamond" w:hAnsi="Garamond"/>
          <w:sz w:val="20"/>
        </w:rPr>
        <w:t xml:space="preserve"> American Homes 4 Rent (AMH TN Development) acquisition-to-plat intervals from the ParcelHistory and property-history layers: parcels acquired Nov. 2019 platted by Nov. 2020; a Feb. 28, 2020 acquisition platted Apr. 29, 2022; across ~90 Nashville parcels, one-to-two-year acquisition-to-plat. Contrast with Meritage (~4 years) and Beazer (~3 years). ArcGIS ParcelHistory MapServer Layer 3, https://maps.nashville.gov/arcgis2/rest/services/Parcels/ParcelHistory/MapServer/3.</w:t>
      </w:r>
    </w:p>
  </w:footnote>
  <w:footnote w:id="17">
    <w:p>
      <w:pPr>
        <w:pStyle w:val="FootnoteText"/>
      </w:pPr>
      <w:r>
        <w:rPr>
          <w:rStyle w:val="FootnoteReference"/>
          <w:rFonts w:ascii="Garamond" w:hAnsi="Garamond"/>
          <w:sz w:val="20"/>
        </w:rPr>
        <w:footnoteRef/>
      </w:r>
      <w:r>
        <w:rPr>
          <w:rFonts w:ascii="Garamond" w:hAnsi="Garamond"/>
          <w:sz w:val="20"/>
        </w:rPr>
        <w:t xml:space="preserve"> Author's buildable-capacity analysis of entity-owned vacant residential parcels (8,838 parcels, 15,629 acres; zoning-maximum 72,480 homes, market-norm 41,136; developable cut at 25 acres or less, 8,742 parcels and 9,214 acres, zoning-maximum 47,711 and market-norm 26,597). Zoning density from the transaction-year base district in the ParcelHistory Zoning History layer, https://maps.nashville.gov/arcgis2/rest/services/Parcels/ParcelHistory/MapServer/5; acreage and land use from the Cadastral Layer 4, https://maps.nashville.gov/arcgis/rest/services/Cadastral/Cadastral_Layers/MapServer/4. Market-norm yield follows Katz &amp; Willen, supra note [katz]. See Appendix Table C1; replication files in the online data appendix.</w:t>
      </w:r>
    </w:p>
  </w:footnote>
  <w:footnote w:id="18">
    <w:p>
      <w:pPr>
        <w:pStyle w:val="FootnoteText"/>
      </w:pPr>
      <w:r>
        <w:rPr>
          <w:rStyle w:val="FootnoteReference"/>
          <w:rFonts w:ascii="Garamond" w:hAnsi="Garamond"/>
          <w:sz w:val="20"/>
        </w:rPr>
        <w:footnoteRef/>
      </w:r>
      <w:r>
        <w:rPr>
          <w:rFonts w:ascii="Garamond" w:hAnsi="Garamond"/>
          <w:sz w:val="20"/>
        </w:rPr>
        <w:t xml:space="preserve"> 21st Century ROAD to Housing Act, Pub. L. No. 119-101, § 1001 (2026) (enacted July 11, 2026, without the President's signature), enrolled text at https://www.congress.gov/119/bills/hr6644/BILLS-119hr6644enr.pdf; bill page at https://www.congress.gov/bill/119th-congress/house-bill/6644/text. Section 1001 ("Homes Are for People, Not Corporations"): § 1001(a)(3)(A) (large institutional investor: a for-profit entity engaged in investing in, owning, renting, managing, or holding single-family homes that has investment control of not less than 350 of them); § 1001(a)(3)(B) (investment control reaching ownership or fiduciary authority, general partners and managing members, investment managers and advisers, holders of more than 25 percent of any class of equity, and any other control); § 1001(a)(5) (single-family home: a structure of two or fewer dwelling units, excluding manufactured homes); § 1001(a)(4) (purchase, including mergers, acquisitions, construction, foreclosures, and bulk purchases); § 1001(a)(2)(A) to (K) (excepted purchases, including build-to-rent, renovate-to-rent, homeownership and rent-to-own programs, loss-mitigation acquisitions, and purchases from non-covered investors within two years of the effective date); § 1001(b)(1) (prohibition); § 1001(d)(1) (civil penalties of up to $1,000,000 per violation or three times the purchase price, whichever is greater); § 1001(f) (effective 180 days after enactment; repealed fifteen years after the effective date). See Joseph V. Gatti &amp; Alice S. Hrdy, Congress Limits Institutional Acquisition of Single-Family Homes, Morgan Lewis LawFlash (July 7, 2026), https://www.morganlewis.com/pubs/2026/07/congress-limits-institutional-acquisition-of-single-family-homes. The two legislative vehicles: Renewing Opportunity in the American Dream (ROAD) to Housing Act of 2025, S. 2651, 119th Cong. (2025), https://www.congress.gov/bill/119th-congress/senate-bill/2651; Housing for the 21st Century Act, H.R. 6644, 119th Cong. (introduced Dec. 11, 2025). Votes: H.R. 6644, All Actions, Congress.gov, https://www.congress.gov/bill/119th-congress/house-bill/6644/all-actions (House passed 390-9, Feb. 2026; Senate passed the substitute 89-10, Mar. 2026; final agreement in June 2026, House 358-32 and Senate 85-5; text at 172 Cong. Rec. H4151-H4187 (daily ed. June 23, 2026)). For the Congressional Research Service's analysis, see Henry G. Watson, Cong. Rsch. Serv., R48732, ROAD to Housing Act of 2025, https://www.congress.gov/crs-product/R48732; Henry G. Watson, Cong. Rsch. Serv., R48922, Comparison of Selected Versions of H.R. 6644 (updated May 18, 2026), https://www.congress.gov/crs-product/R48922; Katie Jones &amp; Lida R. Weinstock, Cong. Rsch. Serv., R48849, Housing for the 21st Century Act (May 7, 2026), https://www.congress.gov/crs-product/R48849.</w:t>
      </w:r>
    </w:p>
  </w:footnote>
  <w:footnote w:id="19">
    <w:p>
      <w:pPr>
        <w:pStyle w:val="FootnoteText"/>
      </w:pPr>
      <w:r>
        <w:rPr>
          <w:rStyle w:val="FootnoteReference"/>
          <w:rFonts w:ascii="Garamond" w:hAnsi="Garamond"/>
          <w:sz w:val="20"/>
        </w:rPr>
        <w:footnoteRef/>
      </w:r>
      <w:r>
        <w:rPr>
          <w:rFonts w:ascii="Garamond" w:hAnsi="Garamond"/>
          <w:sz w:val="20"/>
        </w:rPr>
        <w:t xml:space="preserve"> 21st Century ROAD to Housing Act, Pub. L. No. 119-101, § 1001(a)(5)(A) (2026), https://www.congress.gov/119/bills/hr6644/BILLS-119hr6644enr.pdf (defining "single-family home" as "a structure that contains 2 or fewer dwelling units that are each intended for residential occupancy by a single household"); id. § 1001(a)(5)(B) (excluding manufactured homes); id. § 1001(b)(1) (barring a large institutional investor from purchasing "any single-family home" so defined). Because the definition requires a structure, the acquisition or holding of vacant land, which contains no dwelling units, falls outside the ban, as do the Act's separate exceptions for new construction and build-to-rent, id. § 1001(a)(2)(A), (B).</w:t>
      </w:r>
    </w:p>
  </w:footnote>
  <w:footnote w:id="20">
    <w:p>
      <w:pPr>
        <w:pStyle w:val="FootnoteText"/>
      </w:pPr>
      <w:r>
        <w:rPr>
          <w:rStyle w:val="FootnoteReference"/>
          <w:rFonts w:ascii="Garamond" w:hAnsi="Garamond"/>
          <w:sz w:val="20"/>
        </w:rPr>
        <w:footnoteRef/>
      </w:r>
      <w:r>
        <w:rPr>
          <w:rFonts w:ascii="Garamond" w:hAnsi="Garamond"/>
          <w:sz w:val="20"/>
        </w:rPr>
        <w:t xml:space="preserve"> The small literature that measures land banking directly divides between the public model and the private one, and only the second bears on this Article. Cameron Murray models private land banking as optimal delay: a landowner who expects prices to rise maximizes return by holding developable land off the market and releasing it slowly, so the constraint on supply is a designed feature of the strategy rather than an accident of the market. Cameron Murray, Time Is Money: How Land Banking Constrains Housing Supply, 49 J. Hous. Econ. 101708 (2020), https://doi.org/10.1016/j.jhe.2020.101708. Sasu, Squires, and Javed survey the field and find the term itself unsettled, spanning public disposition and private speculation without a fixed boundary, which is the definitional problem Part IV confronts. Amoah Sasu, Graham Squires &amp; Arshad Javed, Land Banking and Land Markets: A Literature Review, 130 Habitat Int'l 102698 (2022), https://doi.org/10.1016/j.habitatint.2022.102698. Whitaker and Fitzpatrick evaluate the public land bank, the institutional land bank's inverse, and measure its effect on surrounding property values. Stephan Whitaker &amp; Thomas J. Fitzpatrick, Land Bank 2.0: An Empirical Evaluation, FRB Cleveland Working Paper No. 12-30r (2014), https://ssrn.com/abstract=2182175. Two Federal Reserve Bank of Philadelphia working papers trace institutional single-family investors through the market and the Great Recession but stop at the finished home, not the land beneath it. Dick Oosthuizen, Institutional Housing Investors and the Great Recession, Fed. Rsrv. Bank of Phila. Working Paper No. 23-22 (Oct. 10, 2023), https://www.philadelphiafed.org/-/media/frbp/assets/working-papers/2023/wp23-22.pdf (institutional investors' share of rental houses rose from 17 percent in 2001 to 28 percent in 2018); Keyoung Lee &amp; David Wylie, Institutional Investors, Rents, and Neighborhood Change in the Single Family Residential Market, Fed. Rsrv. Bank of Phila. Working Paper No. 24-13 (July 2024), https://www.philadelphiafed.org/-/media/frbp/assets/working-papers/2024/wp24-13.pdf (investor share is higher in markets with lower housing values and higher shares of Black and non-college residents, and investors raise rents at 60 percent above the average increase when they first acquire a property).</w:t>
      </w:r>
    </w:p>
  </w:footnote>
  <w:footnote w:id="21">
    <w:p>
      <w:pPr>
        <w:pStyle w:val="FootnoteText"/>
      </w:pPr>
      <w:r>
        <w:rPr>
          <w:rStyle w:val="FootnoteReference"/>
          <w:rFonts w:ascii="Garamond" w:hAnsi="Garamond"/>
          <w:sz w:val="20"/>
        </w:rPr>
        <w:footnoteRef/>
      </w:r>
      <w:r>
        <w:rPr>
          <w:rFonts w:ascii="Garamond" w:hAnsi="Garamond"/>
          <w:sz w:val="20"/>
        </w:rPr>
        <w:t xml:space="preserve"> The single-family rental literature measures the acquisition of finished homes and build-to-rent construction but not the predevelopment land pipeline. Nethercote comes closest. She argues that build-to-rent converts rental housing into a financial asset class and warns that the concealment of institutional actors behind limited-liability entities is a central barrier to measuring who controls that stock, but her subject is the purpose-built rental development, not the land assembly that precedes it. Megan Nethercote, Build-to-Rent and the Financialization of Rental Housing: Future Research Directions, 35 Hous. Stud. 839, 854-56, 861-64 (2020), https://doi.org/10.1080/02673037.2019.1636938. The acquisition literature asks whether an institutional buyer removes an existing home from the owner-occupant market; the question here is upstream of that, whether an institutional holder removes a developable lot from the builder pipeline before any home exists. No published work measures institutional control of the predevelopment land pipeline at parcel granularity in a single county. This Article does.</w:t>
      </w:r>
    </w:p>
  </w:footnote>
  <w:footnote w:id="22">
    <w:p>
      <w:pPr>
        <w:pStyle w:val="FootnoteText"/>
      </w:pPr>
      <w:r>
        <w:rPr>
          <w:rStyle w:val="FootnoteReference"/>
          <w:rFonts w:ascii="Garamond" w:hAnsi="Garamond"/>
          <w:sz w:val="20"/>
        </w:rPr>
        <w:footnoteRef/>
      </w:r>
      <w:r>
        <w:rPr>
          <w:rFonts w:ascii="Garamond" w:hAnsi="Garamond"/>
          <w:sz w:val="20"/>
        </w:rPr>
        <w:t xml:space="preserve"> On land-light structures: builders control lots via options rather than fee ownership and draw them down on a takedown schedule; D.R. Horton and PulteGroup run comparable programs. See John Burns Rsch. &amp; Consulting, Land Banking Grows as a Housing-Industry Strategy, https://jbrec.com/insights/land-banking-grows-as-housing-industry-strategy/; Dechert LLP, Land Banking: A Sound Approach to Residential Real Estate Pre-Development (May 2024), https://www.dechert.com/knowledge/onpoint/2024/5/land-banking--a-sound-approach-to-residential-real-estate-pre-de.html; Land Light, Born of Necessity, Comes of Age as Opportunity, HousingWire, https://www.housingwire.com/articles/land-light-born-of-necessity-comes-of-age-as-opportunity/. See note landhoard for the sourced figures.</w:t>
      </w:r>
    </w:p>
  </w:footnote>
  <w:footnote w:id="23">
    <w:p>
      <w:pPr>
        <w:pStyle w:val="FootnoteText"/>
      </w:pPr>
      <w:r>
        <w:rPr>
          <w:rStyle w:val="FootnoteReference"/>
          <w:rFonts w:ascii="Garamond" w:hAnsi="Garamond"/>
          <w:sz w:val="20"/>
        </w:rPr>
        <w:footnoteRef/>
      </w:r>
      <w:r>
        <w:rPr>
          <w:rFonts w:ascii="Garamond" w:hAnsi="Garamond"/>
          <w:sz w:val="20"/>
        </w:rPr>
        <w:t xml:space="preserve"> See supra note 22.</w:t>
      </w:r>
    </w:p>
  </w:footnote>
  <w:footnote w:id="24">
    <w:p>
      <w:pPr>
        <w:pStyle w:val="FootnoteText"/>
      </w:pPr>
      <w:r>
        <w:rPr>
          <w:rStyle w:val="FootnoteReference"/>
          <w:rFonts w:ascii="Garamond" w:hAnsi="Garamond"/>
          <w:sz w:val="20"/>
        </w:rPr>
        <w:footnoteRef/>
      </w:r>
      <w:r>
        <w:rPr>
          <w:rFonts w:ascii="Garamond" w:hAnsi="Garamond"/>
          <w:sz w:val="20"/>
        </w:rPr>
        <w:t xml:space="preserve"> Laurel Kilgour, Capital Crunch: How the Fall of Local Finance and the Rise of Shareholder Primacy Warped Single-Family Homebuilding in America, Am. Econ. Liberties Project (Nov. 2025), https://www.economicliberties.us/wp-content/uploads/2025/11/20251110-aelp-capitalcrunch-final-1.pdf (finding that "[b]eginning in the late 1970s, a shift in the financing behind homebuilding made smaller-scale single-family homebuilding increasingly difficult, eventually driving the largest homebuilders to go public in capital markets governed by a then-new ideology" of shareholder primacy; community banks and savings-and-loan associations had "served as the financial backbone of homebuilding, channeling local deposits" into construction before regulators closed or merged them; and private credit and private equity moved into the predevelopment finance the local lenders vacated). On the halving of homebuilders and the pre-crisis land run-up, see Brent W. Ambrose, Housing After the Fall: Reassessing the Future of the American Dream, The Homebuilding Industry, Penn State Inst. for Real Estate Studies (Feb. 6, 2009), https://www.smeal.psu.edu/bires/documents/homebuilding/view; Gopal Ahluwalia, Kermit Baker &amp; Kent W. Colton, Concentration in the Homebuilding Industry, Joint Ctr. for Hous. Studies of Harvard Univ. (Apr. 2022), https://www.jchs.harvard.edu/sites/default/files/research/files/harvard_jchs_homebuilding_industry_concentration_ahluwalia_2022.pdf; Cameron Murray, Time Is Money: How Land Banking Constrains Housing Supply, 49 J. Hous. Econ. 101708 (2020), https://doi.org/10.1016/j.jhe.2020.101708.</w:t>
      </w:r>
    </w:p>
  </w:footnote>
  <w:footnote w:id="25">
    <w:p>
      <w:pPr>
        <w:pStyle w:val="FootnoteText"/>
      </w:pPr>
      <w:r>
        <w:rPr>
          <w:rStyle w:val="FootnoteReference"/>
          <w:rFonts w:ascii="Garamond" w:hAnsi="Garamond"/>
          <w:sz w:val="20"/>
        </w:rPr>
        <w:footnoteRef/>
      </w:r>
      <w:r>
        <w:rPr>
          <w:rFonts w:ascii="Garamond" w:hAnsi="Garamond"/>
          <w:sz w:val="20"/>
        </w:rPr>
        <w:t xml:space="preserve"> See supra note 24.</w:t>
      </w:r>
    </w:p>
  </w:footnote>
  <w:footnote w:id="26">
    <w:p>
      <w:pPr>
        <w:pStyle w:val="FootnoteText"/>
      </w:pPr>
      <w:r>
        <w:rPr>
          <w:rStyle w:val="FootnoteReference"/>
          <w:rFonts w:ascii="Garamond" w:hAnsi="Garamond"/>
          <w:sz w:val="20"/>
        </w:rPr>
        <w:footnoteRef/>
      </w:r>
      <w:r>
        <w:rPr>
          <w:rFonts w:ascii="Garamond" w:hAnsi="Garamond"/>
          <w:sz w:val="20"/>
        </w:rPr>
        <w:t xml:space="preserve"> See supra note 24.</w:t>
      </w:r>
    </w:p>
  </w:footnote>
  <w:footnote w:id="27">
    <w:p>
      <w:pPr>
        <w:pStyle w:val="FootnoteText"/>
      </w:pPr>
      <w:r>
        <w:rPr>
          <w:rStyle w:val="FootnoteReference"/>
          <w:rFonts w:ascii="Garamond" w:hAnsi="Garamond"/>
          <w:sz w:val="20"/>
        </w:rPr>
        <w:footnoteRef/>
      </w:r>
      <w:r>
        <w:rPr>
          <w:rFonts w:ascii="Garamond" w:hAnsi="Garamond"/>
          <w:sz w:val="20"/>
        </w:rPr>
        <w:t xml:space="preserve"> See supra note 24.</w:t>
      </w:r>
    </w:p>
  </w:footnote>
  <w:footnote w:id="28">
    <w:p>
      <w:pPr>
        <w:pStyle w:val="FootnoteText"/>
      </w:pPr>
      <w:r>
        <w:rPr>
          <w:rStyle w:val="FootnoteReference"/>
          <w:rFonts w:ascii="Garamond" w:hAnsi="Garamond"/>
          <w:sz w:val="20"/>
        </w:rPr>
        <w:footnoteRef/>
      </w:r>
      <w:r>
        <w:rPr>
          <w:rFonts w:ascii="Garamond" w:hAnsi="Garamond"/>
          <w:sz w:val="20"/>
        </w:rPr>
        <w:t xml:space="preserve"> See supra note 5.</w:t>
      </w:r>
    </w:p>
  </w:footnote>
  <w:footnote w:id="29">
    <w:p>
      <w:pPr>
        <w:pStyle w:val="FootnoteText"/>
      </w:pPr>
      <w:r>
        <w:rPr>
          <w:rStyle w:val="FootnoteReference"/>
          <w:rFonts w:ascii="Garamond" w:hAnsi="Garamond"/>
          <w:sz w:val="20"/>
        </w:rPr>
        <w:footnoteRef/>
      </w:r>
      <w:r>
        <w:rPr>
          <w:rFonts w:ascii="Garamond" w:hAnsi="Garamond"/>
          <w:sz w:val="20"/>
        </w:rPr>
        <w:t xml:space="preserve"> See supra note 5.</w:t>
      </w:r>
    </w:p>
  </w:footnote>
  <w:footnote w:id="30">
    <w:p>
      <w:pPr>
        <w:pStyle w:val="FootnoteText"/>
      </w:pPr>
      <w:r>
        <w:rPr>
          <w:rStyle w:val="FootnoteReference"/>
          <w:rFonts w:ascii="Garamond" w:hAnsi="Garamond"/>
          <w:sz w:val="20"/>
        </w:rPr>
        <w:footnoteRef/>
      </w:r>
      <w:r>
        <w:rPr>
          <w:rFonts w:ascii="Garamond" w:hAnsi="Garamond"/>
          <w:sz w:val="20"/>
        </w:rPr>
        <w:t xml:space="preserve"> See supra note 5.</w:t>
      </w:r>
    </w:p>
  </w:footnote>
  <w:footnote w:id="31">
    <w:p>
      <w:pPr>
        <w:pStyle w:val="FootnoteText"/>
      </w:pPr>
      <w:r>
        <w:rPr>
          <w:rStyle w:val="FootnoteReference"/>
          <w:rFonts w:ascii="Garamond" w:hAnsi="Garamond"/>
          <w:sz w:val="20"/>
        </w:rPr>
        <w:footnoteRef/>
      </w:r>
      <w:r>
        <w:rPr>
          <w:rFonts w:ascii="Garamond" w:hAnsi="Garamond"/>
          <w:sz w:val="20"/>
        </w:rPr>
        <w:t xml:space="preserve"> See supra note 5.</w:t>
      </w:r>
    </w:p>
  </w:footnote>
  <w:footnote w:id="32">
    <w:p>
      <w:pPr>
        <w:pStyle w:val="FootnoteText"/>
      </w:pPr>
      <w:r>
        <w:rPr>
          <w:rStyle w:val="FootnoteReference"/>
          <w:rFonts w:ascii="Garamond" w:hAnsi="Garamond"/>
          <w:sz w:val="20"/>
        </w:rPr>
        <w:footnoteRef/>
      </w:r>
      <w:r>
        <w:rPr>
          <w:rFonts w:ascii="Garamond" w:hAnsi="Garamond"/>
          <w:sz w:val="20"/>
        </w:rPr>
        <w:t xml:space="preserve"> Am. Econ. Liberties Project, Fact Sheet: How Build-To-Rent Homes Limit Single-Family Home Supply and Squeeze Affordability (Jan. 16, 2026), https://www.economicliberties.us/wp-content/uploads/2026/01/Build-to-Rent-Fact-Sheet-1.16.26.pdf (build-to-rent communities are "designed specifically for long-term tenancy and are marketed not to families"; "[s]ince 2019, construction of purpose-built rentals has increased by 134%, reaching 130,000 homes today," and "the BTR share of the single-family market has nearly doubled, jumping from 5% in 2021 to 9% in 2024"; as of mid-2025 the top 100 metros "had over 90,000 BTR units in the active pipeline"; and in July 2025 a private equity firm closed the "first-ever single borrower, single-family rental (SFR) securitization consisting entirely of [build-to-rent] communities," a "$778 million deal"). The named build-to-rent operators and communities are addressed in the separate build-to-rent Part of this series. On the reform side, the later fact sheet (Feb. 25, 2026) urges the Housing Acquisitions Review and Transparency (HART) Act and closing the Hart-Scott-Rodino raw-land exemption, the antitrust-disclosure gap this Article documents in the deed record. https://www.economicliberties.us/wp-content/uploads/2026/02/Build-To-Rent-Fact-Sheet-2.25.26.pdf.</w:t>
      </w:r>
    </w:p>
  </w:footnote>
  <w:footnote w:id="33">
    <w:p>
      <w:pPr>
        <w:pStyle w:val="FootnoteText"/>
      </w:pPr>
      <w:r>
        <w:rPr>
          <w:rStyle w:val="FootnoteReference"/>
          <w:rFonts w:ascii="Garamond" w:hAnsi="Garamond"/>
          <w:sz w:val="20"/>
        </w:rPr>
        <w:footnoteRef/>
      </w:r>
      <w:r>
        <w:rPr>
          <w:rFonts w:ascii="Garamond" w:hAnsi="Garamond"/>
          <w:sz w:val="20"/>
        </w:rPr>
        <w:t xml:space="preserve"> Reciprocal Easement Agreement, supra note [deedproof], Instrument No. 20231012-0079930, https://davidsonportal.com/landrecords/view_image.php?key=/img/tn/davidson/2023/1012/202310120079930.tif.</w:t>
      </w:r>
    </w:p>
  </w:footnote>
  <w:footnote w:id="34">
    <w:p>
      <w:pPr>
        <w:pStyle w:val="FootnoteText"/>
      </w:pPr>
      <w:r>
        <w:rPr>
          <w:rStyle w:val="FootnoteReference"/>
          <w:rFonts w:ascii="Garamond" w:hAnsi="Garamond"/>
          <w:sz w:val="20"/>
        </w:rPr>
        <w:footnoteRef/>
      </w:r>
      <w:r>
        <w:rPr>
          <w:rFonts w:ascii="Garamond" w:hAnsi="Garamond"/>
          <w:sz w:val="20"/>
        </w:rPr>
        <w:t xml:space="preserve"> Declaration of Covenants, Conditions and Restrictions for Pemberton Townhomes, Instrument No. 20250819-0066340, https://davidsonportal.com/landrecords/view_image.php?key=/img/tn/davidson/2025/0819/202508190066340.tif.</w:t>
      </w:r>
    </w:p>
  </w:footnote>
  <w:footnote w:id="35">
    <w:p>
      <w:pPr>
        <w:pStyle w:val="FootnoteText"/>
      </w:pPr>
      <w:r>
        <w:rPr>
          <w:rStyle w:val="FootnoteReference"/>
          <w:rFonts w:ascii="Garamond" w:hAnsi="Garamond"/>
          <w:sz w:val="20"/>
        </w:rPr>
        <w:footnoteRef/>
      </w:r>
      <w:r>
        <w:rPr>
          <w:rFonts w:ascii="Garamond" w:hAnsi="Garamond"/>
          <w:sz w:val="20"/>
        </w:rPr>
        <w:t xml:space="preserve"> Memorandum of Option Agreement between DRP TN 1, LLC ("Owner") and Beazer Homes, LLC ("Builder"), dated Feb. 20, 2019, Davidson Cnty. Register of Deeds, Instrument No. 20190228-0018456, https://davidsonportal.com/gis/file.php?file=201902280018456 (granting Beazer an option over the Nashville single-family lots, term expiring Feb. 28, 2021; owner mailing c/o Beazer Homes, 1000 Abernathy Road, Atlanta).</w:t>
      </w:r>
    </w:p>
  </w:footnote>
  <w:footnote w:id="36">
    <w:p>
      <w:pPr>
        <w:pStyle w:val="FootnoteText"/>
      </w:pPr>
      <w:r>
        <w:rPr>
          <w:rStyle w:val="FootnoteReference"/>
          <w:rFonts w:ascii="Garamond" w:hAnsi="Garamond"/>
          <w:sz w:val="20"/>
        </w:rPr>
        <w:footnoteRef/>
      </w:r>
      <w:r>
        <w:rPr>
          <w:rFonts w:ascii="Garamond" w:hAnsi="Garamond"/>
          <w:sz w:val="20"/>
        </w:rPr>
        <w:t xml:space="preserve"> Memorandum of Option Agreement between DRP Multistate 1, LLC ("Owner") and Clayton Properties Group, Inc. ("Builder"), dated Dec. 22, 2022, Davidson Cnty. Register of Deeds, Instrument Nos. 20221222-0132238, 20221222-0132239, https://davidsonportal.com/gis/file.php?file=202212220132238.</w:t>
      </w:r>
    </w:p>
  </w:footnote>
  <w:footnote w:id="37">
    <w:p>
      <w:pPr>
        <w:pStyle w:val="FootnoteText"/>
      </w:pPr>
      <w:r>
        <w:rPr>
          <w:rStyle w:val="FootnoteReference"/>
          <w:rFonts w:ascii="Garamond" w:hAnsi="Garamond"/>
          <w:sz w:val="20"/>
        </w:rPr>
        <w:footnoteRef/>
      </w:r>
      <w:r>
        <w:rPr>
          <w:rFonts w:ascii="Garamond" w:hAnsi="Garamond"/>
          <w:sz w:val="20"/>
        </w:rPr>
        <w:t xml:space="preserve"> Memorandum of Option Agreement between Millrose Properties Tennessee, LLC and Lennar Homes of Tennessee, LLC, Davidson Cnty. Register of Deeds, Instrument No. 20260408-0028183, https://davidsonportal.com/gis/file.php?file=202604080028183; Memorandum of Option Agreement naming Smith &amp; West, Inc. and LPC TN LLC, dated Sept. 23, 2019; Memorandum of Option Agreement naming Domain Timberlake Multistate 2, LLC, Instrument No. 20241010-0078803, https://davidsonportal.com/gis/file.php?file=202410100078803; Memorandum of Option Agreement naming Ashton Nashville Residential, L.L.C., dated Aug. 14, 2023, Instrument No. 20230814-0063215, https://davidsonportal.com/gis/file.php?file=202308140063215.</w:t>
      </w:r>
    </w:p>
  </w:footnote>
  <w:footnote w:id="38">
    <w:p>
      <w:pPr>
        <w:pStyle w:val="FootnoteText"/>
      </w:pPr>
      <w:r>
        <w:rPr>
          <w:rStyle w:val="FootnoteReference"/>
          <w:rFonts w:ascii="Garamond" w:hAnsi="Garamond"/>
          <w:sz w:val="20"/>
        </w:rPr>
        <w:footnoteRef/>
      </w:r>
      <w:r>
        <w:rPr>
          <w:rFonts w:ascii="Garamond" w:hAnsi="Garamond"/>
          <w:sz w:val="20"/>
        </w:rPr>
        <w:t xml:space="preserve"> Author's assembled source table of recorded Memoranda of Option Agreement, published at https://nataliebaldacci.github.io/Who-Owns-Nashville/LandBank_Option_Agreements.html (twenty instruments, each row pairing the land-banker owner, the builder optionee, the agreement date, the recording number, and the deed-image URL in the Davidson County land-records portal).</w:t>
      </w:r>
    </w:p>
  </w:footnote>
  <w:footnote w:id="39">
    <w:p>
      <w:pPr>
        <w:pStyle w:val="FootnoteText"/>
      </w:pPr>
      <w:r>
        <w:rPr>
          <w:rStyle w:val="FootnoteReference"/>
          <w:rFonts w:ascii="Garamond" w:hAnsi="Garamond"/>
          <w:sz w:val="20"/>
        </w:rPr>
        <w:footnoteRef/>
      </w:r>
      <w:r>
        <w:rPr>
          <w:rFonts w:ascii="Garamond" w:hAnsi="Garamond"/>
          <w:sz w:val="20"/>
        </w:rPr>
        <w:t xml:space="preserve"> See supra note 15.</w:t>
      </w:r>
    </w:p>
  </w:footnote>
  <w:footnote w:id="40">
    <w:p>
      <w:pPr>
        <w:pStyle w:val="FootnoteText"/>
      </w:pPr>
      <w:r>
        <w:rPr>
          <w:rStyle w:val="FootnoteReference"/>
          <w:rFonts w:ascii="Garamond" w:hAnsi="Garamond"/>
          <w:sz w:val="20"/>
        </w:rPr>
        <w:footnoteRef/>
      </w:r>
      <w:r>
        <w:rPr>
          <w:rFonts w:ascii="Garamond" w:hAnsi="Garamond"/>
          <w:sz w:val="20"/>
        </w:rPr>
        <w:t xml:space="preserve"> See supra note 5.</w:t>
      </w:r>
    </w:p>
  </w:footnote>
  <w:footnote w:id="41">
    <w:p>
      <w:pPr>
        <w:pStyle w:val="FootnoteText"/>
      </w:pPr>
      <w:r>
        <w:rPr>
          <w:rStyle w:val="FootnoteReference"/>
          <w:rFonts w:ascii="Garamond" w:hAnsi="Garamond"/>
          <w:sz w:val="20"/>
        </w:rPr>
        <w:footnoteRef/>
      </w:r>
      <w:r>
        <w:rPr>
          <w:rFonts w:ascii="Garamond" w:hAnsi="Garamond"/>
          <w:sz w:val="20"/>
        </w:rPr>
        <w:t xml:space="preserve"> See supra note 5.</w:t>
      </w:r>
    </w:p>
  </w:footnote>
  <w:footnote w:id="42">
    <w:p>
      <w:pPr>
        <w:pStyle w:val="FootnoteText"/>
      </w:pPr>
      <w:r>
        <w:rPr>
          <w:rStyle w:val="FootnoteReference"/>
          <w:rFonts w:ascii="Garamond" w:hAnsi="Garamond"/>
          <w:sz w:val="20"/>
        </w:rPr>
        <w:footnoteRef/>
      </w:r>
      <w:r>
        <w:rPr>
          <w:rFonts w:ascii="Garamond" w:hAnsi="Garamond"/>
          <w:sz w:val="20"/>
        </w:rPr>
        <w:t xml:space="preserve"> See supra note 5.</w:t>
      </w:r>
    </w:p>
  </w:footnote>
  <w:footnote w:id="43">
    <w:p>
      <w:pPr>
        <w:pStyle w:val="FootnoteText"/>
      </w:pPr>
      <w:r>
        <w:rPr>
          <w:rStyle w:val="FootnoteReference"/>
          <w:rFonts w:ascii="Garamond" w:hAnsi="Garamond"/>
          <w:sz w:val="20"/>
        </w:rPr>
        <w:footnoteRef/>
      </w:r>
      <w:r>
        <w:rPr>
          <w:rFonts w:ascii="Garamond" w:hAnsi="Garamond"/>
          <w:sz w:val="20"/>
        </w:rPr>
        <w:t xml:space="preserve"> Public homebuilders' average gross margin near 22 percent over the past decade, meeting earnings expectations by maximizing price over volume. See Laurel Kilgour, Capital Crunch, Am. Econ. Liberties Project (Nov. 2025), https://www.economicliberties.us/wp-content/uploads/2025/11/20251110-aelp-capitalcrunch-final-1.pdf; Christopher Serkin &amp; Ganesh Sitaraman, Post-Neoliberal Housing Policy, Vanderbilt Pol'y Accelerator (Apr. 2025).</w:t>
      </w:r>
    </w:p>
  </w:footnote>
  <w:footnote w:id="44">
    <w:p>
      <w:pPr>
        <w:pStyle w:val="FootnoteText"/>
      </w:pPr>
      <w:r>
        <w:rPr>
          <w:rStyle w:val="FootnoteReference"/>
          <w:rFonts w:ascii="Garamond" w:hAnsi="Garamond"/>
          <w:sz w:val="20"/>
        </w:rPr>
        <w:footnoteRef/>
      </w:r>
      <w:r>
        <w:rPr>
          <w:rFonts w:ascii="Garamond" w:hAnsi="Garamond"/>
          <w:sz w:val="20"/>
        </w:rPr>
        <w:t xml:space="preserve"> Lennar Corp., Q1 2024 Earnings Call (Mar. 14, 2024) (Stuart Miller: "We have also continued to migrate to a land-light balance sheet while we grow our business"), transcript at https://www.fool.com/earnings/call-transcripts/2024/03/14/lennar-len-q1-2024-earnings-call-transcript/; D.R. Horton, PulteGroup, and Dream Finders Homes Forms 10-K describing lot-option and land-banking programs, SEC EDGAR full-text search for "land bank," https://efts.sec.gov/LATEST/search-index?q=%22land+bank%22. See Appendix Table A5.</w:t>
      </w:r>
    </w:p>
  </w:footnote>
  <w:footnote w:id="45">
    <w:p>
      <w:pPr>
        <w:pStyle w:val="FootnoteText"/>
      </w:pPr>
      <w:r>
        <w:rPr>
          <w:rStyle w:val="FootnoteReference"/>
          <w:rFonts w:ascii="Garamond" w:hAnsi="Garamond"/>
          <w:sz w:val="20"/>
        </w:rPr>
        <w:footnoteRef/>
      </w:r>
      <w:r>
        <w:rPr>
          <w:rFonts w:ascii="Garamond" w:hAnsi="Garamond"/>
          <w:sz w:val="20"/>
        </w:rPr>
        <w:t xml:space="preserve"> Land-Light, Born of Necessity, Comes of Age as Opportunity, HousingWire (Nov. 13, 2025), https://www.housingwire.com/articles/land-light-born-of-necessity-comes-of-age-as-opportunity/ (NVR filed bankruptcy in April 1992, emerged in September 1993, and was effectively forced into a balance-sheet-light, low-friction lot-takedown model that competitors later adopted deliberately).</w:t>
      </w:r>
    </w:p>
  </w:footnote>
  <w:footnote w:id="46">
    <w:p>
      <w:pPr>
        <w:pStyle w:val="FootnoteText"/>
      </w:pPr>
      <w:r>
        <w:rPr>
          <w:rStyle w:val="FootnoteReference"/>
          <w:rFonts w:ascii="Garamond" w:hAnsi="Garamond"/>
          <w:sz w:val="20"/>
        </w:rPr>
        <w:footnoteRef/>
      </w:r>
      <w:r>
        <w:rPr>
          <w:rFonts w:ascii="Garamond" w:hAnsi="Garamond"/>
          <w:sz w:val="20"/>
        </w:rPr>
        <w:t xml:space="preserve"> Three structural forms per author's taxonomy: builder-affiliated land developer (D.R. Horton's majority stake in Forestar Group, Inc.); builder-sponsored REIT (Lennar's Millrose Properties); and third-party credit fund (Kennedy Lewis, TPG Angelo Gordon, Brookfield, Walton Global, and private vehicles such as Westport Capital's WCP Homebuilder Inventory Solutions). Forestar figures: Forestar and Five Point Preview Homebuilding's Land-Light Future, HousingWire (Nov. 14, 2025), https://www.housingwire.com/articles/forestar-and-five-point-preview-homebuildings-land-light-future/. Walton figures: Walton Global Launches $250 Million Offering, BusinessWire (July 17, 2025), https://www.businesswire.com/news/home/20250717509861/en; Walton Global, Walton Global Launches U.S. Land Fund for International Investors (Mar. 17, 2026), https://walton.com/walton-global-launches-u-s-land-fund-for-international-investors (the U.S. Land Income and Growth Fund, registered in the Cayman Islands and managed by U.S. Land Manager (BVI) Limited). Vehicle-to-builder pairings from recorded option memoranda and the builders' SEC filings.</w:t>
      </w:r>
    </w:p>
  </w:footnote>
  <w:footnote w:id="47">
    <w:p>
      <w:pPr>
        <w:pStyle w:val="FootnoteText"/>
      </w:pPr>
      <w:r>
        <w:rPr>
          <w:rStyle w:val="FootnoteReference"/>
          <w:rFonts w:ascii="Garamond" w:hAnsi="Garamond"/>
          <w:sz w:val="20"/>
        </w:rPr>
        <w:footnoteRef/>
      </w:r>
      <w:r>
        <w:rPr>
          <w:rFonts w:ascii="Garamond" w:hAnsi="Garamond"/>
          <w:sz w:val="20"/>
        </w:rPr>
        <w:t xml:space="preserve"> Dream Finders Homes, Inc., Annual Report (Form 10-K) for FY 2023, at Note on lot option contracts and land bank entities ("None of the creditors of any of the land bank entities with which we enter into lot option contracts have recourse to our general credit"; the company "has no voting rights" in them), https://www.sec.gov/Archives/edgar/data/1825088/000182508824000015/dfh-20231231.htm.</w:t>
      </w:r>
    </w:p>
  </w:footnote>
  <w:footnote w:id="48">
    <w:p>
      <w:pPr>
        <w:pStyle w:val="FootnoteText"/>
      </w:pPr>
      <w:r>
        <w:rPr>
          <w:rStyle w:val="FootnoteReference"/>
          <w:rFonts w:ascii="Garamond" w:hAnsi="Garamond"/>
          <w:sz w:val="20"/>
        </w:rPr>
        <w:footnoteRef/>
      </w:r>
      <w:r>
        <w:rPr>
          <w:rFonts w:ascii="Garamond" w:hAnsi="Garamond"/>
          <w:sz w:val="20"/>
        </w:rPr>
        <w:t xml:space="preserve"> Taylor Morrison Home Corp., Quarterly Report (Form 10-Q), at "Land Banking Arrangements" (May 1, 2026) (for the quarter ended Mar. 31, 2026) (10,002 lots under land-banking agreements, $1,792.8 million aggregate purchase price, $245.5 million exposure to loss), https://www.sec.gov/Archives/edgar/data/0001562476/000162828026026535/tmhc-20260331.htm; Taylor Morrison Home Corp., Taylor Morrison and Kennedy Lewis Investment Management Agree to Financing Facility for Build-to-Rent Communities (July 23, 2025), https://newsroom.taylormorrison.com/2025-07-23-Taylor-Morrison-and-Kennedy-Lewis-Investment-Management-Agree-to-Financing-Facility-for-Build-to-Rent-Communities ($3 billion of capacity for land, land development, and construction for the Yardly build-to-rent brand, alongside an existing land-banking agreement for the for-sale business).</w:t>
      </w:r>
    </w:p>
  </w:footnote>
  <w:footnote w:id="49">
    <w:p>
      <w:pPr>
        <w:pStyle w:val="FootnoteText"/>
      </w:pPr>
      <w:r>
        <w:rPr>
          <w:rStyle w:val="FootnoteReference"/>
          <w:rFonts w:ascii="Garamond" w:hAnsi="Garamond"/>
          <w:sz w:val="20"/>
        </w:rPr>
        <w:footnoteRef/>
      </w:r>
      <w:r>
        <w:rPr>
          <w:rFonts w:ascii="Garamond" w:hAnsi="Garamond"/>
          <w:sz w:val="20"/>
        </w:rPr>
        <w:t xml:space="preserve"> Additional public filers disclosing land-banking or lot-option arrangements: United Homes Group, Inc. (CIK 0001830188); Terra Capital Group, Inc. (CIK 0001235373); Hovnanian Enterprises, Inc. (DEF 14A, land-banking agreements); Nashville Land Fund, Ltd. (CIK 0000793935). SEC EDGAR full-text search for "land bank," https://efts.sec.gov/LATEST/search-index?q=%22land+bank%22. See Appendix Table A5.</w:t>
      </w:r>
    </w:p>
  </w:footnote>
  <w:footnote w:id="50">
    <w:p>
      <w:pPr>
        <w:pStyle w:val="FootnoteText"/>
      </w:pPr>
      <w:r>
        <w:rPr>
          <w:rStyle w:val="FootnoteReference"/>
          <w:rFonts w:ascii="Garamond" w:hAnsi="Garamond"/>
          <w:sz w:val="20"/>
        </w:rPr>
        <w:footnoteRef/>
      </w:r>
      <w:r>
        <w:rPr>
          <w:rFonts w:ascii="Garamond" w:hAnsi="Garamond"/>
          <w:sz w:val="20"/>
        </w:rPr>
        <w:t xml:space="preserve"> See supra note 12.</w:t>
      </w:r>
    </w:p>
  </w:footnote>
  <w:footnote w:id="51">
    <w:p>
      <w:pPr>
        <w:pStyle w:val="FootnoteText"/>
      </w:pPr>
      <w:r>
        <w:rPr>
          <w:rStyle w:val="FootnoteReference"/>
          <w:rFonts w:ascii="Garamond" w:hAnsi="Garamond"/>
          <w:sz w:val="20"/>
        </w:rPr>
        <w:footnoteRef/>
      </w:r>
      <w:r>
        <w:rPr>
          <w:rFonts w:ascii="Garamond" w:hAnsi="Garamond"/>
          <w:sz w:val="20"/>
        </w:rPr>
        <w:t xml:space="preserve"> See supra note 3.</w:t>
      </w:r>
    </w:p>
  </w:footnote>
  <w:footnote w:id="52">
    <w:p>
      <w:pPr>
        <w:pStyle w:val="FootnoteText"/>
      </w:pPr>
      <w:r>
        <w:rPr>
          <w:rStyle w:val="FootnoteReference"/>
          <w:rFonts w:ascii="Garamond" w:hAnsi="Garamond"/>
          <w:sz w:val="20"/>
        </w:rPr>
        <w:footnoteRef/>
      </w:r>
      <w:r>
        <w:rPr>
          <w:rFonts w:ascii="Garamond" w:hAnsi="Garamond"/>
          <w:sz w:val="20"/>
        </w:rPr>
        <w:t xml:space="preserve"> Lida R. Weinstock, Cong. Rsch. Serv., R47617, U.S. Housing Supply: Recent Trends and Policy Considerations (July 7, 2023), https://www.congress.gov/crs-product/R47617 (housing stock grew at 1.7 percent a year 1968-2000 but 0.7 percent in the past decade; construction material and labor costs doubled 2001-2019). The more recent Congressional Research Service treatment frames the shortage as a measurable band, explaining that "[v]alues above this range represent a surplus of homes, and values below this range represent a shortage of homes," and it locates the deepest shortfall at the bottom of the income distribution: "there is much agreement that there are significant supply shortfalls of affordable housing when it comes to the lowest-income renters," and, citing the National Low Income Housing Coalition, that "the United States has a shortage of 7.2 million rental homes that are affordable and available to extremely low-income renters." Katie Jones, Cong. Rsch. Serv., R48892, Housing Supply: Current Trends and Policy Considerations (Apr. 2, 2026), https://www.congress.gov/crs-product/R48892. The same report documents the disappearance of the small home, finding that "the percentage of single-family homes under 1,400 square feet (sometimes referred to as 'starter homes') that were completed has fallen in recent decades," from 15 percent of completions in 1999 to 10 percent in 2024, and from 14 percent to 4 percent among for-sale homes; it reports thirty-eight affordable and available units per 100 extremely-low-income renter households as of 2023.</w:t>
      </w:r>
    </w:p>
  </w:footnote>
  <w:footnote w:id="53">
    <w:p>
      <w:pPr>
        <w:pStyle w:val="FootnoteText"/>
      </w:pPr>
      <w:r>
        <w:rPr>
          <w:rStyle w:val="FootnoteReference"/>
          <w:rFonts w:ascii="Garamond" w:hAnsi="Garamond"/>
          <w:sz w:val="20"/>
        </w:rPr>
        <w:footnoteRef/>
      </w:r>
      <w:r>
        <w:rPr>
          <w:rFonts w:ascii="Garamond" w:hAnsi="Garamond"/>
          <w:sz w:val="20"/>
        </w:rPr>
        <w:t xml:space="preserve"> See supra note 52.</w:t>
      </w:r>
    </w:p>
  </w:footnote>
  <w:footnote w:id="54">
    <w:p>
      <w:pPr>
        <w:pStyle w:val="FootnoteText"/>
      </w:pPr>
      <w:r>
        <w:rPr>
          <w:rStyle w:val="FootnoteReference"/>
          <w:rFonts w:ascii="Garamond" w:hAnsi="Garamond"/>
          <w:sz w:val="20"/>
        </w:rPr>
        <w:footnoteRef/>
      </w:r>
      <w:r>
        <w:rPr>
          <w:rFonts w:ascii="Garamond" w:hAnsi="Garamond"/>
          <w:sz w:val="20"/>
        </w:rPr>
        <w:t xml:space="preserve"> See supra note 4.</w:t>
      </w:r>
    </w:p>
  </w:footnote>
  <w:footnote w:id="55">
    <w:p>
      <w:pPr>
        <w:pStyle w:val="FootnoteText"/>
      </w:pPr>
      <w:r>
        <w:rPr>
          <w:rStyle w:val="FootnoteReference"/>
          <w:rFonts w:ascii="Garamond" w:hAnsi="Garamond"/>
          <w:sz w:val="20"/>
        </w:rPr>
        <w:footnoteRef/>
      </w:r>
      <w:r>
        <w:rPr>
          <w:rFonts w:ascii="Garamond" w:hAnsi="Garamond"/>
          <w:sz w:val="20"/>
        </w:rPr>
        <w:t xml:space="preserve"> See supra note 5.</w:t>
      </w:r>
    </w:p>
  </w:footnote>
  <w:footnote w:id="56">
    <w:p>
      <w:pPr>
        <w:pStyle w:val="FootnoteText"/>
      </w:pPr>
      <w:r>
        <w:rPr>
          <w:rStyle w:val="FootnoteReference"/>
          <w:rFonts w:ascii="Garamond" w:hAnsi="Garamond"/>
          <w:sz w:val="20"/>
        </w:rPr>
        <w:footnoteRef/>
      </w:r>
      <w:r>
        <w:rPr>
          <w:rFonts w:ascii="Garamond" w:hAnsi="Garamond"/>
          <w:sz w:val="20"/>
        </w:rPr>
        <w:t xml:space="preserve"> See supra note 5.</w:t>
      </w:r>
    </w:p>
  </w:footnote>
  <w:footnote w:id="57">
    <w:p>
      <w:pPr>
        <w:pStyle w:val="FootnoteText"/>
      </w:pPr>
      <w:r>
        <w:rPr>
          <w:rStyle w:val="FootnoteReference"/>
          <w:rFonts w:ascii="Garamond" w:hAnsi="Garamond"/>
          <w:sz w:val="20"/>
        </w:rPr>
        <w:footnoteRef/>
      </w:r>
      <w:r>
        <w:rPr>
          <w:rFonts w:ascii="Garamond" w:hAnsi="Garamond"/>
          <w:sz w:val="20"/>
        </w:rPr>
        <w:t xml:space="preserve"> See supra note 5.</w:t>
      </w:r>
    </w:p>
  </w:footnote>
  <w:footnote w:id="58">
    <w:p>
      <w:pPr>
        <w:pStyle w:val="FootnoteText"/>
      </w:pPr>
      <w:r>
        <w:rPr>
          <w:rStyle w:val="FootnoteReference"/>
          <w:rFonts w:ascii="Garamond" w:hAnsi="Garamond"/>
          <w:sz w:val="20"/>
        </w:rPr>
        <w:footnoteRef/>
      </w:r>
      <w:r>
        <w:rPr>
          <w:rFonts w:ascii="Garamond" w:hAnsi="Garamond"/>
          <w:sz w:val="20"/>
        </w:rPr>
        <w:t xml:space="preserve"> See supra note 5.</w:t>
      </w:r>
    </w:p>
  </w:footnote>
  <w:footnote w:id="59">
    <w:p>
      <w:pPr>
        <w:pStyle w:val="FootnoteText"/>
      </w:pPr>
      <w:r>
        <w:rPr>
          <w:rStyle w:val="FootnoteReference"/>
          <w:rFonts w:ascii="Garamond" w:hAnsi="Garamond"/>
          <w:sz w:val="20"/>
        </w:rPr>
        <w:footnoteRef/>
      </w:r>
      <w:r>
        <w:rPr>
          <w:rFonts w:ascii="Garamond" w:hAnsi="Garamond"/>
          <w:sz w:val="20"/>
        </w:rPr>
        <w:t xml:space="preserve"> See supra note 7.</w:t>
      </w:r>
    </w:p>
  </w:footnote>
  <w:footnote w:id="60">
    <w:p>
      <w:pPr>
        <w:pStyle w:val="FootnoteText"/>
      </w:pPr>
      <w:r>
        <w:rPr>
          <w:rStyle w:val="FootnoteReference"/>
          <w:rFonts w:ascii="Garamond" w:hAnsi="Garamond"/>
          <w:sz w:val="20"/>
        </w:rPr>
        <w:footnoteRef/>
      </w:r>
      <w:r>
        <w:rPr>
          <w:rFonts w:ascii="Garamond" w:hAnsi="Garamond"/>
          <w:sz w:val="20"/>
        </w:rPr>
        <w:t xml:space="preserve"> See supra note 7.</w:t>
      </w:r>
    </w:p>
  </w:footnote>
  <w:footnote w:id="61">
    <w:p>
      <w:pPr>
        <w:pStyle w:val="FootnoteText"/>
      </w:pPr>
      <w:r>
        <w:rPr>
          <w:rStyle w:val="FootnoteReference"/>
          <w:rFonts w:ascii="Garamond" w:hAnsi="Garamond"/>
          <w:sz w:val="20"/>
        </w:rPr>
        <w:footnoteRef/>
      </w:r>
      <w:r>
        <w:rPr>
          <w:rFonts w:ascii="Garamond" w:hAnsi="Garamond"/>
          <w:sz w:val="20"/>
        </w:rPr>
        <w:t xml:space="preserve"> Tobias Peter &amp; Edward Pinto, Housing Supply Is Not Primarily a Financing Problem, American Enterprise Institute Housing Center (June 2026), https://www.aei.org/housing-center/ (concluding that "in many markets policy-induced costs and local feasibility barriers act as the primary constraint on new housing production and are more binding than capital availability alone, regardless of whether financial conditions are tighter or looser," that "the empirical record from local housing markets does not support the view that financing is the dominant constraint on housing supply," and that construction "varied dramatically across markets even when the cost of capital was historically low," disputing the financing-centered framing of the Center for Public Enterprise and the Groundwork Collaborative). For the corresponding land-use reform agenda, see U.S. Chamber of Commerce &amp; American Enterprise Institute Housing Center, Strong Foundations: A Playbook for Housing and Economic Growth (Mar. 12, 2026), https://www.uschamber.com/ (projecting up to roughly 1,678,600 additional homes a year from lot-size and location flexibility, including 518,600 from allowing smaller-lot single-family subdivisions).</w:t>
      </w:r>
    </w:p>
  </w:footnote>
  <w:footnote w:id="62">
    <w:p>
      <w:pPr>
        <w:pStyle w:val="FootnoteText"/>
      </w:pPr>
      <w:r>
        <w:rPr>
          <w:rStyle w:val="FootnoteReference"/>
          <w:rFonts w:ascii="Garamond" w:hAnsi="Garamond"/>
          <w:sz w:val="20"/>
        </w:rPr>
        <w:footnoteRef/>
      </w:r>
      <w:r>
        <w:rPr>
          <w:rFonts w:ascii="Garamond" w:hAnsi="Garamond"/>
          <w:sz w:val="20"/>
        </w:rPr>
        <w:t xml:space="preserve"> See supra note 61.</w:t>
      </w:r>
    </w:p>
  </w:footnote>
  <w:footnote w:id="63">
    <w:p>
      <w:pPr>
        <w:pStyle w:val="FootnoteText"/>
      </w:pPr>
      <w:r>
        <w:rPr>
          <w:rStyle w:val="FootnoteReference"/>
          <w:rFonts w:ascii="Garamond" w:hAnsi="Garamond"/>
          <w:sz w:val="20"/>
        </w:rPr>
        <w:footnoteRef/>
      </w:r>
      <w:r>
        <w:rPr>
          <w:rFonts w:ascii="Garamond" w:hAnsi="Garamond"/>
          <w:sz w:val="20"/>
        </w:rPr>
        <w:t xml:space="preserve"> See supra note 18.</w:t>
      </w:r>
    </w:p>
  </w:footnote>
  <w:footnote w:id="64">
    <w:p>
      <w:pPr>
        <w:pStyle w:val="FootnoteText"/>
      </w:pPr>
      <w:r>
        <w:rPr>
          <w:rStyle w:val="FootnoteReference"/>
          <w:rFonts w:ascii="Garamond" w:hAnsi="Garamond"/>
          <w:sz w:val="20"/>
        </w:rPr>
        <w:footnoteRef/>
      </w:r>
      <w:r>
        <w:rPr>
          <w:rFonts w:ascii="Garamond" w:hAnsi="Garamond"/>
          <w:sz w:val="20"/>
        </w:rPr>
        <w:t xml:space="preserve"> See supra note 18.</w:t>
      </w:r>
    </w:p>
  </w:footnote>
  <w:footnote w:id="65">
    <w:p>
      <w:pPr>
        <w:pStyle w:val="FootnoteText"/>
      </w:pPr>
      <w:r>
        <w:rPr>
          <w:rStyle w:val="FootnoteReference"/>
          <w:rFonts w:ascii="Garamond" w:hAnsi="Garamond"/>
          <w:sz w:val="20"/>
        </w:rPr>
        <w:footnoteRef/>
      </w:r>
      <w:r>
        <w:rPr>
          <w:rFonts w:ascii="Garamond" w:hAnsi="Garamond"/>
          <w:sz w:val="20"/>
        </w:rPr>
        <w:t xml:space="preserve"> See supra note 18.</w:t>
      </w:r>
    </w:p>
  </w:footnote>
  <w:footnote w:id="66">
    <w:p>
      <w:pPr>
        <w:pStyle w:val="FootnoteText"/>
      </w:pPr>
      <w:r>
        <w:rPr>
          <w:rStyle w:val="FootnoteReference"/>
          <w:rFonts w:ascii="Garamond" w:hAnsi="Garamond"/>
          <w:sz w:val="20"/>
        </w:rPr>
        <w:footnoteRef/>
      </w:r>
      <w:r>
        <w:rPr>
          <w:rFonts w:ascii="Garamond" w:hAnsi="Garamond"/>
          <w:sz w:val="20"/>
        </w:rPr>
        <w:t xml:space="preserve"> See supra note 18.</w:t>
      </w:r>
    </w:p>
  </w:footnote>
  <w:footnote w:id="67">
    <w:p>
      <w:pPr>
        <w:pStyle w:val="FootnoteText"/>
      </w:pPr>
      <w:r>
        <w:rPr>
          <w:rStyle w:val="FootnoteReference"/>
          <w:rFonts w:ascii="Garamond" w:hAnsi="Garamond"/>
          <w:sz w:val="20"/>
        </w:rPr>
        <w:footnoteRef/>
      </w:r>
      <w:r>
        <w:rPr>
          <w:rFonts w:ascii="Garamond" w:hAnsi="Garamond"/>
          <w:sz w:val="20"/>
        </w:rPr>
        <w:t xml:space="preserve"> See supra note 18.</w:t>
      </w:r>
    </w:p>
  </w:footnote>
  <w:footnote w:id="68">
    <w:p>
      <w:pPr>
        <w:pStyle w:val="FootnoteText"/>
      </w:pPr>
      <w:r>
        <w:rPr>
          <w:rStyle w:val="FootnoteReference"/>
          <w:rFonts w:ascii="Garamond" w:hAnsi="Garamond"/>
          <w:sz w:val="20"/>
        </w:rPr>
        <w:footnoteRef/>
      </w:r>
      <w:r>
        <w:rPr>
          <w:rFonts w:ascii="Garamond" w:hAnsi="Garamond"/>
          <w:sz w:val="20"/>
        </w:rPr>
        <w:t xml:space="preserve"> See supra note 19.</w:t>
      </w:r>
    </w:p>
  </w:footnote>
  <w:footnote w:id="69">
    <w:p>
      <w:pPr>
        <w:pStyle w:val="FootnoteText"/>
      </w:pPr>
      <w:r>
        <w:rPr>
          <w:rStyle w:val="FootnoteReference"/>
          <w:rFonts w:ascii="Garamond" w:hAnsi="Garamond"/>
          <w:sz w:val="20"/>
        </w:rPr>
        <w:footnoteRef/>
      </w:r>
      <w:r>
        <w:rPr>
          <w:rFonts w:ascii="Garamond" w:hAnsi="Garamond"/>
          <w:sz w:val="20"/>
        </w:rPr>
        <w:t xml:space="preserve"> The argument is one of regulatory substitution: barring institutional capital from the finished-home channel while exempting new construction, build-to-rent, and raw-land acquisition redirects that capital toward the exempt channels rather than out of housing. The build-to-rent and land-banking channels the Act exempts are the channels institutional capital was already entering. See note btr; note landhoard.</w:t>
      </w:r>
    </w:p>
  </w:footnote>
  <w:footnote w:id="70">
    <w:p>
      <w:pPr>
        <w:pStyle w:val="FootnoteText"/>
      </w:pPr>
      <w:r>
        <w:rPr>
          <w:rStyle w:val="FootnoteReference"/>
          <w:rFonts w:ascii="Garamond" w:hAnsi="Garamond"/>
          <w:sz w:val="20"/>
        </w:rPr>
        <w:footnoteRef/>
      </w:r>
      <w:r>
        <w:rPr>
          <w:rFonts w:ascii="Garamond" w:hAnsi="Garamond"/>
          <w:sz w:val="20"/>
        </w:rPr>
        <w:t xml:space="preserve"> See supra note 5.</w:t>
      </w:r>
    </w:p>
  </w:footnote>
  <w:footnote w:id="71">
    <w:p>
      <w:pPr>
        <w:pStyle w:val="FootnoteText"/>
      </w:pPr>
      <w:r>
        <w:rPr>
          <w:rStyle w:val="FootnoteReference"/>
          <w:rFonts w:ascii="Garamond" w:hAnsi="Garamond"/>
          <w:sz w:val="20"/>
        </w:rPr>
        <w:footnoteRef/>
      </w:r>
      <w:r>
        <w:rPr>
          <w:rFonts w:ascii="Garamond" w:hAnsi="Garamond"/>
          <w:sz w:val="20"/>
        </w:rPr>
        <w:t xml:space="preserve"> See supra note 5.</w:t>
      </w:r>
    </w:p>
  </w:footnote>
  <w:footnote w:id="72">
    <w:p>
      <w:pPr>
        <w:pStyle w:val="FootnoteText"/>
      </w:pPr>
      <w:r>
        <w:rPr>
          <w:rStyle w:val="FootnoteReference"/>
          <w:rFonts w:ascii="Garamond" w:hAnsi="Garamond"/>
          <w:sz w:val="20"/>
        </w:rPr>
        <w:footnoteRef/>
      </w:r>
      <w:r>
        <w:rPr>
          <w:rFonts w:ascii="Garamond" w:hAnsi="Garamond"/>
          <w:sz w:val="20"/>
        </w:rPr>
        <w:t xml:space="preserve"> Ahluwalia, Baker, and Colton document the consolidation of the homebuilding industry into a small number of national firms over the past three decades, the structural precondition for the capital-disciplined land strategy this Article traces. Gopal Ahluwalia, Kermit Baker &amp; Kent W. Colton, Concentration in the Homebuilding Industry: Trends, Strategies, and Prospects, Joint Ctr. for Hous. Studies of Harvard Univ. (Apr. 2022), https://www.jchs.harvard.edu/sites/default/files/research/files/harvard_jchs_homebuilding_industry_concentration_ahluwalia_2022.pdf (the top 100 builders' share of new single-family home sales rose from about 35 percent in 2002 to more than 50 percent in 2018 and 2019, and D.R. Horton and Lennar alone account for about two-thirds of that gain). Schmitz argues that monopoly in construction, and the suppression of lower-cost building methods, is a central and underexamined cause of the housing shortage, which reframes the land hold documented here as one lever of market power rather than a mere financing choice. James A. Schmitz, Jr., Solving the Housing Crisis Will Require Fighting Monopolies in Construction, Fed. Rsrv. Bank of Minneapolis (Dec. 11, 2020), https://www.minneapolisfed.org/research/working-papers/solving-the-housing-crisis-will-require-fighting-monopolies-in-construction. Serkin and Sitaraman set the policy frame this series works within. Christopher Serkin &amp; Ganesh Sitaraman, Post-Neoliberal Housing Policy, Vanderbilt Pol'y Accelerator (Apr. 2025), https://cdn.vanderbilt.edu/vu-URL/wp-content/uploads/sites/412/2025/04/22200114/Post-Neoliberal-Housing-Policy.pdf.</w:t>
      </w:r>
    </w:p>
  </w:footnote>
  <w:footnote w:id="73">
    <w:p>
      <w:pPr>
        <w:pStyle w:val="FootnoteText"/>
      </w:pPr>
      <w:r>
        <w:rPr>
          <w:rStyle w:val="FootnoteReference"/>
          <w:rFonts w:ascii="Garamond" w:hAnsi="Garamond"/>
          <w:sz w:val="20"/>
        </w:rPr>
        <w:footnoteRef/>
      </w:r>
      <w:r>
        <w:rPr>
          <w:rFonts w:ascii="Garamond" w:hAnsi="Garamond"/>
          <w:sz w:val="20"/>
        </w:rPr>
        <w:t xml:space="preserve"> See supra note 32.</w:t>
      </w:r>
    </w:p>
  </w:footnote>
  <w:footnote w:id="74">
    <w:p>
      <w:pPr>
        <w:pStyle w:val="FootnoteText"/>
      </w:pPr>
      <w:r>
        <w:rPr>
          <w:rStyle w:val="FootnoteReference"/>
          <w:rFonts w:ascii="Garamond" w:hAnsi="Garamond"/>
          <w:sz w:val="20"/>
        </w:rPr>
        <w:footnoteRef/>
      </w:r>
      <w:r>
        <w:rPr>
          <w:rFonts w:ascii="Garamond" w:hAnsi="Garamond"/>
          <w:sz w:val="20"/>
        </w:rPr>
        <w:t xml:space="preserve"> Metro. Gov't of Nashville &amp; Davidson Cnty., Unified Housing Strategy (2025), https://www.nashville.gov/departments/mayor/housing.</w:t>
      </w:r>
    </w:p>
  </w:footnote>
  <w:footnote w:id="75">
    <w:p>
      <w:pPr>
        <w:pStyle w:val="FootnoteText"/>
      </w:pPr>
      <w:r>
        <w:rPr>
          <w:rStyle w:val="FootnoteReference"/>
          <w:rFonts w:ascii="Garamond" w:hAnsi="Garamond"/>
          <w:sz w:val="20"/>
        </w:rPr>
        <w:footnoteRef/>
      </w:r>
      <w:r>
        <w:rPr>
          <w:rFonts w:ascii="Garamond" w:hAnsi="Garamond"/>
          <w:sz w:val="20"/>
        </w:rPr>
        <w:t xml:space="preserve"> Vacant parcels acquired by owners whose mailing state is not Tennessee and still vacant: 1,791 parcels, 7,635 acres, 909 distinct owners in 47 states, median 4.8 years held vacant, from the ParcelHistory ownership layer joined to the current cadastral (author's run of May 22, 2026). Layer 2 query form: https://maps.nashville.gov/arcgis2/rest/services/Parcels/ParcelHistory/MapServer/2/query?where=UPPER(StateCode)+%3C%3E+'TN'&amp;outFields=&amp;resultOffset=0&amp;resultRecordCount=100&amp;f=json. The parcel list with a deed-image URL for each acquisition is a replication file in the online data appendix.</w:t>
      </w:r>
    </w:p>
  </w:footnote>
  <w:footnote w:id="76">
    <w:p>
      <w:pPr>
        <w:pStyle w:val="FootnoteText"/>
      </w:pPr>
      <w:r>
        <w:rPr>
          <w:rStyle w:val="FootnoteReference"/>
          <w:rFonts w:ascii="Garamond" w:hAnsi="Garamond"/>
          <w:sz w:val="20"/>
        </w:rPr>
        <w:footnoteRef/>
      </w:r>
      <w:r>
        <w:rPr>
          <w:rFonts w:ascii="Garamond" w:hAnsi="Garamond"/>
          <w:sz w:val="20"/>
        </w:rPr>
        <w:t xml:space="preserve"> Specific Plan zoning parcels flagged as land-bank candidates (352 parcels), from the ParcelHistory Zoning History layer, https://maps.nashville.gov/arcgis2/rest/services/Parcels/ParcelHistory/MapServer/5, joined to the Cadastral Layer 4; replication file in the online data appendix.</w:t>
      </w:r>
    </w:p>
  </w:footnote>
  <w:footnote w:id="77">
    <w:p>
      <w:pPr>
        <w:pStyle w:val="FootnoteText"/>
      </w:pPr>
      <w:r>
        <w:rPr>
          <w:rStyle w:val="FootnoteReference"/>
          <w:rFonts w:ascii="Garamond" w:hAnsi="Garamond"/>
          <w:sz w:val="20"/>
        </w:rPr>
        <w:footnoteRef/>
      </w:r>
      <w:r>
        <w:rPr>
          <w:rFonts w:ascii="Garamond" w:hAnsi="Garamond"/>
          <w:sz w:val="20"/>
        </w:rPr>
        <w:t xml:space="preserve"> See supra note 4.</w:t>
      </w:r>
    </w:p>
  </w:footnote>
  <w:footnote w:id="78">
    <w:p>
      <w:pPr>
        <w:pStyle w:val="FootnoteText"/>
      </w:pPr>
      <w:r>
        <w:rPr>
          <w:rStyle w:val="FootnoteReference"/>
          <w:rFonts w:ascii="Garamond" w:hAnsi="Garamond"/>
          <w:sz w:val="20"/>
        </w:rPr>
        <w:footnoteRef/>
      </w:r>
      <w:r>
        <w:rPr>
          <w:rFonts w:ascii="Garamond" w:hAnsi="Garamond"/>
          <w:sz w:val="20"/>
        </w:rPr>
        <w:t xml:space="preserve"> See supra note 38.</w:t>
      </w:r>
    </w:p>
  </w:footnote>
  <w:footnote w:id="79">
    <w:p>
      <w:pPr>
        <w:pStyle w:val="FootnoteText"/>
      </w:pPr>
      <w:r>
        <w:rPr>
          <w:rStyle w:val="FootnoteReference"/>
          <w:rFonts w:ascii="Garamond" w:hAnsi="Garamond"/>
          <w:sz w:val="20"/>
        </w:rPr>
        <w:footnoteRef/>
      </w:r>
      <w:r>
        <w:rPr>
          <w:rFonts w:ascii="Garamond" w:hAnsi="Garamond"/>
          <w:sz w:val="20"/>
        </w:rPr>
        <w:t xml:space="preserve"> Parcel acreage paired with hold duration: Cadastral Layer 4 acreage, https://maps.nashville.gov/arcgis/rest/services/Cadastral/Cadastral_Layers/MapServer/4, joined to the acquisition date in ParcelHistory Layer 2 and the per-year improvement value in Layer 6, https://maps.nashville.gov/arcgis2/rest/services/Parcels/ParcelHistory/MapServer/6. Replication files in the online data appendix.</w:t>
      </w:r>
    </w:p>
  </w:footnote>
  <w:footnote w:id="80">
    <w:p>
      <w:pPr>
        <w:pStyle w:val="FootnoteText"/>
      </w:pPr>
      <w:r>
        <w:rPr>
          <w:rStyle w:val="FootnoteReference"/>
          <w:rFonts w:ascii="Garamond" w:hAnsi="Garamond"/>
          <w:sz w:val="20"/>
        </w:rPr>
        <w:footnoteRef/>
      </w:r>
      <w:r>
        <w:rPr>
          <w:rFonts w:ascii="Garamond" w:hAnsi="Garamond"/>
          <w:sz w:val="20"/>
        </w:rPr>
        <w:t xml:space="preserve"> ParcelHistory Layer 2 query for vacant, out-of-state, affiliate-transfer acquisitions and hold duration, `where=SalePrice = 0 AND UPPER(StateCode) &lt;&gt; 'TN' AND DATEACQUIRED LIKE '%202%'`, https://maps.nashville.gov/arcgis2/rest/services/Parcels/ParcelHistory/MapServer/2/query.</w:t>
      </w:r>
    </w:p>
  </w:footnote>
  <w:footnote w:id="81">
    <w:p>
      <w:pPr>
        <w:pStyle w:val="FootnoteText"/>
      </w:pPr>
      <w:r>
        <w:rPr>
          <w:rStyle w:val="FootnoteReference"/>
          <w:rFonts w:ascii="Garamond" w:hAnsi="Garamond"/>
          <w:sz w:val="20"/>
        </w:rPr>
        <w:footnoteRef/>
      </w:r>
      <w:r>
        <w:rPr>
          <w:rFonts w:ascii="Garamond" w:hAnsi="Garamond"/>
          <w:sz w:val="20"/>
        </w:rPr>
        <w:t xml:space="preserve"> Parcels tracked through subdivision by reconstructing retired and split geometries from the ParcelService GetGenealogy record, https://maps.nashville.gov/ParcelService/Search.asmx?op=GetGenealogy, unioned to the current cadastral fabric; only reconstructions that reconcile to the Assessor's recorded acreage are used for any area measure.</w:t>
      </w:r>
    </w:p>
  </w:footnote>
  <w:footnote w:id="82">
    <w:p>
      <w:pPr>
        <w:pStyle w:val="FootnoteText"/>
      </w:pPr>
      <w:r>
        <w:rPr>
          <w:rStyle w:val="FootnoteReference"/>
          <w:rFonts w:ascii="Garamond" w:hAnsi="Garamond"/>
          <w:sz w:val="20"/>
        </w:rPr>
        <w:footnoteRef/>
      </w:r>
      <w:r>
        <w:rPr>
          <w:rFonts w:ascii="Garamond" w:hAnsi="Garamond"/>
          <w:sz w:val="20"/>
        </w:rPr>
        <w:t xml:space="preserve"> Development dated at the parcel from the assessment history (year improvement value rises from near zero and year-built populates), recovering gross flows. ParcelService GetAssessmentHistory, https://maps.nashville.gov/ParcelService/Search.asmx?op=GetAssessmentHistory.</w:t>
      </w:r>
    </w:p>
  </w:footnote>
  <w:footnote w:id="83">
    <w:p>
      <w:pPr>
        <w:pStyle w:val="FootnoteText"/>
      </w:pPr>
      <w:r>
        <w:rPr>
          <w:rStyle w:val="FootnoteReference"/>
          <w:rFonts w:ascii="Garamond" w:hAnsi="Garamond"/>
          <w:sz w:val="20"/>
        </w:rPr>
        <w:footnoteRef/>
      </w:r>
      <w:r>
        <w:rPr>
          <w:rFonts w:ascii="Garamond" w:hAnsi="Garamond"/>
          <w:sz w:val="20"/>
        </w:rPr>
        <w:t xml:space="preserve"> Holding period computed from the ParcelHistory Ownership Deeds layer `DateAcquired` field (Layer 2) to the earlier of the first Permit History event (Layer 4, https://maps.nashville.gov/arcgis2/rest/services/Parcels/ParcelHistory/MapServer/4) or the first recorded plat in Property History (Layer 3), else the query date, sorted into bands of under 365 days (pipeline), one to three years (short-term bank), and more than three years (active land bank). Baseline builder-takedown timelines per John Burns Rsch. &amp; Consulting, Land Banking Grows as a Housing-Industry Strategy (Jan. 9, 2026), https://jbrec.com/insights/land-banking-grows-as-housing-industry-strategy/.</w:t>
      </w:r>
    </w:p>
  </w:footnote>
  <w:footnote w:id="84">
    <w:p>
      <w:pPr>
        <w:pStyle w:val="FootnoteText"/>
      </w:pPr>
      <w:r>
        <w:rPr>
          <w:rStyle w:val="FootnoteReference"/>
          <w:rFonts w:ascii="Garamond" w:hAnsi="Garamond"/>
          <w:sz w:val="20"/>
        </w:rPr>
        <w:footnoteRef/>
      </w:r>
      <w:r>
        <w:rPr>
          <w:rFonts w:ascii="Garamond" w:hAnsi="Garamond"/>
          <w:sz w:val="20"/>
        </w:rPr>
        <w:t xml:space="preserve"> SEC EDGAR full-text search for "land bank" across homebuilder and fund filings (Lennar/Millrose; option-and-takedown program disclosures), https://efts.sec.gov/LATEST/search-index?q=%22land+bank%22.</w:t>
      </w:r>
    </w:p>
  </w:footnote>
  <w:footnote w:id="85">
    <w:p>
      <w:pPr>
        <w:pStyle w:val="FootnoteText"/>
      </w:pPr>
      <w:r>
        <w:rPr>
          <w:rStyle w:val="FootnoteReference"/>
          <w:rFonts w:ascii="Garamond" w:hAnsi="Garamond"/>
          <w:sz w:val="20"/>
        </w:rPr>
        <w:footnoteRef/>
      </w:r>
      <w:r>
        <w:rPr>
          <w:rFonts w:ascii="Garamond" w:hAnsi="Garamond"/>
          <w:sz w:val="20"/>
        </w:rPr>
        <w:t xml:space="preserve"> See supra note 84.</w:t>
      </w:r>
    </w:p>
  </w:footnote>
  <w:footnote w:id="86">
    <w:p>
      <w:pPr>
        <w:pStyle w:val="FootnoteText"/>
      </w:pPr>
      <w:r>
        <w:rPr>
          <w:rStyle w:val="FootnoteReference"/>
          <w:rFonts w:ascii="Garamond" w:hAnsi="Garamond"/>
          <w:sz w:val="20"/>
        </w:rPr>
        <w:footnoteRef/>
      </w:r>
      <w:r>
        <w:rPr>
          <w:rFonts w:ascii="Garamond" w:hAnsi="Garamond"/>
          <w:sz w:val="20"/>
        </w:rPr>
        <w:t xml:space="preserve"> See supra note 80.</w:t>
      </w:r>
    </w:p>
  </w:footnote>
  <w:footnote w:id="87">
    <w:p>
      <w:pPr>
        <w:pStyle w:val="FootnoteText"/>
      </w:pPr>
      <w:r>
        <w:rPr>
          <w:rStyle w:val="FootnoteReference"/>
          <w:rFonts w:ascii="Garamond" w:hAnsi="Garamond"/>
          <w:sz w:val="20"/>
        </w:rPr>
        <w:footnoteRef/>
      </w:r>
      <w:r>
        <w:rPr>
          <w:rFonts w:ascii="Garamond" w:hAnsi="Garamond"/>
          <w:sz w:val="20"/>
        </w:rPr>
        <w:t xml:space="preserve"> Known-landbanker roster pulled from the Parcels_view FeatureServer (e.g., `where=Owner LIKE '%WALTON%'`), https://services2.arcgis.com/HdTo6HJqh92wn4D8/ArcGIS/rest/services/Parcels_view/FeatureServer/0.</w:t>
      </w:r>
    </w:p>
  </w:footnote>
  <w:footnote w:id="88">
    <w:p>
      <w:pPr>
        <w:pStyle w:val="FootnoteText"/>
      </w:pPr>
      <w:r>
        <w:rPr>
          <w:rStyle w:val="FootnoteReference"/>
          <w:rFonts w:ascii="Garamond" w:hAnsi="Garamond"/>
          <w:sz w:val="20"/>
        </w:rPr>
        <w:footnoteRef/>
      </w:r>
      <w:r>
        <w:rPr>
          <w:rFonts w:ascii="Garamond" w:hAnsi="Garamond"/>
          <w:sz w:val="20"/>
        </w:rPr>
        <w:t xml:space="preserve"> See supra note 79.</w:t>
      </w:r>
    </w:p>
  </w:footnote>
  <w:footnote w:id="89">
    <w:p>
      <w:pPr>
        <w:pStyle w:val="FootnoteText"/>
      </w:pPr>
      <w:r>
        <w:rPr>
          <w:rStyle w:val="FootnoteReference"/>
          <w:rFonts w:ascii="Garamond" w:hAnsi="Garamond"/>
          <w:sz w:val="20"/>
        </w:rPr>
        <w:footnoteRef/>
      </w:r>
      <w:r>
        <w:rPr>
          <w:rFonts w:ascii="Garamond" w:hAnsi="Garamond"/>
          <w:sz w:val="20"/>
        </w:rPr>
        <w:t xml:space="preserve"> See supra note 2.</w:t>
      </w:r>
    </w:p>
  </w:footnote>
  <w:footnote w:id="90">
    <w:p>
      <w:pPr>
        <w:pStyle w:val="FootnoteText"/>
      </w:pPr>
      <w:r>
        <w:rPr>
          <w:rStyle w:val="FootnoteReference"/>
          <w:rFonts w:ascii="Garamond" w:hAnsi="Garamond"/>
          <w:sz w:val="20"/>
        </w:rPr>
        <w:footnoteRef/>
      </w:r>
      <w:r>
        <w:rPr>
          <w:rFonts w:ascii="Garamond" w:hAnsi="Garamond"/>
          <w:sz w:val="20"/>
        </w:rPr>
        <w:t xml:space="preserve"> See supra note 83.</w:t>
      </w:r>
    </w:p>
  </w:footnote>
  <w:footnote w:id="91">
    <w:p>
      <w:pPr>
        <w:pStyle w:val="FootnoteText"/>
      </w:pPr>
      <w:r>
        <w:rPr>
          <w:rStyle w:val="FootnoteReference"/>
          <w:rFonts w:ascii="Garamond" w:hAnsi="Garamond"/>
          <w:sz w:val="20"/>
        </w:rPr>
        <w:footnoteRef/>
      </w:r>
      <w:r>
        <w:rPr>
          <w:rFonts w:ascii="Garamond" w:hAnsi="Garamond"/>
          <w:sz w:val="20"/>
        </w:rPr>
        <w:t xml:space="preserve"> Assessment-appreciation screen: parcels with improvement value at zero across three or more consecutive assessment years and a non-zero, rising land value, ParcelHistory Assessment History layer (Layer 6), https://maps.nashville.gov/arcgis2/rest/services/Parcels/ParcelHistory/MapServer/6. Entitlement changes during the hold tracked through the Zoning History layer (Layer 5), https://maps.nashville.gov/arcgis2/rest/services/Parcels/ParcelHistory/MapServer/5. On entitlement-driven land appreciation as the holder's return mechanism, see Land Advisors Org., Land and Lot Financing: Adjusting to New Realities (Nov. 3, 2023), https://landadvisors.com/land-and-lot-financing-adjusting-to-new-realities/.</w:t>
      </w:r>
    </w:p>
  </w:footnote>
  <w:footnote w:id="92">
    <w:p>
      <w:pPr>
        <w:pStyle w:val="FootnoteText"/>
      </w:pPr>
      <w:r>
        <w:rPr>
          <w:rStyle w:val="FootnoteReference"/>
          <w:rFonts w:ascii="Garamond" w:hAnsi="Garamond"/>
          <w:sz w:val="20"/>
        </w:rPr>
        <w:footnoteRef/>
      </w:r>
      <w:r>
        <w:rPr>
          <w:rFonts w:ascii="Garamond" w:hAnsi="Garamond"/>
          <w:sz w:val="20"/>
        </w:rPr>
        <w:t xml:space="preserve"> Backward subdivision trace through the ParcelHistory Property History ancestor chain (Layer 3), https://maps.nashville.gov/arcgis2/rest/services/Parcels/ParcelHistory/MapServer/3, identifying the last non-builder owner before a homebuilder acquired each raw tract. Population: 305,381 pre-subdivision ownership events; the largest pre-subdivision movers are NVR Inc. (1,878 events), Regent Homes (1,593), Meritage (1,410), Beazer (807), and Ole South (740). Priority out-of-state candidate entities returned by the trace and reserved for deed-level verification through Davidson Portal: Thornton Grove Green, LLC (Connecticut; 145 events; single bulk acquisition Sept. 30, 2019), Parthenon Holdings DE, LLC and Parthenon II Holdings DE, LLC (Delaware; 250 combined events), AT Dupont PROPCO, LLC (PROPCO naming convention; 120 events), CORE PBSFR Nashville Herron, LLC (Illinois), and The Farm Nashville, LLC (Arizona; 717.6 acres).</w:t>
      </w:r>
    </w:p>
  </w:footnote>
  <w:footnote w:id="93">
    <w:p>
      <w:pPr>
        <w:pStyle w:val="FootnoteText"/>
      </w:pPr>
      <w:r>
        <w:rPr>
          <w:rStyle w:val="FootnoteReference"/>
          <w:rFonts w:ascii="Garamond" w:hAnsi="Garamond"/>
          <w:sz w:val="20"/>
        </w:rPr>
        <w:footnoteRef/>
      </w:r>
      <w:r>
        <w:rPr>
          <w:rFonts w:ascii="Garamond" w:hAnsi="Garamond"/>
          <w:sz w:val="20"/>
        </w:rPr>
        <w:t xml:space="preserve"> See supra note 16.</w:t>
      </w:r>
    </w:p>
  </w:footnote>
  <w:footnote w:id="94">
    <w:p>
      <w:pPr>
        <w:pStyle w:val="FootnoteText"/>
      </w:pPr>
      <w:r>
        <w:rPr>
          <w:rStyle w:val="FootnoteReference"/>
          <w:rFonts w:ascii="Garamond" w:hAnsi="Garamond"/>
          <w:sz w:val="20"/>
        </w:rPr>
        <w:footnoteRef/>
      </w:r>
      <w:r>
        <w:rPr>
          <w:rFonts w:ascii="Garamond" w:hAnsi="Garamond"/>
          <w:sz w:val="20"/>
        </w:rPr>
        <w:t xml:space="preserve"> See supra note 91.</w:t>
      </w:r>
    </w:p>
  </w:footnote>
  <w:footnote w:id="95">
    <w:p>
      <w:pPr>
        <w:pStyle w:val="FootnoteText"/>
      </w:pPr>
      <w:r>
        <w:rPr>
          <w:rStyle w:val="FootnoteReference"/>
          <w:rFonts w:ascii="Garamond" w:hAnsi="Garamond"/>
          <w:sz w:val="20"/>
        </w:rPr>
        <w:footnoteRef/>
      </w:r>
      <w:r>
        <w:rPr>
          <w:rFonts w:ascii="Garamond" w:hAnsi="Garamond"/>
          <w:sz w:val="20"/>
        </w:rPr>
        <w:t xml:space="preserve"> Author's entitled-but-unbuilt analysis from the Davidson County ParcelHistory property and ownership layers, https://maps.nashville.gov/arcgis2/rest/services/Parcels/ParcelHistory/MapServer/3 and /2, and the Cadastral Layer 4: 6,069 residential parcels platted and conveyed to a builder or holder but never built on, covering 1,127.19 acres and $2,672,702,600 in total appraised value, median 0.16 acres per parcel, a median 20.6 years since the handoff, and 5,539 held three or more years since the handoff.
---
## ONLINE DATA APPENDIX
The exhaustive lists sit online rather than in the printed tables. The project site publishes the recorded option agreements with each instrument linked to its deed image (https://nataliebaldacci.github.io/Who-Owns-Nashville/LandBank_Option_Agreements.html), the takedown chains (https://nataliebaldacci.github.io/Who-Owns-Nashville/LandBank_Takedowns_Nashville.html), the vacant-origin time-lapse (https://nataliebaldacci.github.io/Who-Owns-Nashville/LandBank_Timeline_Nashville.html), and the appendix tables with their replication files (https://nataliebaldacci.github.io/Who-Owns-Nashville/landbanking-appendices.html). Each recorded instrument opens at https://davidsonportal.com/gis/file.php?file=[recording number without the hyphen]. The replication files behind every author's-analysis footnote in this Article, including the October 19, 2026 vehicle-count queries, are published there.</w:t>
      </w:r>
    </w:p>
  </w:footnote>
  <w:footnote w:id="96">
    <w:p>
      <w:pPr>
        <w:pStyle w:val="FootnoteText"/>
      </w:pPr>
      <w:r>
        <w:rPr>
          <w:rStyle w:val="FootnoteReference"/>
          <w:rFonts w:ascii="Garamond" w:hAnsi="Garamond"/>
          <w:sz w:val="20"/>
        </w:rPr>
        <w:footnoteRef/>
      </w:r>
      <w:r>
        <w:rPr>
          <w:rFonts w:ascii="Garamond" w:hAnsi="Garamond"/>
          <w:sz w:val="20"/>
        </w:rPr>
        <w:t xml:space="preserve"> Buildable-land definition following Katz &amp; Willen, supra note [katz] (residential or vacant land use with de minimis improvement value), reported on the strict residential-vacant cut and two looser cuts as robustness checks. Methods note in the online data appendix.</w:t>
      </w:r>
    </w:p>
  </w:footnote>
  <w:footnote w:id="97">
    <w:p>
      <w:pPr>
        <w:pStyle w:val="FootnoteText"/>
      </w:pPr>
      <w:r>
        <w:rPr>
          <w:rStyle w:val="FootnoteReference"/>
          <w:rFonts w:ascii="Garamond" w:hAnsi="Garamond"/>
          <w:sz w:val="20"/>
        </w:rPr>
        <w:footnoteRef/>
      </w:r>
      <w:r>
        <w:rPr>
          <w:rFonts w:ascii="Garamond" w:hAnsi="Garamond"/>
          <w:sz w:val="20"/>
        </w:rPr>
        <w:t xml:space="preserve"> See supra note 82.</w:t>
      </w:r>
    </w:p>
  </w:footnote>
  <w:footnote w:id="98">
    <w:p>
      <w:pPr>
        <w:pStyle w:val="FootnoteText"/>
      </w:pPr>
      <w:r>
        <w:rPr>
          <w:rStyle w:val="FootnoteReference"/>
          <w:rFonts w:ascii="Garamond" w:hAnsi="Garamond"/>
          <w:sz w:val="20"/>
        </w:rPr>
        <w:footnoteRef/>
      </w:r>
      <w:r>
        <w:rPr>
          <w:rFonts w:ascii="Garamond" w:hAnsi="Garamond"/>
          <w:sz w:val="20"/>
        </w:rPr>
        <w:t xml:space="preserve"> See supra note 81.</w:t>
      </w:r>
    </w:p>
  </w:footnote>
  <w:footnote w:id="99">
    <w:p>
      <w:pPr>
        <w:pStyle w:val="FootnoteText"/>
      </w:pPr>
      <w:r>
        <w:rPr>
          <w:rStyle w:val="FootnoteReference"/>
          <w:rFonts w:ascii="Garamond" w:hAnsi="Garamond"/>
          <w:sz w:val="20"/>
        </w:rPr>
        <w:footnoteRef/>
      </w:r>
      <w:r>
        <w:rPr>
          <w:rFonts w:ascii="Garamond" w:hAnsi="Garamond"/>
          <w:sz w:val="20"/>
        </w:rPr>
        <w:t xml:space="preserve"> Capacity reported at the market-norm lot yield (Katz &amp; Willen's empirical yield, supra note [katz]) and at the legal zoning density of the transaction-year base district, ParcelHistory Zoning History layer, https://maps.nashville.gov/arcgis2/rest/services/Parcels/ParcelHistory/MapServer/5. See Appendix Table C1.</w:t>
      </w:r>
    </w:p>
  </w:footnote>
  <w:footnote w:id="100">
    <w:p>
      <w:pPr>
        <w:pStyle w:val="FootnoteText"/>
      </w:pPr>
      <w:r>
        <w:rPr>
          <w:rStyle w:val="FootnoteReference"/>
          <w:rFonts w:ascii="Garamond" w:hAnsi="Garamond"/>
          <w:sz w:val="20"/>
        </w:rPr>
        <w:footnoteRef/>
      </w:r>
      <w:r>
        <w:rPr>
          <w:rFonts w:ascii="Garamond" w:hAnsi="Garamond"/>
          <w:sz w:val="20"/>
        </w:rPr>
        <w:t xml:space="preserve"> On the public land bank (surplus disposition in declining markets), see Thomas J. Fitzpatrick IV &amp; Stephan D. Whitaker, Land Bank 2.0: An Empirical Evaluation, FRB Cleveland Working Paper No. 12-30R (2014), https://www.clevelandfed.org/publications/working-paper/2014/wp-1230r-land-bank-2-0-an-empirical-evaluation; Nigel G. Griswold &amp; Patricia E. Norris, Economic Impacts of Residential Property Abandonment and the Genesee County Land Bank in Flint, Michigan (Mich. State Univ. Land Pol'y Inst., Report No. 2007-05, 2007), https://www.canr.msu.edu/planning/uploads/landpolicy/LPI_Genesee.pdf. This Article addresses the institutional land bank, its inverse.</w:t>
      </w:r>
    </w:p>
  </w:footnote>
  <w:footnote w:id="101">
    <w:p>
      <w:pPr>
        <w:pStyle w:val="FootnoteText"/>
      </w:pPr>
      <w:r>
        <w:rPr>
          <w:rStyle w:val="FootnoteReference"/>
          <w:rFonts w:ascii="Garamond" w:hAnsi="Garamond"/>
          <w:sz w:val="20"/>
        </w:rPr>
        <w:footnoteRef/>
      </w:r>
      <w:r>
        <w:rPr>
          <w:rFonts w:ascii="Garamond" w:hAnsi="Garamond"/>
          <w:sz w:val="20"/>
        </w:rPr>
        <w:t xml:space="preserve"> See supra note 20.</w:t>
      </w:r>
    </w:p>
  </w:footnote>
  <w:footnote w:id="102">
    <w:p>
      <w:pPr>
        <w:pStyle w:val="FootnoteText"/>
      </w:pPr>
      <w:r>
        <w:rPr>
          <w:rStyle w:val="FootnoteReference"/>
          <w:rFonts w:ascii="Garamond" w:hAnsi="Garamond"/>
          <w:sz w:val="20"/>
        </w:rPr>
        <w:footnoteRef/>
      </w:r>
      <w:r>
        <w:rPr>
          <w:rFonts w:ascii="Garamond" w:hAnsi="Garamond"/>
          <w:sz w:val="20"/>
        </w:rPr>
        <w:t xml:space="preserve"> See supra note 21.</w:t>
      </w:r>
    </w:p>
  </w:footnote>
  <w:footnote w:id="103">
    <w:p>
      <w:pPr>
        <w:pStyle w:val="FootnoteText"/>
      </w:pPr>
      <w:r>
        <w:rPr>
          <w:rStyle w:val="FootnoteReference"/>
          <w:rFonts w:ascii="Garamond" w:hAnsi="Garamond"/>
          <w:sz w:val="20"/>
        </w:rPr>
        <w:footnoteRef/>
      </w:r>
      <w:r>
        <w:rPr>
          <w:rFonts w:ascii="Garamond" w:hAnsi="Garamond"/>
          <w:sz w:val="20"/>
        </w:rPr>
        <w:t xml:space="preserve"> See supra note 21.</w:t>
      </w:r>
    </w:p>
  </w:footnote>
  <w:footnote w:id="104">
    <w:p>
      <w:pPr>
        <w:pStyle w:val="FootnoteText"/>
      </w:pPr>
      <w:r>
        <w:rPr>
          <w:rStyle w:val="FootnoteReference"/>
          <w:rFonts w:ascii="Garamond" w:hAnsi="Garamond"/>
          <w:sz w:val="20"/>
        </w:rPr>
        <w:footnoteRef/>
      </w:r>
      <w:r>
        <w:rPr>
          <w:rFonts w:ascii="Garamond" w:hAnsi="Garamond"/>
          <w:sz w:val="20"/>
        </w:rPr>
        <w:t xml:space="preserve"> See supra note 11.</w:t>
      </w:r>
    </w:p>
  </w:footnote>
  <w:footnote w:id="105">
    <w:p>
      <w:pPr>
        <w:pStyle w:val="FootnoteText"/>
      </w:pPr>
      <w:r>
        <w:rPr>
          <w:rStyle w:val="FootnoteReference"/>
          <w:rFonts w:ascii="Garamond" w:hAnsi="Garamond"/>
          <w:sz w:val="20"/>
        </w:rPr>
        <w:footnoteRef/>
      </w:r>
      <w:r>
        <w:rPr>
          <w:rFonts w:ascii="Garamond" w:hAnsi="Garamond"/>
          <w:sz w:val="20"/>
        </w:rPr>
        <w:t xml:space="preserve"> See supra note 11.</w:t>
      </w:r>
    </w:p>
  </w:footnote>
  <w:footnote w:id="106">
    <w:p>
      <w:pPr>
        <w:pStyle w:val="FootnoteText"/>
      </w:pPr>
      <w:r>
        <w:rPr>
          <w:rStyle w:val="FootnoteReference"/>
          <w:rFonts w:ascii="Garamond" w:hAnsi="Garamond"/>
          <w:sz w:val="20"/>
        </w:rPr>
        <w:footnoteRef/>
      </w:r>
      <w:r>
        <w:rPr>
          <w:rFonts w:ascii="Garamond" w:hAnsi="Garamond"/>
          <w:sz w:val="20"/>
        </w:rPr>
        <w:t xml:space="preserve"> Walton Tennessee, LLC bought three of the four Carothers Crossing parcels, 545 acres combined with the fourth under contract, on May 13, 2014. Walton Tennessee, LLC Purchases Traditional Neighborhood Development Carothers Crossing, Southeast Venture (May 14, 2014), https://southeastventure.com/2014/05/14/walton-tennessee-llc-purchases-traditional-neighborhood-development-carothers-crossing/; Walton Global, Carothers Crossing Master Plan, https://walton.com/locations/carothers-crossing-master-plan/. Nine parcels and 119.8 acres stood in its name on October 19, 2026: Cadastral Layer 4, https://maps.nashville.gov/arcgis/rest/services/Cadastral/Cadastral_Layers/MapServer/4/query?where=UPPER(Owner)+LIKE+'%25WALTON+TENNESSEE%25'&amp;outFields=Owner,Acres,LUDesc,ParID&amp;returnGeometry=false&amp;f=json.</w:t>
      </w:r>
    </w:p>
  </w:footnote>
  <w:footnote w:id="107">
    <w:p>
      <w:pPr>
        <w:pStyle w:val="FootnoteText"/>
      </w:pPr>
      <w:r>
        <w:rPr>
          <w:rStyle w:val="FootnoteReference"/>
          <w:rFonts w:ascii="Garamond" w:hAnsi="Garamond"/>
          <w:sz w:val="20"/>
        </w:rPr>
        <w:footnoteRef/>
      </w:r>
      <w:r>
        <w:rPr>
          <w:rFonts w:ascii="Garamond" w:hAnsi="Garamond"/>
          <w:sz w:val="20"/>
        </w:rPr>
        <w:t xml:space="preserve"> Author's classification of fee-simple Davidson land bankers across five categories, from the Cadastral owner layer and the recorded deeds: (1) fund/aggregator SPVs (The Farm Nashville, LLC, ~358 ac; RRPV Bellevue / Ram Realty Advisors, ~211 ac, Instr. quitclaim from Nashville Highlands, LLC, Sept. 26, 2019, $10 consideration; DRAPAC Group 46, LLC, ~60 ac Cane Ridge, companion 48.54-ac tract sold to Meritage for $5,350,000; Walton Tennessee, LLC, nine parcels and 119.8 acres in October 2026 within a 545-acre 2014 master-plan purchase); (2) institutional SFR / JV borrower shells (Cove Residential Holdings III, LLC, 555 Madison Ave., New York, 7 parcels / 18.24 ac, bulk transfer May 22, 2020; Progress, Invitation, and AMH securitization shells); (3) build-for-rent platforms (AHV, Värde Partners $500,000,000 land-banking facility announced June 2022; AHV Westbrook and AHV Newsome BFR Owner LLCs, ~70 ac); (4) bank REO pipeline (Pinnacle Financial Partners via PNB Holding Co. 1 and 2, ≥7 trustee-deed parcels, 2013-2025); (5) public-builder land-light chains (Desperado Partners, 54.84 ac Chandler Rd. bought $258,500 in 2013, sold to Meritage for $825,000 in 2021, 219% gain; Meritage 92 lots / 32.61 ac, ~4-yr acquisition-to-plat; Beazer Overlook at Aaron's Cress Ph. 2, ~3-yr plat delay across 44 lots, 728 owned + 2,077 optioned lots as of Sept. 30, 2024; Schell Brothers Nashville, LLC, 33 vacant lots / 7.03 ac; Lennar/Millrose, 142,139 homesites across 30 states, Tennessee fourth). Davidson Cnty. Register of Deeds and Cadastral MapServer Layer 4, https://maps.nashville.gov/arcgis/rest/services/Cadastral/Cadastral_Layers/MapServer/4.</w:t>
      </w:r>
    </w:p>
  </w:footnote>
  <w:footnote w:id="108">
    <w:p>
      <w:pPr>
        <w:pStyle w:val="FootnoteText"/>
      </w:pPr>
      <w:r>
        <w:rPr>
          <w:rStyle w:val="FootnoteReference"/>
          <w:rFonts w:ascii="Garamond" w:hAnsi="Garamond"/>
          <w:sz w:val="20"/>
        </w:rPr>
        <w:footnoteRef/>
      </w:r>
      <w:r>
        <w:rPr>
          <w:rFonts w:ascii="Garamond" w:hAnsi="Garamond"/>
          <w:sz w:val="20"/>
        </w:rPr>
        <w:t xml:space="preserve"> See supra note 107.</w:t>
      </w:r>
    </w:p>
  </w:footnote>
  <w:footnote w:id="109">
    <w:p>
      <w:pPr>
        <w:pStyle w:val="FootnoteText"/>
      </w:pPr>
      <w:r>
        <w:rPr>
          <w:rStyle w:val="FootnoteReference"/>
          <w:rFonts w:ascii="Garamond" w:hAnsi="Garamond"/>
          <w:sz w:val="20"/>
        </w:rPr>
        <w:footnoteRef/>
      </w:r>
      <w:r>
        <w:rPr>
          <w:rFonts w:ascii="Garamond" w:hAnsi="Garamond"/>
          <w:sz w:val="20"/>
        </w:rPr>
        <w:t xml:space="preserve"> See supra note 107.</w:t>
      </w:r>
    </w:p>
  </w:footnote>
  <w:footnote w:id="110">
    <w:p>
      <w:pPr>
        <w:pStyle w:val="FootnoteText"/>
      </w:pPr>
      <w:r>
        <w:rPr>
          <w:rStyle w:val="FootnoteReference"/>
          <w:rFonts w:ascii="Garamond" w:hAnsi="Garamond"/>
          <w:sz w:val="20"/>
        </w:rPr>
        <w:footnoteRef/>
      </w:r>
      <w:r>
        <w:rPr>
          <w:rFonts w:ascii="Garamond" w:hAnsi="Garamond"/>
          <w:sz w:val="20"/>
        </w:rPr>
        <w:t xml:space="preserve"> See supra note 107.</w:t>
      </w:r>
    </w:p>
  </w:footnote>
  <w:footnote w:id="111">
    <w:p>
      <w:pPr>
        <w:pStyle w:val="FootnoteText"/>
      </w:pPr>
      <w:r>
        <w:rPr>
          <w:rStyle w:val="FootnoteReference"/>
          <w:rFonts w:ascii="Garamond" w:hAnsi="Garamond"/>
          <w:sz w:val="20"/>
        </w:rPr>
        <w:footnoteRef/>
      </w:r>
      <w:r>
        <w:rPr>
          <w:rFonts w:ascii="Garamond" w:hAnsi="Garamond"/>
          <w:sz w:val="20"/>
        </w:rPr>
        <w:t xml:space="preserve"> See supra note 107.</w:t>
      </w:r>
    </w:p>
  </w:footnote>
  <w:footnote w:id="112">
    <w:p>
      <w:pPr>
        <w:pStyle w:val="FootnoteText"/>
      </w:pPr>
      <w:r>
        <w:rPr>
          <w:rStyle w:val="FootnoteReference"/>
          <w:rFonts w:ascii="Garamond" w:hAnsi="Garamond"/>
          <w:sz w:val="20"/>
        </w:rPr>
        <w:footnoteRef/>
      </w:r>
      <w:r>
        <w:rPr>
          <w:rFonts w:ascii="Garamond" w:hAnsi="Garamond"/>
          <w:sz w:val="20"/>
        </w:rPr>
        <w:t xml:space="preserve"> See supra note 107.</w:t>
      </w:r>
    </w:p>
  </w:footnote>
  <w:footnote w:id="113">
    <w:p>
      <w:pPr>
        <w:pStyle w:val="FootnoteText"/>
      </w:pPr>
      <w:r>
        <w:rPr>
          <w:rStyle w:val="FootnoteReference"/>
          <w:rFonts w:ascii="Garamond" w:hAnsi="Garamond"/>
          <w:sz w:val="20"/>
        </w:rPr>
        <w:footnoteRef/>
      </w:r>
      <w:r>
        <w:rPr>
          <w:rFonts w:ascii="Garamond" w:hAnsi="Garamond"/>
          <w:sz w:val="20"/>
        </w:rPr>
        <w:t xml:space="preserve"> See supra note 1.</w:t>
      </w:r>
    </w:p>
  </w:footnote>
  <w:footnote w:id="114">
    <w:p>
      <w:pPr>
        <w:pStyle w:val="FootnoteText"/>
      </w:pPr>
      <w:r>
        <w:rPr>
          <w:rStyle w:val="FootnoteReference"/>
          <w:rFonts w:ascii="Garamond" w:hAnsi="Garamond"/>
          <w:sz w:val="20"/>
        </w:rPr>
        <w:footnoteRef/>
      </w:r>
      <w:r>
        <w:rPr>
          <w:rFonts w:ascii="Garamond" w:hAnsi="Garamond"/>
          <w:sz w:val="20"/>
        </w:rPr>
        <w:t xml:space="preserve"> Author's parcel-viewer documentation of the City Vista pipeline mid-execution, captured June 24, 2026, and reproduced in the online data appendix: master common-area parcel 071100N90000CO (11 Lucile St., 14.01 acres, zero improvement value, held by O.I.C. City Vista Townhomes); KLLB-held undeveloped lots including 071100N06900CO (421 Prelude Aly) and 071100N16500CO (807 Cadence Row); Lennar-held taken-down lots including 071100N05200CO (302 Lyric Aly) with construction underway. Davidson Parcel Viewer, https://maps.nashville.gov/ParcelViewer/.</w:t>
      </w:r>
    </w:p>
  </w:footnote>
  <w:footnote w:id="115">
    <w:p>
      <w:pPr>
        <w:pStyle w:val="FootnoteText"/>
      </w:pPr>
      <w:r>
        <w:rPr>
          <w:rStyle w:val="FootnoteReference"/>
          <w:rFonts w:ascii="Garamond" w:hAnsi="Garamond"/>
          <w:sz w:val="20"/>
        </w:rPr>
        <w:footnoteRef/>
      </w:r>
      <w:r>
        <w:rPr>
          <w:rFonts w:ascii="Garamond" w:hAnsi="Garamond"/>
          <w:sz w:val="20"/>
        </w:rPr>
        <w:t xml:space="preserve"> Clayton Properties Group conveyed land to Domain Timberlake Multistate 2, LLC; Memorandum of Option Agreement Sept. 27, 2024 through Oct. 31, 2027 (Instrument No. 20241010-0078803, https://davidsonportal.com/gis/file.php?file=202410100078803), with partial-release takedowns from Nov. 2025.</w:t>
      </w:r>
    </w:p>
  </w:footnote>
  <w:footnote w:id="116">
    <w:p>
      <w:pPr>
        <w:pStyle w:val="FootnoteText"/>
      </w:pPr>
      <w:r>
        <w:rPr>
          <w:rStyle w:val="FootnoteReference"/>
          <w:rFonts w:ascii="Garamond" w:hAnsi="Garamond"/>
          <w:sz w:val="20"/>
        </w:rPr>
        <w:footnoteRef/>
      </w:r>
      <w:r>
        <w:rPr>
          <w:rFonts w:ascii="Garamond" w:hAnsi="Garamond"/>
          <w:sz w:val="20"/>
        </w:rPr>
        <w:t xml:space="preserve"> NP 81, LLC conveyed the Zermatt site to TPG AG EHC III (MTH) Multi State 2, LLC Apr. 28, 2025 for $4,600,000 (Instrument No. 20250429-0032940, https://davidsonportal.com/gis/file.php?file=202504290032940); option to Meritage Homes of Tennessee through Aug. 25, 2028 (Instrument No. 20250429-0032941, https://davidsonportal.com/gis/file.php?file=202504290032941).</w:t>
      </w:r>
    </w:p>
  </w:footnote>
  <w:footnote w:id="117">
    <w:p>
      <w:pPr>
        <w:pStyle w:val="FootnoteText"/>
      </w:pPr>
      <w:r>
        <w:rPr>
          <w:rStyle w:val="FootnoteReference"/>
          <w:rFonts w:ascii="Garamond" w:hAnsi="Garamond"/>
          <w:sz w:val="20"/>
        </w:rPr>
        <w:footnoteRef/>
      </w:r>
      <w:r>
        <w:rPr>
          <w:rFonts w:ascii="Garamond" w:hAnsi="Garamond"/>
          <w:sz w:val="20"/>
        </w:rPr>
        <w:t xml:space="preserve"> See supra note 15.</w:t>
      </w:r>
    </w:p>
  </w:footnote>
  <w:footnote w:id="118">
    <w:p>
      <w:pPr>
        <w:pStyle w:val="FootnoteText"/>
      </w:pPr>
      <w:r>
        <w:rPr>
          <w:rStyle w:val="FootnoteReference"/>
          <w:rFonts w:ascii="Garamond" w:hAnsi="Garamond"/>
          <w:sz w:val="20"/>
        </w:rPr>
        <w:footnoteRef/>
      </w:r>
      <w:r>
        <w:rPr>
          <w:rFonts w:ascii="Garamond" w:hAnsi="Garamond"/>
          <w:sz w:val="20"/>
        </w:rPr>
        <w:t xml:space="preserve"> See supra note 6.</w:t>
      </w:r>
    </w:p>
  </w:footnote>
  <w:footnote w:id="119">
    <w:p>
      <w:pPr>
        <w:pStyle w:val="FootnoteText"/>
      </w:pPr>
      <w:r>
        <w:rPr>
          <w:rStyle w:val="FootnoteReference"/>
          <w:rFonts w:ascii="Garamond" w:hAnsi="Garamond"/>
          <w:sz w:val="20"/>
        </w:rPr>
        <w:footnoteRef/>
      </w:r>
      <w:r>
        <w:rPr>
          <w:rFonts w:ascii="Garamond" w:hAnsi="Garamond"/>
          <w:sz w:val="20"/>
        </w:rPr>
        <w:t xml:space="preserve"> Kennedy Lewis operates two Davidson land banks: the private KLLB AIV vehicle and the public Millrose Properties REIT (externally managed by Kennedy Lewis Land and Residential Advisors LLC). Millrose Properties, Inc., SEC Filings, https://ir.millroseproperties.com/financials/sec-filings/default.aspx; Millrose Properties, Inc., Millrose Properties Announces Land-Banking Capital Support for Dream Finders Homes' Proposed Acquisition of Beazer Homes (2026), https://ir.millroseproperties.com/news/news-details/2026/Millrose-Properties-Announces-Land-Banking-Capital-Support-for-Dream-Finders-Homes-Proposed-Acquisition-of-Beazer-Homes/default.aspx.</w:t>
      </w:r>
    </w:p>
  </w:footnote>
  <w:footnote w:id="120">
    <w:p>
      <w:pPr>
        <w:pStyle w:val="FootnoteText"/>
      </w:pPr>
      <w:r>
        <w:rPr>
          <w:rStyle w:val="FootnoteReference"/>
          <w:rFonts w:ascii="Garamond" w:hAnsi="Garamond"/>
          <w:sz w:val="20"/>
        </w:rPr>
        <w:footnoteRef/>
      </w:r>
      <w:r>
        <w:rPr>
          <w:rFonts w:ascii="Garamond" w:hAnsi="Garamond"/>
          <w:sz w:val="20"/>
        </w:rPr>
        <w:t xml:space="preserve"> Tri-Party Agreement among BD Capital, LLC (NJ lender), 1207B BCP, LLC (developer), and Lennar Homes of Tennessee, LLC (builder), Instrument No. 20260106-0000851 (recorded Jan. 6, 2026), https://davidsonportal.com/gis/file.php?file=202601060000851, with a $2,500,000 development loan and a $2,500,000 Lennar purchase deposit functioning as land-bank financing.</w:t>
      </w:r>
    </w:p>
  </w:footnote>
  <w:footnote w:id="121">
    <w:p>
      <w:pPr>
        <w:pStyle w:val="FootnoteText"/>
      </w:pPr>
      <w:r>
        <w:rPr>
          <w:rStyle w:val="FootnoteReference"/>
          <w:rFonts w:ascii="Garamond" w:hAnsi="Garamond"/>
          <w:sz w:val="20"/>
        </w:rPr>
        <w:footnoteRef/>
      </w:r>
      <w:r>
        <w:rPr>
          <w:rFonts w:ascii="Garamond" w:hAnsi="Garamond"/>
          <w:sz w:val="20"/>
        </w:rPr>
        <w:t xml:space="preserve"> Capital-source attribution per author's classification of Davidson land bankers cross-referenced to the funds' own filings: DW Partners (DRP entities), Kennedy Lewis (KLLB; manager of Millrose), TPG Angelo Gordon (TPG AG EHC vehicles), Brookfield Residential (Cane Ridge), and Domain (Timberlake). See Appendix Table A1.</w:t>
      </w:r>
    </w:p>
  </w:footnote>
  <w:footnote w:id="122">
    <w:p>
      <w:pPr>
        <w:pStyle w:val="FootnoteText"/>
      </w:pPr>
      <w:r>
        <w:rPr>
          <w:rStyle w:val="FootnoteReference"/>
          <w:rFonts w:ascii="Garamond" w:hAnsi="Garamond"/>
          <w:sz w:val="20"/>
        </w:rPr>
        <w:footnoteRef/>
      </w:r>
      <w:r>
        <w:rPr>
          <w:rFonts w:ascii="Garamond" w:hAnsi="Garamond"/>
          <w:sz w:val="20"/>
        </w:rPr>
        <w:t xml:space="preserve"> See supra note 12.</w:t>
      </w:r>
    </w:p>
  </w:footnote>
  <w:footnote w:id="123">
    <w:p>
      <w:pPr>
        <w:pStyle w:val="FootnoteText"/>
      </w:pPr>
      <w:r>
        <w:rPr>
          <w:rStyle w:val="FootnoteReference"/>
          <w:rFonts w:ascii="Garamond" w:hAnsi="Garamond"/>
          <w:sz w:val="20"/>
        </w:rPr>
        <w:footnoteRef/>
      </w:r>
      <w:r>
        <w:rPr>
          <w:rFonts w:ascii="Garamond" w:hAnsi="Garamond"/>
          <w:sz w:val="20"/>
        </w:rPr>
        <w:t xml:space="preserve"> See supra note 12.</w:t>
      </w:r>
    </w:p>
  </w:footnote>
  <w:footnote w:id="124">
    <w:p>
      <w:pPr>
        <w:pStyle w:val="FootnoteText"/>
      </w:pPr>
      <w:r>
        <w:rPr>
          <w:rStyle w:val="FootnoteReference"/>
          <w:rFonts w:ascii="Garamond" w:hAnsi="Garamond"/>
          <w:sz w:val="20"/>
        </w:rPr>
        <w:footnoteRef/>
      </w:r>
      <w:r>
        <w:rPr>
          <w:rFonts w:ascii="Garamond" w:hAnsi="Garamond"/>
          <w:sz w:val="20"/>
        </w:rPr>
        <w:t xml:space="preserve"> See supra note 14.</w:t>
      </w:r>
    </w:p>
  </w:footnote>
  <w:footnote w:id="125">
    <w:p>
      <w:pPr>
        <w:pStyle w:val="FootnoteText"/>
      </w:pPr>
      <w:r>
        <w:rPr>
          <w:rStyle w:val="FootnoteReference"/>
          <w:rFonts w:ascii="Garamond" w:hAnsi="Garamond"/>
          <w:sz w:val="20"/>
        </w:rPr>
        <w:footnoteRef/>
      </w:r>
      <w:r>
        <w:rPr>
          <w:rFonts w:ascii="Garamond" w:hAnsi="Garamond"/>
          <w:sz w:val="20"/>
        </w:rPr>
        <w:t xml:space="preserve"> Markup from the difference between each fund's acquisition price and the recorded takedown prices: about 16 percent over cost on the Domain Timberlake-to-Clayton deal and roughly 106 percent on the DRP TN 1-to-Beazer deal. Recorded deeds and option memoranda, Davidson Cnty. Register of Deeds. See Appendix Table A4.</w:t>
      </w:r>
    </w:p>
  </w:footnote>
  <w:footnote w:id="126">
    <w:p>
      <w:pPr>
        <w:pStyle w:val="FootnoteText"/>
      </w:pPr>
      <w:r>
        <w:rPr>
          <w:rStyle w:val="FootnoteReference"/>
          <w:rFonts w:ascii="Garamond" w:hAnsi="Garamond"/>
          <w:sz w:val="20"/>
        </w:rPr>
        <w:footnoteRef/>
      </w:r>
      <w:r>
        <w:rPr>
          <w:rFonts w:ascii="Garamond" w:hAnsi="Garamond"/>
          <w:sz w:val="20"/>
        </w:rPr>
        <w:t xml:space="preserve"> Author's seller-to-builder handoff analysis, built from the Davidson ParcelHistory ownership layer, https://maps.nashville.gov/arcgis2/rest/services/Parcels/ParcelHistory/MapServer/2, by pairing each entity's acquisition deeds with its later conveyances to a homebuilder brand and computing dollars in, dollars out, markup multiple, and annualized return. Representative deed: CSH Property One to Invitation Homes, https://www.davidsonportal.com/gis/file.php?file=201912160129207.</w:t>
      </w:r>
    </w:p>
  </w:footnote>
  <w:footnote w:id="127">
    <w:p>
      <w:pPr>
        <w:pStyle w:val="FootnoteText"/>
      </w:pPr>
      <w:r>
        <w:rPr>
          <w:rStyle w:val="FootnoteReference"/>
          <w:rFonts w:ascii="Garamond" w:hAnsi="Garamond"/>
          <w:sz w:val="20"/>
        </w:rPr>
        <w:footnoteRef/>
      </w:r>
      <w:r>
        <w:rPr>
          <w:rFonts w:ascii="Garamond" w:hAnsi="Garamond"/>
          <w:sz w:val="20"/>
        </w:rPr>
        <w:t xml:space="preserve"> Lennar Corp., Annual Report (Form 10-K), Ex. 10.12, Master Agreement, at Recital A (Oct. 8, 2020) (defining the structure as "Land Banking": acquiring residential land and granting a homebuilder an option to acquire portions on a pre-determined acquisition schedule), https://www.sec.gov/Archives/edgar/data/920760/000162828021000722/len-20201130x10kxexh1012.htm.</w:t>
      </w:r>
    </w:p>
  </w:footnote>
  <w:footnote w:id="128">
    <w:p>
      <w:pPr>
        <w:pStyle w:val="FootnoteText"/>
      </w:pPr>
      <w:r>
        <w:rPr>
          <w:rStyle w:val="FootnoteReference"/>
          <w:rFonts w:ascii="Garamond" w:hAnsi="Garamond"/>
          <w:sz w:val="20"/>
        </w:rPr>
        <w:footnoteRef/>
      </w:r>
      <w:r>
        <w:rPr>
          <w:rFonts w:ascii="Garamond" w:hAnsi="Garamond"/>
          <w:sz w:val="20"/>
        </w:rPr>
        <w:t xml:space="preserve"> A parcel is vacant when the Davidson County Assessor's improvement-appraised value equals zero, the value of any structure standing on the land. The analysis reads that field for every parcel across each assessment year, so it dates the year a parcel stopped being raw land and became a house and identifies the parcels that never changed. Davidson County Assessor improvement-appraised value by parcel-year (324,748 parcels, per-year series 1900 to 2026), ParcelService GetAssessmentHistory, https://maps.nashville.gov/ParcelService/Search.asmx?op=GetAssessmentHistory.</w:t>
      </w:r>
    </w:p>
  </w:footnote>
  <w:footnote w:id="129">
    <w:p>
      <w:pPr>
        <w:pStyle w:val="FootnoteText"/>
      </w:pPr>
      <w:r>
        <w:rPr>
          <w:rStyle w:val="FootnoteReference"/>
          <w:rFonts w:ascii="Garamond" w:hAnsi="Garamond"/>
          <w:sz w:val="20"/>
        </w:rPr>
        <w:footnoteRef/>
      </w:r>
      <w:r>
        <w:rPr>
          <w:rFonts w:ascii="Garamond" w:hAnsi="Garamond"/>
          <w:sz w:val="20"/>
        </w:rPr>
        <w:t xml:space="preserve"> See supra note 13.</w:t>
      </w:r>
    </w:p>
  </w:footnote>
  <w:footnote w:id="130">
    <w:p>
      <w:pPr>
        <w:pStyle w:val="FootnoteText"/>
      </w:pPr>
      <w:r>
        <w:rPr>
          <w:rStyle w:val="FootnoteReference"/>
          <w:rFonts w:ascii="Garamond" w:hAnsi="Garamond"/>
          <w:sz w:val="20"/>
        </w:rPr>
        <w:footnoteRef/>
      </w:r>
      <w:r>
        <w:rPr>
          <w:rFonts w:ascii="Garamond" w:hAnsi="Garamond"/>
          <w:sz w:val="20"/>
        </w:rPr>
        <w:t xml:space="preserve"> See supra note 13.</w:t>
      </w:r>
    </w:p>
  </w:footnote>
  <w:footnote w:id="131">
    <w:p>
      <w:pPr>
        <w:pStyle w:val="FootnoteText"/>
      </w:pPr>
      <w:r>
        <w:rPr>
          <w:rStyle w:val="FootnoteReference"/>
          <w:rFonts w:ascii="Garamond" w:hAnsi="Garamond"/>
          <w:sz w:val="20"/>
        </w:rPr>
        <w:footnoteRef/>
      </w:r>
      <w:r>
        <w:rPr>
          <w:rFonts w:ascii="Garamond" w:hAnsi="Garamond"/>
          <w:sz w:val="20"/>
        </w:rPr>
        <w:t xml:space="preserve"> See supra note 13.</w:t>
      </w:r>
    </w:p>
  </w:footnote>
  <w:footnote w:id="132">
    <w:p>
      <w:pPr>
        <w:pStyle w:val="FootnoteText"/>
      </w:pPr>
      <w:r>
        <w:rPr>
          <w:rStyle w:val="FootnoteReference"/>
          <w:rFonts w:ascii="Garamond" w:hAnsi="Garamond"/>
          <w:sz w:val="20"/>
        </w:rPr>
        <w:footnoteRef/>
      </w:r>
      <w:r>
        <w:rPr>
          <w:rFonts w:ascii="Garamond" w:hAnsi="Garamond"/>
          <w:sz w:val="20"/>
        </w:rPr>
        <w:t xml:space="preserve"> See supra note 13.</w:t>
      </w:r>
    </w:p>
  </w:footnote>
  <w:footnote w:id="133">
    <w:p>
      <w:pPr>
        <w:pStyle w:val="FootnoteText"/>
      </w:pPr>
      <w:r>
        <w:rPr>
          <w:rStyle w:val="FootnoteReference"/>
          <w:rFonts w:ascii="Garamond" w:hAnsi="Garamond"/>
          <w:sz w:val="20"/>
        </w:rPr>
        <w:footnoteRef/>
      </w:r>
      <w:r>
        <w:rPr>
          <w:rFonts w:ascii="Garamond" w:hAnsi="Garamond"/>
          <w:sz w:val="20"/>
        </w:rPr>
        <w:t xml:space="preserve"> See supra note 13.</w:t>
      </w:r>
    </w:p>
  </w:footnote>
  <w:footnote w:id="134">
    <w:p>
      <w:pPr>
        <w:pStyle w:val="FootnoteText"/>
      </w:pPr>
      <w:r>
        <w:rPr>
          <w:rStyle w:val="FootnoteReference"/>
          <w:rFonts w:ascii="Garamond" w:hAnsi="Garamond"/>
          <w:sz w:val="20"/>
        </w:rPr>
        <w:footnoteRef/>
      </w:r>
      <w:r>
        <w:rPr>
          <w:rFonts w:ascii="Garamond" w:hAnsi="Garamond"/>
          <w:sz w:val="20"/>
        </w:rPr>
        <w:t xml:space="preserve"> See supra note 15.</w:t>
      </w:r>
    </w:p>
  </w:footnote>
  <w:footnote w:id="135">
    <w:p>
      <w:pPr>
        <w:pStyle w:val="FootnoteText"/>
      </w:pPr>
      <w:r>
        <w:rPr>
          <w:rStyle w:val="FootnoteReference"/>
          <w:rFonts w:ascii="Garamond" w:hAnsi="Garamond"/>
          <w:sz w:val="20"/>
        </w:rPr>
        <w:footnoteRef/>
      </w:r>
      <w:r>
        <w:rPr>
          <w:rFonts w:ascii="Garamond" w:hAnsi="Garamond"/>
          <w:sz w:val="20"/>
        </w:rPr>
        <w:t xml:space="preserve"> Author's time-lapse map, https://nataliebaldacci.github.io/Who-Owns-Nashville/LandBank_Timeline_Nashville.html, plotting 107,287 vacant-origin parcels with coordinates by acquisition year, each colored by whether it later built out or remains vacant today.</w:t>
      </w:r>
    </w:p>
  </w:footnote>
  <w:footnote w:id="136">
    <w:p>
      <w:pPr>
        <w:pStyle w:val="FootnoteText"/>
      </w:pPr>
      <w:r>
        <w:rPr>
          <w:rStyle w:val="FootnoteReference"/>
          <w:rFonts w:ascii="Garamond" w:hAnsi="Garamond"/>
          <w:sz w:val="20"/>
        </w:rPr>
        <w:footnoteRef/>
      </w:r>
      <w:r>
        <w:rPr>
          <w:rFonts w:ascii="Garamond" w:hAnsi="Garamond"/>
          <w:sz w:val="20"/>
        </w:rPr>
        <w:t xml:space="preserve"> Author's analysis of the Metro Nashville parcel feature layer filtered to land-use descriptions containing "VACANT" (April 2026 pull), https://datanashvillegov-nashville.hub.arcgis.com/datasets/fa26cd9326c446179be059e00449cb1f_0; owner type by the series' entity filter (a business-entity token in the owner name, with government and trusts removed), defined in Part I; the speculative subset excludes utilities, religious and educational institutions, cemeteries, mineral and extraction firms, railroad and transport infrastructure, homeowner-association and condominium common areas, and single-parcel personal trusts; zoning from Metro's Zoning Districts layer, https://nashville.hub.arcgis.com/datasets/7fc479eeea9c4511b91b01135a826430_0/explore; tract renter cost burden from the American Community Survey 2020 to 2024 five-year estimates, https://api.census.gov/data/2024/acs/acs5. Replication files in the online data appendix.</w:t>
      </w:r>
    </w:p>
  </w:footnote>
  <w:footnote w:id="137">
    <w:p>
      <w:pPr>
        <w:pStyle w:val="FootnoteText"/>
      </w:pPr>
      <w:r>
        <w:rPr>
          <w:rStyle w:val="FootnoteReference"/>
          <w:rFonts w:ascii="Garamond" w:hAnsi="Garamond"/>
          <w:sz w:val="20"/>
        </w:rPr>
        <w:footnoteRef/>
      </w:r>
      <w:r>
        <w:rPr>
          <w:rFonts w:ascii="Garamond" w:hAnsi="Garamond"/>
          <w:sz w:val="20"/>
        </w:rPr>
        <w:t xml:space="preserve"> See supra note 16.</w:t>
      </w:r>
    </w:p>
  </w:footnote>
  <w:footnote w:id="138">
    <w:p>
      <w:pPr>
        <w:pStyle w:val="FootnoteText"/>
      </w:pPr>
      <w:r>
        <w:rPr>
          <w:rStyle w:val="FootnoteReference"/>
          <w:rFonts w:ascii="Garamond" w:hAnsi="Garamond"/>
          <w:sz w:val="20"/>
        </w:rPr>
        <w:footnoteRef/>
      </w:r>
      <w:r>
        <w:rPr>
          <w:rFonts w:ascii="Garamond" w:hAnsi="Garamond"/>
          <w:sz w:val="20"/>
        </w:rPr>
        <w:t xml:space="preserve"> Author's analysis joining every Property History event of type Plat, Split from Mapping, Merger, Map Error, Boundary Adjustment, or Combined, ParcelHistory Layer 3, https://maps.nashville.gov/arcgis2/rest/services/Parcels/ParcelHistory/MapServer/3/query?where=1%3D1&amp;outFields=&amp;resultOffset=0&amp;resultRecordCount=100&amp;f=json, to the most recent Ownership History event on or before it, Layer 2, https://maps.nashville.gov/arcgis2/rest/services/Parcels/ParcelHistory/MapServer/2/query?where=1%3D1&amp;outFields=&amp;resultOffset=0&amp;resultRecordCount=100&amp;f=json (461,875 property events and 1,639,478 ownership events; 149,147 subdivision events, 1900 to April 2026); operator attribution by the series' operator crosswalk. Replication files in the online data appendix.</w:t>
      </w:r>
    </w:p>
  </w:footnote>
  <w:footnote w:id="139">
    <w:p>
      <w:pPr>
        <w:pStyle w:val="FootnoteText"/>
      </w:pPr>
      <w:r>
        <w:rPr>
          <w:rStyle w:val="FootnoteReference"/>
          <w:rFonts w:ascii="Garamond" w:hAnsi="Garamond"/>
          <w:sz w:val="20"/>
        </w:rPr>
        <w:footnoteRef/>
      </w:r>
      <w:r>
        <w:rPr>
          <w:rFonts w:ascii="Garamond" w:hAnsi="Garamond"/>
          <w:sz w:val="20"/>
        </w:rPr>
        <w:t xml:space="preserve"> See supra note 95.</w:t>
      </w:r>
    </w:p>
  </w:footnote>
  <w:footnote w:id="140">
    <w:p>
      <w:pPr>
        <w:pStyle w:val="FootnoteText"/>
      </w:pPr>
      <w:r>
        <w:rPr>
          <w:rStyle w:val="FootnoteReference"/>
          <w:rFonts w:ascii="Garamond" w:hAnsi="Garamond"/>
          <w:sz w:val="20"/>
        </w:rPr>
        <w:footnoteRef/>
      </w:r>
      <w:r>
        <w:rPr>
          <w:rFonts w:ascii="Garamond" w:hAnsi="Garamond"/>
          <w:sz w:val="20"/>
        </w:rPr>
        <w:t xml:space="preserve"> See supra note 17.</w:t>
      </w:r>
    </w:p>
  </w:footnote>
  <w:footnote w:id="141">
    <w:p>
      <w:pPr>
        <w:pStyle w:val="FootnoteText"/>
      </w:pPr>
      <w:r>
        <w:rPr>
          <w:rStyle w:val="FootnoteReference"/>
          <w:rFonts w:ascii="Garamond" w:hAnsi="Garamond"/>
          <w:sz w:val="20"/>
        </w:rPr>
        <w:footnoteRef/>
      </w:r>
      <w:r>
        <w:rPr>
          <w:rFonts w:ascii="Garamond" w:hAnsi="Garamond"/>
          <w:sz w:val="20"/>
        </w:rPr>
        <w:t xml:space="preserve"> See supra note 17.</w:t>
      </w:r>
    </w:p>
  </w:footnote>
  <w:footnote w:id="142">
    <w:p>
      <w:pPr>
        <w:pStyle w:val="FootnoteText"/>
      </w:pPr>
      <w:r>
        <w:rPr>
          <w:rStyle w:val="FootnoteReference"/>
          <w:rFonts w:ascii="Garamond" w:hAnsi="Garamond"/>
          <w:sz w:val="20"/>
        </w:rPr>
        <w:footnoteRef/>
      </w:r>
      <w:r>
        <w:rPr>
          <w:rFonts w:ascii="Garamond" w:hAnsi="Garamond"/>
          <w:sz w:val="20"/>
        </w:rPr>
        <w:t xml:space="preserve"> See supra note 17.</w:t>
      </w:r>
    </w:p>
  </w:footnote>
  <w:footnote w:id="143">
    <w:p>
      <w:pPr>
        <w:pStyle w:val="FootnoteText"/>
      </w:pPr>
      <w:r>
        <w:rPr>
          <w:rStyle w:val="FootnoteReference"/>
          <w:rFonts w:ascii="Garamond" w:hAnsi="Garamond"/>
          <w:sz w:val="20"/>
        </w:rPr>
        <w:footnoteRef/>
      </w:r>
      <w:r>
        <w:rPr>
          <w:rFonts w:ascii="Garamond" w:hAnsi="Garamond"/>
          <w:sz w:val="20"/>
        </w:rPr>
        <w:t xml:space="preserve"> See supra note 19.</w:t>
      </w:r>
    </w:p>
  </w:footnote>
  <w:footnote w:id="144">
    <w:p>
      <w:pPr>
        <w:pStyle w:val="FootnoteText"/>
      </w:pPr>
      <w:r>
        <w:rPr>
          <w:rStyle w:val="FootnoteReference"/>
          <w:rFonts w:ascii="Garamond" w:hAnsi="Garamond"/>
          <w:sz w:val="20"/>
        </w:rPr>
        <w:footnoteRef/>
      </w:r>
      <w:r>
        <w:rPr>
          <w:rFonts w:ascii="Garamond" w:hAnsi="Garamond"/>
          <w:sz w:val="20"/>
        </w:rPr>
        <w:t xml:space="preserve"> See supra note 5.</w:t>
      </w:r>
    </w:p>
  </w:footnote>
  <w:footnote w:id="145">
    <w:p>
      <w:pPr>
        <w:pStyle w:val="FootnoteText"/>
      </w:pPr>
      <w:r>
        <w:rPr>
          <w:rStyle w:val="FootnoteReference"/>
          <w:rFonts w:ascii="Garamond" w:hAnsi="Garamond"/>
          <w:sz w:val="20"/>
        </w:rPr>
        <w:footnoteRef/>
      </w:r>
      <w:r>
        <w:rPr>
          <w:rFonts w:ascii="Garamond" w:hAnsi="Garamond"/>
          <w:sz w:val="20"/>
        </w:rPr>
        <w:t xml:space="preserve"> See supra note 32.</w:t>
      </w:r>
    </w:p>
  </w:footnote>
  <w:footnote w:id="146">
    <w:p>
      <w:pPr>
        <w:pStyle w:val="FootnoteText"/>
      </w:pPr>
      <w:r>
        <w:rPr>
          <w:rStyle w:val="FootnoteReference"/>
          <w:rFonts w:ascii="Garamond" w:hAnsi="Garamond"/>
          <w:sz w:val="20"/>
        </w:rPr>
        <w:footnoteRef/>
      </w:r>
      <w:r>
        <w:rPr>
          <w:rFonts w:ascii="Garamond" w:hAnsi="Garamond"/>
          <w:sz w:val="20"/>
        </w:rPr>
        <w:t xml:space="preserve"> Housing and Economic Recovery Act of 2025, S. 2651, 119th Cong. (2025), https://www.congress.gov/bill/119th-congress/senate-bill/2651; Stop Predatory Investing Act, S. 2224, 118th Cong. (2023), https://www.congress.gov/bill/118th-congress/senate-bill/2224; Housing and Real Estate Technology (HART) Act, S. 4620, 118th Cong. (2024), https://www.congress.gov/bill/118th-congress/senate-bill/4620/text; see also Katie Jones &amp; Lida R. Weinstock, Cong. Rsch. Serv., R48743, Housing Issues in the 119th Congress (Nov. 24, 2025), https://www.congress.gov/crs-product/R48743; Katie Jones &amp; Lida R. Weinstock, Cong. Rsch. Serv., R48849, Housing for the 21st Century Act (May 7, 2026), https://www.congress.gov/crs-product/R48849; Building Our Future: Increasing Housing Supply in America: Hearing Before the Subcomm. on Hous. &amp; Ins. of the H. Comm. on Fin. Servs., 119th Cong. (Mar. 4, 2025), https://www.congress.gov/event/119th-congress/house-event/LC74984/text.</w:t>
      </w:r>
    </w:p>
  </w:footnote>
  <w:footnote w:id="147">
    <w:p>
      <w:pPr>
        <w:pStyle w:val="FootnoteText"/>
      </w:pPr>
      <w:r>
        <w:rPr>
          <w:rStyle w:val="FootnoteReference"/>
          <w:rFonts w:ascii="Garamond" w:hAnsi="Garamond"/>
          <w:sz w:val="20"/>
        </w:rPr>
        <w:footnoteRef/>
      </w:r>
      <w:r>
        <w:rPr>
          <w:rFonts w:ascii="Garamond" w:hAnsi="Garamond"/>
          <w:sz w:val="20"/>
        </w:rPr>
        <w:t xml:space="preserve"> See supra note 72.</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eastAsia="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eastAsia="Garamond"/>
      <w:b/>
      <w:bCs/>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eastAsia="Garamond"/>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eastAsia="Garamond"/>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aramond" w:hAnsi="Garamond" w:eastAsia="Garamond"/>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