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28"/>
        </w:rPr>
        <w:t>WHO OWNS NASHVILLE?</w:t>
      </w:r>
    </w:p>
    <w:p>
      <w:pPr>
        <w:jc w:val="center"/>
      </w:pPr>
      <w:r>
        <w:rPr>
          <w:rFonts w:ascii="Garamond" w:hAnsi="Garamond"/>
          <w:i/>
          <w:sz w:val="24"/>
        </w:rPr>
        <w:t>Corporate Ownership of Davidson County's Single-Family Homes, Counted at the Parcel and Read Against the Statute That Now Governs It</w:t>
      </w:r>
    </w:p>
    <w:p>
      <w:pPr>
        <w:jc w:val="center"/>
      </w:pPr>
      <w:r>
        <w:rPr>
          <w:rFonts w:ascii="Garamond" w:hAnsi="Garamond"/>
          <w:i/>
          <w:sz w:val="22"/>
        </w:rPr>
        <w:t>By Natalie Baldacci</w:t>
      </w:r>
    </w:p>
    <w:p>
      <w:pPr>
        <w:spacing w:line="480" w:lineRule="auto" w:before="0" w:after="0"/>
        <w:ind w:firstLine="720"/>
      </w:pPr>
      <w:r>
        <w:rPr>
          <w:rFonts w:ascii="Garamond" w:hAnsi="Garamond"/>
          <w:i/>
        </w:rPr>
        <w:t>Part I of the series</w:t>
      </w:r>
      <w:r>
        <w:rPr>
          <w:rFonts w:ascii="Garamond" w:hAnsi="Garamond"/>
        </w:rPr>
        <w:t xml:space="preserve"> Who Owns Nashville? Wall Street's Quiet Takeover of a City's Housing Market</w:t>
      </w:r>
    </w:p>
    <w:p>
      <w:pPr>
        <w:pStyle w:val="Heading1"/>
        <w:spacing w:before="360"/>
      </w:pPr>
      <w:r>
        <w:t>INTRODUCTION</w:t>
      </w:r>
    </w:p>
    <w:p>
      <w:pPr>
        <w:spacing w:line="480" w:lineRule="auto" w:before="0" w:after="0"/>
        <w:ind w:firstLine="720"/>
      </w:pPr>
      <w:r>
        <w:rPr>
          <w:rFonts w:ascii="Garamond" w:hAnsi="Garamond"/>
        </w:rPr>
        <w:t>On a cul-de-sac in Antioch, in the 37013 ZIP code where single-family rental operators have pledged 878 homes to bondholders, a three-bedroom house shelters a family that rents.</w:t>
      </w:r>
      <w:r>
        <w:rPr>
          <w:rStyle w:val="FootnoteReference"/>
        </w:rPr>
        <w:footnoteReference w:id="1"/>
      </w:r>
      <w:r>
        <w:rPr>
          <w:rFonts w:ascii="Garamond" w:hAnsi="Garamond"/>
        </w:rPr>
        <w:t xml:space="preserve"> The deed on file at the Davidson County Register of Deeds sends the property-tax bill sixteen hundred miles west, to Post Office Box 4090 in Scottsdale, Arizona. The same box collects the tax bills for 1,211 Davidson County homes, every one of them titled to a subsidiary of Progress Residential.</w:t>
      </w:r>
      <w:r>
        <w:rPr>
          <w:rStyle w:val="FootnoteReference"/>
        </w:rPr>
        <w:footnoteReference w:id="2"/>
      </w:r>
      <w:r>
        <w:rPr>
          <w:rFonts w:ascii="Garamond" w:hAnsi="Garamond"/>
        </w:rPr>
        <w:t xml:space="preserve"> The subsidiaries carry names like Progress Residential Borrower 6, LLC and PR Borrower 26, LLC, and the largest of them is not a Progress name at all. Yamasa Co., Ltd., a Japanese company, holds 248 Davidson homes that reached Progress through the Front Yard Residential portfolio Pretium Partners acquired in January 2021.</w:t>
      </w:r>
      <w:r>
        <w:rPr>
          <w:rStyle w:val="FootnoteReference"/>
        </w:rPr>
        <w:footnoteReference w:id="3"/>
      </w:r>
      <w:r>
        <w:rPr>
          <w:rFonts w:ascii="Garamond" w:hAnsi="Garamond"/>
        </w:rPr>
        <w:t xml:space="preserve"> The family in the house has never met its landlord, because the landlord is a limited liability company, the company is a subsidiary, and the subsidiary answers to a fund.</w:t>
      </w:r>
    </w:p>
    <w:p>
      <w:pPr>
        <w:spacing w:line="480" w:lineRule="auto" w:before="0" w:after="0"/>
        <w:ind w:firstLine="720"/>
      </w:pPr>
      <w:r>
        <w:rPr>
          <w:rFonts w:ascii="Garamond" w:hAnsi="Garamond"/>
        </w:rPr>
        <w:t>Congress drew a line through that arrangement in 2026. Section 1001 of the 21st Century ROAD to Housing Act, titled Homes Are for People, Not Corporations, became law on July 11, 2026 without the President's signature.</w:t>
      </w:r>
      <w:r>
        <w:rPr>
          <w:rStyle w:val="FootnoteReference"/>
        </w:rPr>
        <w:footnoteReference w:id="4"/>
      </w:r>
      <w:r>
        <w:rPr>
          <w:rFonts w:ascii="Garamond" w:hAnsi="Garamond"/>
        </w:rPr>
        <w:t xml:space="preserve"> It bars a for-profit entity that controls 350 or more single-family homes from purchasing another, and it defines a single-family home as a structure of two or fewer dwelling units.</w:t>
      </w:r>
      <w:r>
        <w:rPr>
          <w:rStyle w:val="FootnoteReference"/>
        </w:rPr>
        <w:footnoteReference w:id="5"/>
      </w:r>
      <w:r>
        <w:rPr>
          <w:rFonts w:ascii="Garamond" w:hAnsi="Garamond"/>
        </w:rPr>
        <w:t xml:space="preserve"> Both definitions presuppose a count. The statute's trigger is the number of homes an entity controls, through every subsidiary, every merger orphan, and every renamed vehicle, and the public record holds that number nowhere. No federal agency performs the count. No state registry performs it. The Davidson County Assessor records a grantee name and a mailing address, and the mailing address is a tax agent's box. The question this Part answers, who owns Nashville's single-family homes, is therefore two questions: how many homes corporate owners hold, and what work it takes to say so. The second question is the condition on which the first has any answer, and it is the condition on which the statute can operate at all.</w:t>
      </w:r>
    </w:p>
    <w:p>
      <w:pPr>
        <w:spacing w:line="480" w:lineRule="auto" w:before="0" w:after="0"/>
        <w:ind w:firstLine="720"/>
      </w:pPr>
      <w:r>
        <w:rPr>
          <w:rFonts w:ascii="Garamond" w:hAnsi="Garamond"/>
        </w:rPr>
        <w:t>The Series Introduction sets out the lifecycle the series walks, from the rented house backward to the land and the capital behind it, and introduces the cast.</w:t>
      </w:r>
      <w:r>
        <w:rPr>
          <w:rStyle w:val="FootnoteReference"/>
        </w:rPr>
        <w:footnoteReference w:id="6"/>
      </w:r>
      <w:r>
        <w:rPr>
          <w:rFonts w:ascii="Garamond" w:hAnsi="Garamond"/>
        </w:rPr>
        <w:t xml:space="preserve"> This Part takes the first stage, title to the standing home. It applies the Act's three definitions, the single-family home, the large institutional investor, and the purchase, to every parcel in Davidson County, resolves the entity names on the deeds to the parent families behind them, and states who holds what. Every number comes from primary government records a reader can replay: the Metro Nashville cadastral parcel layer, the county's parcel ownership history, the Register of Deeds, the Tennessee Secretary of State's business registry, the Securities and Exchange Commission's EDGAR filings, and the American Community Survey. No proprietary vendor data enters the analysis.</w:t>
      </w:r>
      <w:r>
        <w:rPr>
          <w:rStyle w:val="FootnoteReference"/>
        </w:rPr>
        <w:footnoteReference w:id="7"/>
      </w:r>
    </w:p>
    <w:p>
      <w:pPr>
        <w:spacing w:line="480" w:lineRule="auto" w:before="0" w:after="0"/>
        <w:ind w:firstLine="720"/>
      </w:pPr>
      <w:r>
        <w:rPr>
          <w:rFonts w:ascii="Garamond" w:hAnsi="Garamond"/>
        </w:rPr>
        <w:t>Six findings organize the results. First, individuals still own the overwhelming majority of the county's single-family homes. Of 205,933 homes in the framework universe, individuals hold 83.7 percent, corporate entities 8.1 percent (16,615 homes), and trusts 7.9 percent; the named national single-family rental operators hold 3,940 homes, 1.9 percent of the stock (Finding 1).</w:t>
      </w:r>
      <w:r>
        <w:rPr>
          <w:rStyle w:val="FootnoteReference"/>
        </w:rPr>
        <w:footnoteReference w:id="8"/>
      </w:r>
      <w:r>
        <w:rPr>
          <w:rFonts w:ascii="Garamond" w:hAnsi="Garamond"/>
        </w:rPr>
        <w:t xml:space="preserve"> Second, three operators hold more Davidson County homes than the statute's national threshold on their county holdings alone: Progress Residential with 1,222, American Homes 4 Rent with 1,173, and Amherst with 657, and the four real estate investment trusts that the only prior Nashville study counted at 825 county homes in 2015 now hold 2,656 (Finding 2).</w:t>
      </w:r>
      <w:r>
        <w:rPr>
          <w:rStyle w:val="FootnoteReference"/>
        </w:rPr>
        <w:footnoteReference w:id="9"/>
      </w:r>
      <w:r>
        <w:rPr>
          <w:rFonts w:ascii="Garamond" w:hAnsi="Garamond"/>
        </w:rPr>
        <w:t xml:space="preserve"> Third, corporate ownership concentrates. The 16,615 entity-owned homes resolve to 6,569 owner groups, and three of those groups hold 17.8 percent of the parcels while 144 groups with ten or more homes hold 44 percent (Finding 3). Fourth, the ownership is built to resist counting: 97 parent families operate through 9,973 recorded entities, and the operator-attributed parcels alone sit under 329 distinct recorded names (Finding 4).</w:t>
      </w:r>
      <w:r>
        <w:rPr>
          <w:rStyle w:val="FootnoteReference"/>
        </w:rPr>
        <w:footnoteReference w:id="10"/>
      </w:r>
      <w:r>
        <w:rPr>
          <w:rFonts w:ascii="Garamond" w:hAnsi="Garamond"/>
        </w:rPr>
        <w:t xml:space="preserve"> Fifth, corporate ownership has two geographies, not one. The broad entity class concentrates in the county's economically burdened tracts at 1.23 times the county rate, while the named national operators run below the county rate in those same tracts, at 0.88, and concentrate instead in middle-income homeowner suburbs; the tracts where entity ownership concentrates are Blacker, poorer, and more renter-occupied than the rest of the county, a reversal of the 2018 study's findings on race and income (Finding 5).</w:t>
      </w:r>
      <w:r>
        <w:rPr>
          <w:rStyle w:val="FootnoteReference"/>
        </w:rPr>
        <w:footnoteReference w:id="11"/>
      </w:r>
      <w:r>
        <w:rPr>
          <w:rFonts w:ascii="Garamond" w:hAnsi="Garamond"/>
        </w:rPr>
        <w:t xml:space="preserve"> Sixth, net acquisition by the named operators peaked in 2021 and has since fallen to near zero while their holdings remain at their peak: the operators stopped buying without starting to sell, and in the peak years one home sale in six took a house out of owner-occupancy (Finding 6).</w:t>
      </w:r>
      <w:r>
        <w:rPr>
          <w:rStyle w:val="FootnoteReference"/>
        </w:rPr>
        <w:footnoteReference w:id="12"/>
      </w:r>
    </w:p>
    <w:p>
      <w:pPr>
        <w:spacing w:line="480" w:lineRule="auto" w:before="0" w:after="0"/>
        <w:ind w:firstLine="720"/>
      </w:pPr>
      <w:r>
        <w:rPr>
          <w:rFonts w:ascii="Garamond" w:hAnsi="Garamond"/>
        </w:rPr>
        <w:t>The Part proceeds in the order the series template fixes. Section 1 describes the business the owners run and the issues it raises. Section 2 sets out the Act's definitions and prohibition and applies them to the Davidson roster. Section 3 turns to Nashville, its housing history, its operators, and the local law that reaches them. Section 4 states the research questions, reviews the literature, and documents the data and methods. Section 5 presents the findings and the discussion. Recommendations and a Conclusion follow, and the Conclusion hands the walk to Part II, where the tenants live.</w:t>
      </w:r>
    </w:p>
    <w:p>
      <w:pPr>
        <w:pStyle w:val="Heading1"/>
        <w:spacing w:before="360"/>
      </w:pPr>
      <w:r>
        <w:t>1. Background on the Owners</w:t>
      </w:r>
    </w:p>
    <w:p>
      <w:pPr>
        <w:pStyle w:val="Heading2"/>
      </w:pPr>
      <w:r>
        <w:t>A. What Is the Institutional Single-Family Rental Model?</w:t>
      </w:r>
    </w:p>
    <w:p>
      <w:pPr>
        <w:spacing w:line="480" w:lineRule="auto" w:before="0" w:after="0"/>
        <w:ind w:firstLine="720"/>
      </w:pPr>
      <w:r>
        <w:rPr>
          <w:rFonts w:ascii="Garamond" w:hAnsi="Garamond"/>
        </w:rPr>
        <w:t>The corporate landlord of detached houses is a product of the foreclosure crisis. Before 2012, no single investor owned more than a thousand single-family rental homes in the United States; the stock belonged to households and to small landlords holding a few properties each.</w:t>
      </w:r>
      <w:r>
        <w:rPr>
          <w:rStyle w:val="FootnoteReference"/>
        </w:rPr>
        <w:footnoteReference w:id="13"/>
      </w:r>
      <w:r>
        <w:rPr>
          <w:rFonts w:ascii="Garamond" w:hAnsi="Garamond"/>
        </w:rPr>
        <w:t xml:space="preserve"> The crisis produced millions of foreclosed homes, and federal policy turned them into an asset class. In 2012 the Federal Housing Finance Agency piloted the sale of foreclosed Fannie Mae homes in bulk to investors who agreed to rent them, and private capital followed the pilot into the courthouse auctions and bank-owned inventory of Atlanta, Phoenix, Tampa, and the other metros the crisis hit hardest.</w:t>
      </w:r>
      <w:r>
        <w:rPr>
          <w:rStyle w:val="FootnoteReference"/>
        </w:rPr>
        <w:footnoteReference w:id="14"/>
      </w:r>
      <w:r>
        <w:rPr>
          <w:rFonts w:ascii="Garamond" w:hAnsi="Garamond"/>
        </w:rPr>
        <w:t>The Federal Reserve's economists, counting roughly 28,000 institutional purchases across eighteen cities, named the phenomenon a new asset class in 2015.</w:t>
      </w:r>
      <w:r>
        <w:rPr>
          <w:rStyle w:val="FootnoteReference"/>
        </w:rPr>
        <w:footnoteReference w:id="15"/>
      </w:r>
    </w:p>
    <w:p>
      <w:pPr>
        <w:spacing w:line="480" w:lineRule="auto" w:before="0" w:after="0"/>
        <w:ind w:firstLine="720"/>
      </w:pPr>
      <w:r>
        <w:rPr>
          <w:rFonts w:ascii="Garamond" w:hAnsi="Garamond"/>
        </w:rPr>
        <w:t>The model that emerged has three parts, and each part shapes what the public record shows. The first is scattered-site acquisition: the operator buys individual houses, one deed at a time, through brokers, auctions, and increasingly from homebuilders, and manages them from a regional office with centralized leasing, maintenance, and rent collection.</w:t>
      </w:r>
      <w:r>
        <w:rPr>
          <w:rStyle w:val="FootnoteReference"/>
        </w:rPr>
        <w:footnoteReference w:id="16"/>
      </w:r>
      <w:r>
        <w:rPr>
          <w:rFonts w:ascii="Garamond" w:hAnsi="Garamond"/>
        </w:rPr>
        <w:t xml:space="preserve"> The second is securitization. Beginning with Invitation Homes in late 2013, operators pledged thousands of homes to a trust, issued bonds against the rents, and used the proceeds to buy more; each securitization requires a bankruptcy-remote borrower entity that holds title to the pledged homes, which is why the deeds carry names like Progress Residential Borrower 6, LLC and SFR JV-1 2020-1 Borrower, LLC rather than the operator's name.</w:t>
      </w:r>
      <w:r>
        <w:rPr>
          <w:rStyle w:val="FootnoteReference"/>
        </w:rPr>
        <w:footnoteReference w:id="17"/>
      </w:r>
      <w:r>
        <w:rPr>
          <w:rFonts w:ascii="Garamond" w:hAnsi="Garamond"/>
        </w:rPr>
        <w:t xml:space="preserve"> The third is consolidation. Eight firms issued the first wave's securitizations between 2013 and 2015; Colony American Homes and Starwood Waypoint merged in 2016 and folded into Invitation Homes in 2017; American Residential Properties dissolved into American Homes 4 Rent in 2016; Pretium and Ares took Front Yard Residential private in 2021 and merged it into Progress; and Blackstone took Tricon private in May 2024 for $3.5 billion.</w:t>
      </w:r>
      <w:r>
        <w:rPr>
          <w:rStyle w:val="FootnoteReference"/>
        </w:rPr>
        <w:footnoteReference w:id="18"/>
      </w:r>
      <w:r>
        <w:rPr>
          <w:rFonts w:ascii="Garamond" w:hAnsi="Garamond"/>
        </w:rPr>
        <w:t xml:space="preserve"> Each merger leaves the acquired company's borrower entities on the deeds under the dead name.</w:t>
      </w:r>
    </w:p>
    <w:p>
      <w:pPr>
        <w:spacing w:line="480" w:lineRule="auto" w:before="0" w:after="0"/>
        <w:ind w:firstLine="720"/>
      </w:pPr>
      <w:r>
        <w:rPr>
          <w:rFonts w:ascii="Garamond" w:hAnsi="Garamond"/>
        </w:rPr>
        <w:t>By the early 2020s the model had matured and changed shape. Institutional investors owned roughly 450,000 single-family rental homes nationally by 2022, a small share of the 23 million single-family rentals in the country but a concentrated one, clustered in the Sun Belt metros where the operators first bought.</w:t>
      </w:r>
      <w:r>
        <w:rPr>
          <w:rStyle w:val="FootnoteReference"/>
        </w:rPr>
        <w:footnoteReference w:id="19"/>
      </w:r>
      <w:r>
        <w:rPr>
          <w:rFonts w:ascii="Garamond" w:hAnsi="Garamond"/>
        </w:rPr>
        <w:t xml:space="preserve"> As foreclosure inventory disappeared and interest rates rose after March 2022, open-market buying slowed, and the operators turned to two other channels: construction, through build-to-rent programs that Part III measures, and bulk purchase from homebuilders at completion. The standing stock of houses they already held did not move. The model's economics reward holding, because the rent rises with the market and the bonds refinance, and the operators who stopped buying in 2023 did not start selling.</w:t>
      </w:r>
      <w:r>
        <w:rPr>
          <w:rStyle w:val="FootnoteReference"/>
        </w:rPr>
        <w:footnoteReference w:id="20"/>
      </w:r>
    </w:p>
    <w:p>
      <w:pPr>
        <w:pStyle w:val="Heading2"/>
      </w:pPr>
      <w:r>
        <w:t>B. Who Are the Key Players?</w:t>
      </w:r>
    </w:p>
    <w:p>
      <w:pPr>
        <w:spacing w:line="480" w:lineRule="auto" w:before="0" w:after="0"/>
        <w:ind w:firstLine="720"/>
      </w:pPr>
      <w:r>
        <w:rPr>
          <w:rFonts w:ascii="Garamond" w:hAnsi="Garamond"/>
        </w:rPr>
        <w:t>The national roster is short and well capitalized. Progress Residential, owned by Pretium Partners, manages roughly 90,000 homes and is the largest operator in the country; Invitation Homes, a public real estate investment trust, held 85,261 at the start of 2025; American Homes 4 Rent, also public, held 60,531; Tricon, owned by Blackstone, roughly 60,000; FirstKey Homes, owned by Cerberus, roughly 48,000; Main Street Renewal, the operating arm of the Amherst Group, roughly 42,000; VineBrook Homes roughly 21,000; and Maymont Homes, owned by Brookfield, roughly 15,000.</w:t>
      </w:r>
      <w:r>
        <w:rPr>
          <w:rStyle w:val="FootnoteReference"/>
        </w:rPr>
        <w:footnoteReference w:id="21"/>
      </w:r>
      <w:r>
        <w:rPr>
          <w:rFonts w:ascii="Garamond" w:hAnsi="Garamond"/>
        </w:rPr>
        <w:t xml:space="preserve"> Behind these operators stand the private equity and asset-management firms that fund them: Pretium, Blackstone, Cerberus, Brookfield, Kohlberg Kravis Roberts through My Community Homes, Rithm Capital through its own vehicles, and Nuveen through the Sparrow joint venture that Invitation Homes manages.</w:t>
      </w:r>
      <w:r>
        <w:rPr>
          <w:rStyle w:val="FootnoteReference"/>
        </w:rPr>
        <w:footnoteReference w:id="22"/>
      </w:r>
    </w:p>
    <w:p>
      <w:pPr>
        <w:spacing w:line="480" w:lineRule="auto" w:before="0" w:after="0"/>
        <w:ind w:firstLine="720"/>
      </w:pPr>
      <w:r>
        <w:rPr>
          <w:rFonts w:ascii="Garamond" w:hAnsi="Garamond"/>
        </w:rPr>
        <w:t>The Davidson County roster reproduces the national one with a local accent. The three largest holders in the county are the three largest private-equity-backed operators nationally: Progress, American Homes 4 Rent, and Amherst. Tricon entered the county at scale in December 2019 by buying Invitation Homes' 708 Nashville houses for roughly $210 million, which is why Invitation proper now holds ten homes in the county while its former portfolio sits under Tricon's SFR JV entities.</w:t>
      </w:r>
      <w:r>
        <w:rPr>
          <w:rStyle w:val="FootnoteReference"/>
        </w:rPr>
        <w:footnoteReference w:id="23"/>
      </w:r>
      <w:r>
        <w:rPr>
          <w:rFonts w:ascii="Garamond" w:hAnsi="Garamond"/>
        </w:rPr>
        <w:t xml:space="preserve"> Starwood Capital, which the Colony Starwood merger carried into Invitation Homes nationally, holds 251 homes in Davidson under its own STAR entities. And a local general partnership, the Normandy Group, holds 302 framework parcels, nearly all of them build-to-rent townhomes in Antioch, which makes a Nashville partnership and not a national real estate investment trust the county's fourth-largest corporate owner of single-family homes.</w:t>
      </w:r>
      <w:r>
        <w:rPr>
          <w:rStyle w:val="FootnoteReference"/>
        </w:rPr>
        <w:footnoteReference w:id="24"/>
      </w:r>
    </w:p>
    <w:p>
      <w:pPr>
        <w:pStyle w:val="Heading2"/>
      </w:pPr>
      <w:r>
        <w:t>C. What Issues Do These Players Raise?</w:t>
      </w:r>
    </w:p>
    <w:p>
      <w:pPr>
        <w:spacing w:line="480" w:lineRule="auto" w:before="0" w:after="0"/>
        <w:ind w:firstLine="720"/>
      </w:pPr>
      <w:r>
        <w:rPr>
          <w:rFonts w:ascii="Garamond" w:hAnsi="Garamond"/>
        </w:rPr>
        <w:t>The debate over institutional single-family ownership turns on four questions, and the literature answers each with some confidence and none with consensus.</w:t>
      </w:r>
      <w:r>
        <w:rPr>
          <w:rStyle w:val="FootnoteReference"/>
        </w:rPr>
        <w:footnoteReference w:id="25"/>
      </w:r>
      <w:r>
        <w:rPr>
          <w:rFonts w:ascii="Garamond" w:hAnsi="Garamond"/>
        </w:rPr>
        <w:t xml:space="preserve"> The first is price. Investor purchases concentrated in the lower-priced segment of the market raised prices and rents there, with the largest effects on the cheapest homes, and the Philadelphia Federal Reserve's estimates attribute more than half of the recovery-era rise in real house-price appreciation to institutional presence.</w:t>
      </w:r>
      <w:r>
        <w:rPr>
          <w:rStyle w:val="FootnoteReference"/>
        </w:rPr>
        <w:footnoteReference w:id="26"/>
      </w:r>
      <w:r>
        <w:rPr>
          <w:rFonts w:ascii="Garamond" w:hAnsi="Garamond"/>
        </w:rPr>
        <w:t xml:space="preserve"> The second is homeownership. Where institutions converted owner-occupied houses to rentals, local homeownership rates fell, and the losses fell hardest on Black would-be buyers in the neighborhoods the operators targeted.</w:t>
      </w:r>
      <w:r>
        <w:rPr>
          <w:rStyle w:val="FootnoteReference"/>
        </w:rPr>
        <w:footnoteReference w:id="27"/>
      </w:r>
      <w:r>
        <w:rPr>
          <w:rFonts w:ascii="Garamond" w:hAnsi="Garamond"/>
        </w:rPr>
        <w:t xml:space="preserve"> The third is tenant outcomes. Post-foreclosure institutional owners in Atlanta filed evictions at higher rates than the median landlord, and the Private Equity Stakeholder Project's reporting on Progress Residential in Tennessee documents the same pattern; the Government Accountability Office, reviewing the national evidence in 2024, found it unclear for want of data.</w:t>
      </w:r>
      <w:r>
        <w:rPr>
          <w:rStyle w:val="FootnoteReference"/>
        </w:rPr>
        <w:footnoteReference w:id="28"/>
      </w:r>
      <w:r>
        <w:rPr>
          <w:rFonts w:ascii="Garamond" w:hAnsi="Garamond"/>
        </w:rPr>
        <w:t xml:space="preserve"> The fourth is race and place. The operators bought first and most in majority-Black and Hispanic neighborhoods of the Sun Belt, and the question whether they target such neighborhoods or follow the price signal into them remains open.</w:t>
      </w:r>
      <w:r>
        <w:rPr>
          <w:rStyle w:val="FootnoteReference"/>
        </w:rPr>
        <w:footnoteReference w:id="29"/>
      </w:r>
    </w:p>
    <w:p>
      <w:pPr>
        <w:spacing w:line="480" w:lineRule="auto" w:before="0" w:after="0"/>
        <w:ind w:firstLine="720"/>
      </w:pPr>
      <w:r>
        <w:rPr>
          <w:rFonts w:ascii="Garamond" w:hAnsi="Garamond"/>
        </w:rPr>
        <w:t>Beneath all four lies a fifth issue that the debate rarely names: nobody can count the owners. The literature's thresholds for what makes an investor institutional range across three orders of magnitude, from five properties to tens of thousands, and the studies that name operators do not aggregate the operators' shell companies to the parent at the parcel.</w:t>
      </w:r>
      <w:r>
        <w:rPr>
          <w:rStyle w:val="FootnoteReference"/>
        </w:rPr>
        <w:footnoteReference w:id="30"/>
      </w:r>
      <w:r>
        <w:rPr>
          <w:rFonts w:ascii="Garamond" w:hAnsi="Garamond"/>
        </w:rPr>
        <w:t xml:space="preserve"> A statute that fixes a threshold at 350 homes does not resolve the counting problem; it inherits it. The number of homes an entity controls is knowable only after someone has traced every borrower entity, every merger orphan, and every tax-agent mailbox back to the parent, and that tracing is the work this Part performs.</w:t>
      </w:r>
    </w:p>
    <w:p>
      <w:pPr>
        <w:pStyle w:val="Heading2"/>
      </w:pPr>
      <w:r>
        <w:t>D. Who Is Impacted, and Through What Outcomes?</w:t>
      </w:r>
    </w:p>
    <w:p>
      <w:pPr>
        <w:spacing w:line="480" w:lineRule="auto" w:before="0" w:after="0"/>
        <w:ind w:firstLine="720"/>
      </w:pPr>
      <w:r>
        <w:rPr>
          <w:rFonts w:ascii="Garamond" w:hAnsi="Garamond"/>
        </w:rPr>
        <w:t>Three populations bear the consequences. The first is the household that would have bought the house. Every home an operator holds as a rental is a home removed from the for-sale stock at the price point where first-time buyers compete, and the Davidson operators bought below the county's median price in every year from 2017 through 2025.</w:t>
      </w:r>
      <w:r>
        <w:rPr>
          <w:rStyle w:val="FootnoteReference"/>
        </w:rPr>
        <w:footnoteReference w:id="31"/>
      </w:r>
      <w:r>
        <w:rPr>
          <w:rFonts w:ascii="Garamond" w:hAnsi="Garamond"/>
        </w:rPr>
        <w:t xml:space="preserve"> The second is the household that rents it. The tenant of a scattered-site operator deals with a regional office and an online portal rather than a landlord, and the eviction, maintenance, and fee practices that follow from that structure are the subject of Part II. The third is the neighborhood. A block where one operator owns a fifth of the houses is a block whose turnover, upkeep, and political voice answer to a balance sheet in Scottsdale or Calabasas, and the tract-level record in Section 5 shows which Davidson neighborhoods those blocks are in.</w:t>
      </w:r>
    </w:p>
    <w:p>
      <w:pPr>
        <w:spacing w:line="480" w:lineRule="auto" w:before="0" w:after="0"/>
        <w:ind w:firstLine="720"/>
      </w:pPr>
      <w:r>
        <w:rPr>
          <w:rFonts w:ascii="Garamond" w:hAnsi="Garamond"/>
        </w:rPr>
        <w:t>The outcomes run along the lines Nashville's history drew. Black households in Nashville own their homes at a rate of 34 percent, against 68 percent for white households, among the widest racial homeownership gaps in the country's large metros.</w:t>
      </w:r>
      <w:r>
        <w:rPr>
          <w:rStyle w:val="FootnoteReference"/>
        </w:rPr>
        <w:footnoteReference w:id="32"/>
      </w:r>
      <w:r>
        <w:rPr>
          <w:rFonts w:ascii="Garamond" w:hAnsi="Garamond"/>
        </w:rPr>
        <w:t xml:space="preserve"> A market in which the entry-level house flows to an operator rather than to a first-time buyer widens that gap for the households with the least accumulated wealth to compete, and the tracts where corporate ownership concentrates in 2026 are the county's Blacker and poorer tracts. Whether the operators caused that pattern or selected into it is a question the Discussion takes up. That the pattern exists is a finding.</w:t>
      </w:r>
    </w:p>
    <w:p>
      <w:pPr>
        <w:pStyle w:val="Heading1"/>
        <w:spacing w:before="360"/>
      </w:pPr>
      <w:r>
        <w:t>2. The 21st Century Housing Act Framework</w:t>
      </w:r>
    </w:p>
    <w:p>
      <w:pPr>
        <w:pStyle w:val="Heading2"/>
      </w:pPr>
      <w:r>
        <w:t>A. Provisions Applicable</w:t>
      </w:r>
    </w:p>
    <w:p>
      <w:pPr>
        <w:spacing w:line="480" w:lineRule="auto" w:before="0" w:after="0"/>
        <w:ind w:firstLine="720"/>
      </w:pPr>
      <w:r>
        <w:rPr>
          <w:rFonts w:ascii="Garamond" w:hAnsi="Garamond"/>
        </w:rPr>
        <w:t>Section 1001 operates through three definitions and one prohibition, and every count in this Part is built on the definitions.</w:t>
      </w:r>
      <w:r>
        <w:rPr>
          <w:rStyle w:val="FootnoteReference"/>
        </w:rPr>
        <w:footnoteReference w:id="33"/>
      </w:r>
      <w:r>
        <w:rPr>
          <w:rFonts w:ascii="Garamond" w:hAnsi="Garamond"/>
        </w:rPr>
        <w:t xml:space="preserve"> Section 1001(a)(5) defines a single-family home as a structure that contains two or fewer dwelling units, excluding manufactured homes.</w:t>
      </w:r>
      <w:r>
        <w:rPr>
          <w:rStyle w:val="FootnoteReference"/>
        </w:rPr>
        <w:footnoteReference w:id="34"/>
      </w:r>
      <w:r>
        <w:rPr>
          <w:rFonts w:ascii="Garamond" w:hAnsi="Garamond"/>
        </w:rPr>
        <w:t xml:space="preserve"> The definition sweeps in the detached house, the duplex, the townhome, and the condominium unit in a two-unit structure, and it excludes the apartment building. Section 1001(a)(3) defines a large institutional investor as a for-profit entity that invests in, owns, rents, or manages single-family homes and has investment control of 350 or more of them.</w:t>
      </w:r>
      <w:r>
        <w:rPr>
          <w:rStyle w:val="FootnoteReference"/>
        </w:rPr>
        <w:footnoteReference w:id="35"/>
      </w:r>
      <w:r>
        <w:rPr>
          <w:rFonts w:ascii="Garamond" w:hAnsi="Garamond"/>
        </w:rPr>
        <w:t xml:space="preserve"> The control test at (a)(3)(B) reaches through the corporate form: an entity controls the homes of any entity in which it is a general partner or managing member, any entity it advises as an investment adviser, any entity it manages, and any entity in which it holds more than 25 percent of any class of equity.</w:t>
      </w:r>
      <w:r>
        <w:rPr>
          <w:rStyle w:val="FootnoteReference"/>
        </w:rPr>
        <w:footnoteReference w:id="36"/>
      </w:r>
      <w:r>
        <w:rPr>
          <w:rFonts w:ascii="Garamond" w:hAnsi="Garamond"/>
        </w:rPr>
        <w:t xml:space="preserve"> The test is written for the structure Section 1 described, the parent holding through dozens of single-purpose subsidiaries, and it counts the subsidiaries' homes toward the parent. Section 1001(a)(4) defines purchase broadly enough to reach construction, which is why the excepted purchases at (a)(2) include a build-to-rent exception that Part III examines.</w:t>
      </w:r>
      <w:r>
        <w:rPr>
          <w:rStyle w:val="FootnoteReference"/>
        </w:rPr>
        <w:footnoteReference w:id="37"/>
      </w:r>
    </w:p>
    <w:p>
      <w:pPr>
        <w:spacing w:line="480" w:lineRule="auto" w:before="0" w:after="0"/>
        <w:ind w:firstLine="720"/>
      </w:pPr>
      <w:r>
        <w:rPr>
          <w:rFonts w:ascii="Garamond" w:hAnsi="Garamond"/>
        </w:rPr>
        <w:t>The prohibition at § 1001(b)(1) bars a large institutional investor from purchasing a single-family home.</w:t>
      </w:r>
      <w:r>
        <w:rPr>
          <w:rStyle w:val="FootnoteReference"/>
        </w:rPr>
        <w:footnoteReference w:id="38"/>
      </w:r>
      <w:r>
        <w:rPr>
          <w:rFonts w:ascii="Garamond" w:hAnsi="Garamond"/>
        </w:rPr>
        <w:t xml:space="preserve"> It is a prohibition on acquisition, not on ownership. Section 1001(b)(3)(A) states that nothing in the section requires divestiture of homes held at the effective date, so every home the Davidson operators held on the day the ban took effect stays in their portfolios.</w:t>
      </w:r>
      <w:r>
        <w:rPr>
          <w:rStyle w:val="FootnoteReference"/>
        </w:rPr>
        <w:footnoteReference w:id="39"/>
      </w:r>
      <w:r>
        <w:rPr>
          <w:rFonts w:ascii="Garamond" w:hAnsi="Garamond"/>
        </w:rPr>
        <w:t xml:space="preserve"> Section 1001(d)(1) makes a prohibited purchase a civil violation, enforced by the Secretary of the Treasury, carrying a penalty of up to $1,000,000 or three times the purchase price, whichever is greater.</w:t>
      </w:r>
      <w:r>
        <w:rPr>
          <w:rStyle w:val="FootnoteReference"/>
        </w:rPr>
        <w:footnoteReference w:id="40"/>
      </w:r>
      <w:r>
        <w:rPr>
          <w:rFonts w:ascii="Garamond" w:hAnsi="Garamond"/>
        </w:rPr>
        <w:t xml:space="preserve"> Section 1001(f) makes the section effective 180 days after enactment and repeals it fifteen years later.</w:t>
      </w:r>
      <w:r>
        <w:rPr>
          <w:rStyle w:val="FootnoteReference"/>
        </w:rPr>
        <w:footnoteReference w:id="41"/>
      </w:r>
      <w:r>
        <w:rPr>
          <w:rFonts w:ascii="Garamond" w:hAnsi="Garamond"/>
        </w:rPr>
        <w:t xml:space="preserve"> The excepted purchases at (a)(2) run from (A) through (K) and include construction for sale, build-to-rent, renovate-to-rent subject to a fifteen-percent spending floor, rent-to-own and homeownership programs, and loss-mitigation acquisitions.</w:t>
      </w:r>
      <w:r>
        <w:rPr>
          <w:rStyle w:val="FootnoteReference"/>
        </w:rPr>
        <w:footnoteReference w:id="42"/>
      </w:r>
    </w:p>
    <w:p>
      <w:pPr>
        <w:pStyle w:val="Heading2"/>
      </w:pPr>
      <w:r>
        <w:t>B. How They Apply to These Players</w:t>
      </w:r>
    </w:p>
    <w:p>
      <w:pPr>
        <w:spacing w:line="480" w:lineRule="auto" w:before="0" w:after="0"/>
        <w:ind w:firstLine="720"/>
      </w:pPr>
      <w:r>
        <w:rPr>
          <w:rFonts w:ascii="Garamond" w:hAnsi="Garamond"/>
        </w:rPr>
        <w:t>Applied to Davidson County, the definitions sort the owners into three classes and expose a gap between the statute's reach and the county's ownership pattern. The first class is the covered operator. Every national single-family rental operator in the county controls far more than 350 homes nationally, so each is a large institutional investor under (a)(3) regardless of its Davidson count. Three of them, Progress, American Homes 4 Rent, and Amherst, would cross the threshold on their Davidson holdings alone, with 1,222, 1,173, and 657 framework homes, and Tricon, Starwood, Maymont, My Community Homes, FirstKey, VineBrook, RESICAP, and Rithm are covered by their national portfolios.</w:t>
      </w:r>
      <w:r>
        <w:rPr>
          <w:rStyle w:val="FootnoteReference"/>
        </w:rPr>
        <w:footnoteReference w:id="43"/>
      </w:r>
      <w:r>
        <w:rPr>
          <w:rFonts w:ascii="Garamond" w:hAnsi="Garamond"/>
        </w:rPr>
        <w:t xml:space="preserve"> For these operators the ban closes the open-market acquisition channel on its effective date and leaves their 2026 holdings in place under (b)(3)(A).</w:t>
      </w:r>
    </w:p>
    <w:p>
      <w:pPr>
        <w:spacing w:line="480" w:lineRule="auto" w:before="0" w:after="0"/>
        <w:ind w:firstLine="720"/>
      </w:pPr>
      <w:r>
        <w:rPr>
          <w:rFonts w:ascii="Garamond" w:hAnsi="Garamond"/>
        </w:rPr>
        <w:t>The second class is the operator the control test must reach through its shells. Progress Residential appears on no Davidson deed. Title sits with Progress Residential Borrower 1 through Borrower 20 and their successors, with Yamasa Co., Ltd., with FREO of Tennessee, LLC, and with the newest vehicles, PR Borrower 26 and PR Borrower 27, which a search for "Progress Residential" does not return.</w:t>
      </w:r>
      <w:r>
        <w:rPr>
          <w:rStyle w:val="FootnoteReference"/>
        </w:rPr>
        <w:footnoteReference w:id="44"/>
      </w:r>
      <w:r>
        <w:rPr>
          <w:rFonts w:ascii="Garamond" w:hAnsi="Garamond"/>
        </w:rPr>
        <w:t xml:space="preserve"> The control test at (a)(3)(B) counts all of them toward Pretium, because Pretium manages and advises each. But the test only works if someone applies it, and applying it requires exactly the attribution apparatus this Part builds: a crosswalk from every recorded owner name to its operating parent, assembled from securitization filings, Secretary of State records, shared tax-agent addresses, and the deed chain. The statute assumes the count exists. In Davidson County it exists because this series built it.</w:t>
      </w:r>
    </w:p>
    <w:p>
      <w:pPr>
        <w:spacing w:line="480" w:lineRule="auto" w:before="0" w:after="0"/>
        <w:ind w:firstLine="720"/>
      </w:pPr>
      <w:r>
        <w:rPr>
          <w:rFonts w:ascii="Garamond" w:hAnsi="Garamond"/>
        </w:rPr>
        <w:t>The third class is the one the statute does not reach. The 16,615 entity-owned homes include 12,675 that no national operator holds: local limited liability companies, family partnerships, builders, and small investors with one, three, or thirty houses.</w:t>
      </w:r>
      <w:r>
        <w:rPr>
          <w:rStyle w:val="FootnoteReference"/>
        </w:rPr>
        <w:footnoteReference w:id="45"/>
      </w:r>
      <w:r>
        <w:rPr>
          <w:rFonts w:ascii="Garamond" w:hAnsi="Garamond"/>
        </w:rPr>
        <w:t xml:space="preserve"> The Normandy Group's 302 build-to-rent townhomes sit below the 350-home line. Lake Shore Estates, Inc., a local owner, holds 128 homes at a single Nashville mailing address. The owner groups of fewer than 350 homes hold 82 percent of the entity-owned stock, and Finding 5 shows that it is this class, not the covered operators, whose ownership concentrates in the county's burdened tracts. The threshold reaches the operators whose footprint sits in middle-income suburbs and does not reach the ownership class whose concentration tracks the county's burdens.</w:t>
      </w:r>
    </w:p>
    <w:p>
      <w:pPr>
        <w:pStyle w:val="Heading2"/>
      </w:pPr>
      <w:r>
        <w:t>C. Other Initiatives, State and Local</w:t>
      </w:r>
    </w:p>
    <w:p>
      <w:pPr>
        <w:spacing w:line="480" w:lineRule="auto" w:before="0" w:after="0"/>
        <w:ind w:firstLine="720"/>
      </w:pPr>
      <w:r>
        <w:rPr>
          <w:rFonts w:ascii="Garamond" w:hAnsi="Garamond"/>
        </w:rPr>
        <w:t>Tennessee considered a line of its own and did not draw it. The 2024 End Hedge Fund Control of Tennessee Homes Act would have taxed investors holding more than 100 homes $20,000 a year per home; it died in committee.</w:t>
      </w:r>
      <w:r>
        <w:rPr>
          <w:rStyle w:val="FootnoteReference"/>
        </w:rPr>
        <w:footnoteReference w:id="46"/>
      </w:r>
      <w:r>
        <w:rPr>
          <w:rFonts w:ascii="Garamond" w:hAnsi="Garamond"/>
        </w:rPr>
        <w:t xml:space="preserve"> The 2025 Homes Not Hedge Funds Act passed the Senate 31 to 1 on March 6, 2025 and failed in a House subcommittee nine days later.</w:t>
      </w:r>
      <w:r>
        <w:rPr>
          <w:rStyle w:val="FootnoteReference"/>
        </w:rPr>
        <w:footnoteReference w:id="47"/>
      </w:r>
      <w:r>
        <w:rPr>
          <w:rFonts w:ascii="Garamond" w:hAnsi="Garamond"/>
        </w:rPr>
        <w:t xml:space="preserve"> Neither bill created a registry of corporate owners or a parent-entity field in the deed record, and no Tennessee statute requires an entity acquiring residential property to disclose its beneficial owner or its affiliates. The Tennessee Secretary of State's business registry records each entity's principal office and registered agent and nothing about its parent.</w:t>
      </w:r>
      <w:r>
        <w:rPr>
          <w:rStyle w:val="FootnoteReference"/>
        </w:rPr>
        <w:footnoteReference w:id="48"/>
      </w:r>
    </w:p>
    <w:p>
      <w:pPr>
        <w:spacing w:line="480" w:lineRule="auto" w:before="0" w:after="0"/>
        <w:ind w:firstLine="720"/>
      </w:pPr>
      <w:r>
        <w:rPr>
          <w:rFonts w:ascii="Garamond" w:hAnsi="Garamond"/>
        </w:rPr>
        <w:t>Federal disclosure law stepped back at the same moment the ban stepped forward. The Corporate Transparency Act's beneficial-ownership reporting regime, which would have placed every limited liability company's human owners on file with the Financial Crimes Enforcement Network, was narrowed in March 2025 to exempt domestic companies entirely.</w:t>
      </w:r>
      <w:r>
        <w:rPr>
          <w:rStyle w:val="FootnoteReference"/>
        </w:rPr>
        <w:footnoteReference w:id="49"/>
      </w:r>
      <w:r>
        <w:rPr>
          <w:rFonts w:ascii="Garamond" w:hAnsi="Garamond"/>
        </w:rPr>
        <w:t xml:space="preserve"> A Davidson County borrower entity now reports its beneficial owner to no one. Metro Nashville's landlord registration ordinance, chapter 16.33 of the Metro Code, requires non-owner-occupied rental property to register an owner and a local agent, and Part II measures how far that requirement reaches.</w:t>
      </w:r>
      <w:r>
        <w:rPr>
          <w:rStyle w:val="FootnoteReference"/>
        </w:rPr>
        <w:footnoteReference w:id="50"/>
      </w:r>
      <w:r>
        <w:rPr>
          <w:rFonts w:ascii="Garamond" w:hAnsi="Garamond"/>
        </w:rPr>
        <w:t xml:space="preserve"> It asks for the owner of record, not the parent. The result is that the county's only instrument for naming the landlord of a rental house records the same subsidiary name the deed does.</w:t>
      </w:r>
    </w:p>
    <w:p>
      <w:pPr>
        <w:pStyle w:val="Heading1"/>
        <w:spacing w:before="360"/>
      </w:pPr>
      <w:r>
        <w:t>3. Nashville as a Case Study</w:t>
      </w:r>
    </w:p>
    <w:p>
      <w:pPr>
        <w:pStyle w:val="Heading2"/>
      </w:pPr>
      <w:r>
        <w:t>A. Background on Ownership in Nashville</w:t>
      </w:r>
    </w:p>
    <w:p>
      <w:pPr>
        <w:spacing w:line="480" w:lineRule="auto" w:before="0" w:after="0"/>
        <w:ind w:firstLine="720"/>
      </w:pPr>
      <w:r>
        <w:rPr>
          <w:rFonts w:ascii="Garamond" w:hAnsi="Garamond"/>
        </w:rPr>
        <w:t>Nashville's housing geography rests on a foundation that federal policy laid in the 1930s. The Home Owners' Loan Corporation and the Federal Housing Administration graded the city's neighborhoods for mortgage risk, and race more than creditworthiness determined the grade. Almost entirely white neighborhoods earned an "A" and federal mortgage insurance; predominantly Black neighborhoods earned a "D," colored red, and were declared hazardous.</w:t>
      </w:r>
      <w:r>
        <w:rPr>
          <w:rStyle w:val="FootnoteReference"/>
        </w:rPr>
        <w:footnoteReference w:id="51"/>
      </w:r>
      <w:r>
        <w:rPr>
          <w:rFonts w:ascii="Garamond" w:hAnsi="Garamond"/>
        </w:rPr>
        <w:t xml:space="preserve"> Urban renewal deepened the loss. The Nashville Housing Authority purchased ninety-six acres north and west of the State Capitol in the 1950s, cleared the Black neighborhood called Hell's Half Acre, and built James Robertson Parkway in its place; in East Nashville and along West End Avenue the city and Vanderbilt University cleared hundreds more acres, and of the residents displaced by Nashville's urban-renewal projects between 1950 and 1966, 66 percent were Black.</w:t>
      </w:r>
      <w:r>
        <w:rPr>
          <w:rStyle w:val="FootnoteReference"/>
        </w:rPr>
        <w:footnoteReference w:id="52"/>
      </w:r>
      <w:r>
        <w:rPr>
          <w:rFonts w:ascii="Garamond" w:hAnsi="Garamond"/>
        </w:rPr>
        <w:t xml:space="preserve"> In the late 1960s the state routed Interstate 40 through the Jefferson Street corridor, the commercial heart of Black Nashville, severing the business district that anchored the community.</w:t>
      </w:r>
      <w:r>
        <w:rPr>
          <w:rStyle w:val="FootnoteReference"/>
        </w:rPr>
        <w:footnoteReference w:id="53"/>
      </w:r>
      <w:r>
        <w:rPr>
          <w:rFonts w:ascii="Garamond" w:hAnsi="Garamond"/>
        </w:rPr>
        <w:t xml:space="preserve"> The neighborhoods the government redlined and then cut apart entered the twenty-first century with depressed values and limited credit, and when the 2008 crisis came, North Nashville, which had become the epicenter of subprime lending, became the epicenter of foreclosure.</w:t>
      </w:r>
      <w:r>
        <w:rPr>
          <w:rStyle w:val="FootnoteReference"/>
        </w:rPr>
        <w:footnoteReference w:id="54"/>
      </w:r>
    </w:p>
    <w:p>
      <w:pPr>
        <w:spacing w:line="480" w:lineRule="auto" w:before="0" w:after="0"/>
        <w:ind w:firstLine="720"/>
      </w:pPr>
      <w:r>
        <w:rPr>
          <w:rFonts w:ascii="Garamond" w:hAnsi="Garamond"/>
        </w:rPr>
        <w:t>The present market sits on that foundation and adds a paradox. Nashville built more housing than almost any peer city and grew less affordable while it did. From 2014 through 2022 Davidson County ranked among the nation's leading counties for residential construction permits, as high as ninth in 2020, and it added 88,000 residents between 2010 and 2020.</w:t>
      </w:r>
      <w:r>
        <w:rPr>
          <w:rStyle w:val="FootnoteReference"/>
        </w:rPr>
        <w:footnoteReference w:id="55"/>
      </w:r>
      <w:r>
        <w:rPr>
          <w:rFonts w:ascii="Garamond" w:hAnsi="Garamond"/>
        </w:rPr>
        <w:t xml:space="preserve"> The production did not reach the households who needed it. New construction concentrated in large-lot single-family homes at the suburban edge and dense multifamily downtown, and neither served moderate-income households.</w:t>
      </w:r>
      <w:r>
        <w:rPr>
          <w:rStyle w:val="FootnoteReference"/>
        </w:rPr>
        <w:footnoteReference w:id="56"/>
      </w:r>
      <w:r>
        <w:rPr>
          <w:rFonts w:ascii="Garamond" w:hAnsi="Garamond"/>
        </w:rPr>
        <w:t xml:space="preserve"> Home values rose 40 percent between 2019 and 2024 while household incomes grew 19 percent, opening a gap of more than $90,000 between the $421,722 average home value and the $329,962 a median household could afford; in 2021 the median household could afford more than half of the homes sold, and by 2024 one in three.</w:t>
      </w:r>
      <w:r>
        <w:rPr>
          <w:rStyle w:val="FootnoteReference"/>
        </w:rPr>
        <w:footnoteReference w:id="57"/>
      </w:r>
      <w:r>
        <w:rPr>
          <w:rFonts w:ascii="Garamond" w:hAnsi="Garamond"/>
        </w:rPr>
        <w:t xml:space="preserve"> By 2023, 49 percent of Nashville renters were cost-burdened, 54 percent of Black renters and 52 percent of Hispanic renters against 47 percent of white renters, and eviction filings ran 45 percent above pre-pandemic levels through March 2024.</w:t>
      </w:r>
      <w:r>
        <w:rPr>
          <w:rStyle w:val="FootnoteReference"/>
        </w:rPr>
        <w:footnoteReference w:id="58"/>
      </w:r>
      <w:r>
        <w:rPr>
          <w:rFonts w:ascii="Garamond" w:hAnsi="Garamond"/>
        </w:rPr>
        <w:t xml:space="preserve"> The 2025 Unified Housing Strategy put the shortfall at 90,000 homes over ten years.</w:t>
      </w:r>
      <w:r>
        <w:rPr>
          <w:rStyle w:val="FootnoteReference"/>
        </w:rPr>
        <w:footnoteReference w:id="59"/>
      </w:r>
    </w:p>
    <w:p>
      <w:pPr>
        <w:spacing w:line="480" w:lineRule="auto" w:before="0" w:after="0"/>
        <w:ind w:firstLine="720"/>
      </w:pPr>
      <w:r>
        <w:rPr>
          <w:rFonts w:ascii="Garamond" w:hAnsi="Garamond"/>
        </w:rPr>
        <w:t>Then the market turned without solving the problem. Over 2025 and 2026 Nashville flipped from seller dominance to one of the country's strongest buyer's markets: by late 2025 homes sat 35 percent longer than a year earlier, by April 2026 active listings had risen 11.5 percent year over year with one in five carrying a price cut, and in May 2026 Redfin counted 7,614 active buyers against 17,494 active sellers, the widest seller surplus among major metros.</w:t>
      </w:r>
      <w:r>
        <w:rPr>
          <w:rStyle w:val="FootnoteReference"/>
        </w:rPr>
        <w:footnoteReference w:id="60"/>
      </w:r>
      <w:r>
        <w:rPr>
          <w:rFonts w:ascii="Garamond" w:hAnsi="Garamond"/>
        </w:rPr>
        <w:t xml:space="preserve"> The households priced out during the boom still could not buy during the glut, because the city built the wrong housing at the wrong price points for them. The single-family slice of that market is the slice the corporate owners touch, and it is where the gap between what was built and who could buy it opened widest.</w:t>
      </w:r>
    </w:p>
    <w:p>
      <w:pPr>
        <w:pStyle w:val="Heading2"/>
      </w:pPr>
      <w:r>
        <w:t>B. Identifying the Local Key Players</w:t>
      </w:r>
    </w:p>
    <w:p>
      <w:pPr>
        <w:spacing w:line="480" w:lineRule="auto" w:before="0" w:after="0"/>
        <w:ind w:firstLine="720"/>
      </w:pPr>
      <w:r>
        <w:rPr>
          <w:rFonts w:ascii="Garamond" w:hAnsi="Garamond"/>
        </w:rPr>
        <w:t>Institutional capital reached Nashville late and then all at once. The city lagged the early Sun Belt targets because its 2008 crash was shallow; Chilton and colleagues observed that Nashville's prices were relatively low before the recession and did not swing the way Tampa's did, so the bulk distressed inventory the first wave bought elsewhere did not exist here.</w:t>
      </w:r>
      <w:r>
        <w:rPr>
          <w:rStyle w:val="FootnoteReference"/>
        </w:rPr>
        <w:footnoteReference w:id="61"/>
      </w:r>
      <w:r>
        <w:rPr>
          <w:rFonts w:ascii="Garamond" w:hAnsi="Garamond"/>
        </w:rPr>
        <w:t xml:space="preserve"> By 2015 the four single-family rental real estate investment trusts active in the region, American Homes 4 Rent, Invitation Homes, Colony Starwood, and Progress Residential, owned 2,970 homes across six counties and 825 in Davidson, 0.47 percent of the county's detached stock, with heavier concentrations in the newer, middle-income suburbs of Rutherford, Williamson, and Wilson counties.</w:t>
      </w:r>
      <w:r>
        <w:rPr>
          <w:rStyle w:val="FootnoteReference"/>
        </w:rPr>
        <w:footnoteReference w:id="62"/>
      </w:r>
      <w:r>
        <w:rPr>
          <w:rFonts w:ascii="Garamond" w:hAnsi="Garamond"/>
        </w:rPr>
        <w:t xml:space="preserve"> Progress led; on one street in La Vergne, in Rutherford County, it owned nineteen of thirty-two homes.</w:t>
      </w:r>
      <w:r>
        <w:rPr>
          <w:rStyle w:val="FootnoteReference"/>
        </w:rPr>
        <w:footnoteReference w:id="63"/>
      </w:r>
    </w:p>
    <w:p>
      <w:pPr>
        <w:spacing w:line="480" w:lineRule="auto" w:before="0" w:after="0"/>
        <w:ind w:firstLine="720"/>
      </w:pPr>
      <w:r>
        <w:rPr>
          <w:rFonts w:ascii="Garamond" w:hAnsi="Garamond"/>
        </w:rPr>
        <w:t>The pandemic turned a presence into a force. In April 2020, weeks after a tornado and the first lockdowns, American Homes 4 Rent emailed Nashville homebuilders to ask how it could help, having already bought land for 136 new houses in the metro; in May it launched a $625 million joint venture with J.P. Morgan Asset Management to build roughly 2,500 rental homes.</w:t>
      </w:r>
      <w:r>
        <w:rPr>
          <w:rStyle w:val="FootnoteReference"/>
        </w:rPr>
        <w:footnoteReference w:id="64"/>
      </w:r>
      <w:r>
        <w:rPr>
          <w:rFonts w:ascii="Garamond" w:hAnsi="Garamond"/>
        </w:rPr>
        <w:t xml:space="preserve"> The Tennessee Housing Development Agency measured the wave that followed. Institutional investors bought 20 percent of all single-family homes sold in Davidson County in 2020 and 21 percent in Antioch; between 2018 and 2022, seven large investors took more than half of roughly 4,000 institutional purchases, led by American Homes 4 Rent with more than 800 and Progress with 661, and they targeted lower-priced homes averaging $270,000 against $430,000 for individual buyers.</w:t>
      </w:r>
      <w:r>
        <w:rPr>
          <w:rStyle w:val="FootnoteReference"/>
        </w:rPr>
        <w:footnoteReference w:id="65"/>
      </w:r>
      <w:r>
        <w:rPr>
          <w:rFonts w:ascii="Garamond" w:hAnsi="Garamond"/>
        </w:rPr>
        <w:t xml:space="preserve"> Progress and Pretium clustered along the Interstate 24 corridor, buying homes priced between $250,000 and $350,000 with cash offers, waived inspections, and closings in days that mortgage-dependent families could not match.</w:t>
      </w:r>
      <w:r>
        <w:rPr>
          <w:rStyle w:val="FootnoteReference"/>
        </w:rPr>
        <w:footnoteReference w:id="66"/>
      </w:r>
      <w:r>
        <w:rPr>
          <w:rFonts w:ascii="Garamond" w:hAnsi="Garamond"/>
        </w:rPr>
        <w:t xml:space="preserve"> In North Nashville, developer speculation resumed the displacement Interstate 40 began: vacant lots that sold for $19,500 to $30,000 between 2010 and 2014 traded for $80,000 to $150,000 by 2018, and the Black share of the neighborhood's population fell from 60 to 38 percent in a decade.</w:t>
      </w:r>
      <w:r>
        <w:rPr>
          <w:rStyle w:val="FootnoteReference"/>
        </w:rPr>
        <w:footnoteReference w:id="67"/>
      </w:r>
      <w:r>
        <w:rPr>
          <w:rFonts w:ascii="Garamond" w:hAnsi="Garamond"/>
        </w:rPr>
        <w:t xml:space="preserve"> Hightower and Fraser named the mechanism "reverse blockbusting," developers buying homes from longtime Black owners at prices above their original cost and well below market.</w:t>
      </w:r>
      <w:r>
        <w:rPr>
          <w:rStyle w:val="FootnoteReference"/>
        </w:rPr>
        <w:footnoteReference w:id="68"/>
      </w:r>
      <w:r>
        <w:rPr>
          <w:rFonts w:ascii="Garamond" w:hAnsi="Garamond"/>
        </w:rPr>
        <w:t xml:space="preserve"> Ken Chilton of Tennessee State University called the rental model "equity mining," rent extracted to distant shareholders while the home's appreciation left the neighborhood.</w:t>
      </w:r>
      <w:r>
        <w:rPr>
          <w:rStyle w:val="FootnoteReference"/>
        </w:rPr>
        <w:footnoteReference w:id="69"/>
      </w:r>
    </w:p>
    <w:p>
      <w:pPr>
        <w:spacing w:line="480" w:lineRule="auto" w:before="0" w:after="0"/>
        <w:ind w:firstLine="720"/>
      </w:pPr>
      <w:r>
        <w:rPr>
          <w:rFonts w:ascii="Garamond" w:hAnsi="Garamond"/>
        </w:rPr>
        <w:t>The July 2026 roster shows what the wave left behind. Appendix Table A1 lists every operator the series attributes and its framework holdings: Progress Residential 1,222; American Homes 4 Rent 1,173; Amherst 657; the Normandy Group 302; Tricon 276; Starwood 251; Maymont 105; Walton Global, a land banker, 103; My Community Homes 100; FirstKey 92; RESICAP 64; Opendoor 60; VineBrook 59; and a tail of build-to-rent platforms, builders, and smaller operators down to a single parcel.</w:t>
      </w:r>
      <w:r>
        <w:rPr>
          <w:rStyle w:val="FootnoteReference"/>
        </w:rPr>
        <w:footnoteReference w:id="70"/>
      </w:r>
      <w:r>
        <w:rPr>
          <w:rFonts w:ascii="Garamond" w:hAnsi="Garamond"/>
        </w:rPr>
        <w:t xml:space="preserve"> Three features of the roster matter for what follows. American Homes 4 Rent's count includes roughly 400 parcels held by its two development subsidiaries, AMH TN Development and AMH Mountain Springs Development, which are build-to-rent inventory rather than scattered rental homes; its rental-operating portfolio is correspondingly smaller.</w:t>
      </w:r>
      <w:r>
        <w:rPr>
          <w:rStyle w:val="FootnoteReference"/>
        </w:rPr>
        <w:footnoteReference w:id="71"/>
      </w:r>
      <w:r>
        <w:rPr>
          <w:rFonts w:ascii="Garamond" w:hAnsi="Garamond"/>
        </w:rPr>
        <w:t xml:space="preserve"> Invitation Homes, the operator the public most associates with the industry, holds ten homes, because it sold its Nashville portfolio to Tricon in 2019 and because the 37 homes of the Sparrow joint venture it manages belong to Nuveen.</w:t>
      </w:r>
      <w:r>
        <w:rPr>
          <w:rStyle w:val="FootnoteReference"/>
        </w:rPr>
        <w:footnoteReference w:id="72"/>
      </w:r>
      <w:r>
        <w:rPr>
          <w:rFonts w:ascii="Garamond" w:hAnsi="Garamond"/>
        </w:rPr>
        <w:t xml:space="preserve"> And the second generation, My Community Homes under KKR, FirstKey under Cerberus, Maymont under Brookfield, and Rithm Capital, entered after 2020 and has no analogue in the 2015 record.</w:t>
      </w:r>
    </w:p>
    <w:p>
      <w:pPr>
        <w:spacing w:line="480" w:lineRule="auto" w:before="0" w:after="0"/>
        <w:ind w:firstLine="720"/>
      </w:pPr>
      <w:r>
        <w:rPr>
          <w:rFonts w:ascii="Garamond" w:hAnsi="Garamond"/>
        </w:rPr>
        <w:t>The roster is visible only because the mailboxes gave it away. A small number of out-of-state addresses receive the tax bills for a large block of the entity-owned stock. Post Office Box 4090 in Scottsdale collects for 1,211 Progress homes. Two renderings of 23975 Park Sorrento in Calabasas, California collect for 896 American Homes 4 Rent parcels. Two Austin, Texas addresses, 5001 Plaza on the Lake and 401 Congress Avenue, collect for 416 Amherst homes. Post Office Box 4900 in Scottsdale, in care of the tax agent Ryan LLC, collects for 500 homes belonging to three different owners, Tricon, Starwood, and Home Partners of America, which is the trap the attribution method must avoid: a shared tax-agent box groups unrelated portfolios.</w:t>
      </w:r>
      <w:r>
        <w:rPr>
          <w:rStyle w:val="FootnoteReference"/>
        </w:rPr>
        <w:footnoteReference w:id="73"/>
      </w:r>
      <w:r>
        <w:rPr>
          <w:rFonts w:ascii="Garamond" w:hAnsi="Garamond"/>
        </w:rPr>
        <w:t xml:space="preserve"> And 421 East Iris Drive in Nashville, in care of a local accountant, collects for the Normandy Group's 282 Antioch townhomes.</w:t>
      </w:r>
    </w:p>
    <w:p>
      <w:pPr>
        <w:pStyle w:val="Heading2"/>
      </w:pPr>
      <w:r>
        <w:t>C. Local Frameworks and Laws Applicable</w:t>
      </w:r>
    </w:p>
    <w:p>
      <w:pPr>
        <w:spacing w:line="480" w:lineRule="auto" w:before="0" w:after="0"/>
        <w:ind w:firstLine="720"/>
      </w:pPr>
      <w:r>
        <w:rPr>
          <w:rFonts w:ascii="Garamond" w:hAnsi="Garamond"/>
        </w:rPr>
        <w:t>Three local instruments touch the corporate owner, and none names the parent. The first is the deed. Tennessee's recording statute makes the Register of Deeds the public repository of title, and the recorded instrument carries the grantee's name and a mailing address for the tax bill.</w:t>
      </w:r>
      <w:r>
        <w:rPr>
          <w:rStyle w:val="FootnoteReference"/>
        </w:rPr>
        <w:footnoteReference w:id="74"/>
      </w:r>
      <w:r>
        <w:rPr>
          <w:rFonts w:ascii="Garamond" w:hAnsi="Garamond"/>
        </w:rPr>
        <w:t xml:space="preserve"> It carries no field for the grantee's parent, its manager, or its beneficial owner, so a conveyance to PR Borrower 26, LLC tells the public exactly that and nothing more. The second is the registration ordinance. Chapter 16.33 of the Metro Code requires the owner of non-owner-occupied residential rental property to register with the Department of Codes and Building Safety and to name a local agent; the registration asks for the owner of record and expires at the end of each calendar year.</w:t>
      </w:r>
      <w:r>
        <w:rPr>
          <w:rStyle w:val="FootnoteReference"/>
        </w:rPr>
        <w:footnoteReference w:id="75"/>
      </w:r>
      <w:r>
        <w:rPr>
          <w:rFonts w:ascii="Garamond" w:hAnsi="Garamond"/>
        </w:rPr>
        <w:t xml:space="preserve"> The third is the assessment roll. The Assessor of Property classifies each parcel as residential or commercial under state law, and Part III shows the Assessor reclassifying unified rental communities as commercial enterprises after the fact, a classification that sees the operator but does not name it.</w:t>
      </w:r>
      <w:r>
        <w:rPr>
          <w:rStyle w:val="FootnoteReference"/>
        </w:rPr>
        <w:footnoteReference w:id="76"/>
      </w:r>
    </w:p>
    <w:p>
      <w:pPr>
        <w:spacing w:line="480" w:lineRule="auto" w:before="0" w:after="0"/>
        <w:ind w:firstLine="720"/>
      </w:pPr>
      <w:r>
        <w:rPr>
          <w:rFonts w:ascii="Garamond" w:hAnsi="Garamond"/>
        </w:rPr>
        <w:t>Each instrument sees one layer. The deed sees the subsidiary. The registration sees the subsidiary and a local agent. The assessment sees the use. None sees the parent, and the parent is the entity the federal statute counts. The attribution infrastructure this Part documents in Section 4 is the layer the local record lacks.</w:t>
      </w:r>
    </w:p>
    <w:p>
      <w:pPr>
        <w:pStyle w:val="Heading1"/>
        <w:spacing w:before="360"/>
      </w:pPr>
      <w:r>
        <w:t>4. Methods, Data, and Literature</w:t>
      </w:r>
    </w:p>
    <w:p>
      <w:pPr>
        <w:pStyle w:val="Heading2"/>
      </w:pPr>
      <w:r>
        <w:t>A. Research Questions</w:t>
      </w:r>
    </w:p>
    <w:p>
      <w:pPr>
        <w:spacing w:line="480" w:lineRule="auto" w:before="0" w:after="0"/>
        <w:ind w:firstLine="720"/>
      </w:pPr>
      <w:r>
        <w:rPr>
          <w:rFonts w:ascii="Garamond" w:hAnsi="Garamond"/>
        </w:rPr>
        <w:t>Four questions govern the analysis. First, how many of Davidson County's single-family homes, defined as the statute defines them, do corporate entities own, and how many of those belong to named national operators? Second, which operators sit above the statute's 350-home line, and how does the current roster compare with the only prior parcel count, the 2015 figures in Chilton and colleagues? Third, how concentrated is corporate ownership across owner groups, and through what entity structures do the largest owners hold? Fourth, where in the county does corporate ownership concentrate, measured against tract-level economic burden and demographic composition, and does the answer differ between the broad corporate class and the named operators?</w:t>
      </w:r>
    </w:p>
    <w:p>
      <w:pPr>
        <w:pStyle w:val="Heading2"/>
      </w:pPr>
      <w:r>
        <w:t>B. Literature Review</w:t>
      </w:r>
    </w:p>
    <w:p>
      <w:pPr>
        <w:spacing w:line="480" w:lineRule="auto" w:before="0" w:after="0"/>
        <w:ind w:firstLine="720"/>
      </w:pPr>
      <w:r>
        <w:rPr>
          <w:rFonts w:ascii="Garamond" w:hAnsi="Garamond"/>
        </w:rPr>
        <w:t>A large body of work studies institutional investment in single-family housing, and it agrees on more than it disagrees. The studies converge on a recognizable account: large investors emerged from the 2008 foreclosure crisis, concentrated their buying in distressed and minority neighborhoods of the Sun Belt, targeted the lower-priced end of the stock, raised rents and filed evictions at higher rates than the small landlords they displaced, and drew regulatory scrutiny as they grew.</w:t>
      </w:r>
      <w:r>
        <w:rPr>
          <w:rStyle w:val="FootnoteReference"/>
        </w:rPr>
        <w:footnoteReference w:id="77"/>
      </w:r>
      <w:r>
        <w:rPr>
          <w:rFonts w:ascii="Garamond" w:hAnsi="Garamond"/>
        </w:rPr>
        <w:t xml:space="preserve"> What the literature does not share is a definition. It cannot agree on how large an owner must be to count as an institutional investor, and it rarely says with precision what a single-family home is. This review asks five questions of the literature the series catalogued, eighty-three studies across peer-reviewed journals, Federal Reserve working papers, think-tank reports, government studies, and industry research: how each defines an investor, how each defines a single-family home, what years it examines, what geography it covers, and which owners it names.</w:t>
      </w:r>
      <w:r>
        <w:rPr>
          <w:rStyle w:val="FootnoteReference"/>
        </w:rPr>
        <w:footnoteReference w:id="78"/>
      </w:r>
    </w:p>
    <w:p>
      <w:pPr>
        <w:spacing w:line="480" w:lineRule="auto" w:before="0" w:after="0"/>
        <w:ind w:firstLine="720"/>
      </w:pPr>
      <w:r>
        <w:rPr>
          <w:rFonts w:ascii="Garamond" w:hAnsi="Garamond"/>
        </w:rPr>
        <w:t>The studies begin from a common origin story. The Harvard Joint Center for Housing Studies traced investor purchases of foreclosed homes in Atlanta, Boston, Cleveland, and Las Vegas in 2013, and Immergluck and Law examined the Atlanta buyers' strategies directly.</w:t>
      </w:r>
      <w:r>
        <w:rPr>
          <w:rStyle w:val="FootnoteReference"/>
        </w:rPr>
        <w:footnoteReference w:id="79"/>
      </w:r>
      <w:r>
        <w:rPr>
          <w:rFonts w:ascii="Garamond" w:hAnsi="Garamond"/>
        </w:rPr>
        <w:t xml:space="preserve"> Mills, Molloy, and Zarutskie named the phenomenon a new asset class and dated its rise to 2012.</w:t>
      </w:r>
      <w:r>
        <w:rPr>
          <w:rStyle w:val="FootnoteReference"/>
        </w:rPr>
        <w:footnoteReference w:id="80"/>
      </w:r>
      <w:r>
        <w:rPr>
          <w:rFonts w:ascii="Garamond" w:hAnsi="Garamond"/>
        </w:rPr>
        <w:t xml:space="preserve"> From there the literature branched into price and rent effects, homeownership displacement, tenant outcomes, the racial geography of investor buying, and the financialization frame that treats housing as an asset class rather than a place to live. Two findings recur with enough regularity to count as settled: institutional owners cluster in economically burdened and disproportionately Black and Hispanic neighborhoods, and they file evictions at higher rates than non-corporate owners in the same places.</w:t>
      </w:r>
      <w:r>
        <w:rPr>
          <w:rStyle w:val="FootnoteReference"/>
        </w:rPr>
        <w:footnoteReference w:id="81"/>
      </w:r>
      <w:r>
        <w:rPr>
          <w:rFonts w:ascii="Garamond" w:hAnsi="Garamond"/>
        </w:rPr>
        <w:t xml:space="preserve"> The disputes that remain are about magnitude and mechanism, not direction.</w:t>
      </w:r>
    </w:p>
    <w:p>
      <w:pPr>
        <w:spacing w:line="480" w:lineRule="auto" w:before="0" w:after="0"/>
        <w:ind w:firstLine="720"/>
      </w:pPr>
      <w:r>
        <w:rPr>
          <w:rFonts w:ascii="Garamond" w:hAnsi="Garamond"/>
        </w:rPr>
        <w:t>On the first question, the investor threshold, the field has no shared line and the range is extreme. At one end, studies count any purchase by a company rather than a named individual, with no size floor.</w:t>
      </w:r>
      <w:r>
        <w:rPr>
          <w:rStyle w:val="FootnoteReference"/>
        </w:rPr>
        <w:footnoteReference w:id="82"/>
      </w:r>
      <w:r>
        <w:rPr>
          <w:rFonts w:ascii="Garamond" w:hAnsi="Garamond"/>
        </w:rPr>
        <w:t xml:space="preserve"> At the other, the Government Accountability Office set its floor at 1,000 single-family homes.</w:t>
      </w:r>
      <w:r>
        <w:rPr>
          <w:rStyle w:val="FootnoteReference"/>
        </w:rPr>
        <w:footnoteReference w:id="83"/>
      </w:r>
      <w:r>
        <w:rPr>
          <w:rFonts w:ascii="Garamond" w:hAnsi="Garamond"/>
        </w:rPr>
        <w:t xml:space="preserve"> Between those poles, the Urban Institute's typology sorts owners into small, medium, large, and mega tiers at boundaries of ten, one hundred, and one thousand properties, and most studies adopt tiering language of this kind, which lets each author locate the same owner in a different category.</w:t>
      </w:r>
      <w:r>
        <w:rPr>
          <w:rStyle w:val="FootnoteReference"/>
        </w:rPr>
        <w:footnoteReference w:id="84"/>
      </w:r>
      <w:r>
        <w:rPr>
          <w:rFonts w:ascii="Garamond" w:hAnsi="Garamond"/>
        </w:rPr>
        <w:t xml:space="preserve"> The one structural feature the definitions share is the entity test: an investor is a legal entity rather than a natural person. Everything past that point is contested, and a study that begins at five units and a study that begins at a thousand are not measuring the same market.</w:t>
      </w:r>
    </w:p>
    <w:p>
      <w:pPr>
        <w:spacing w:line="480" w:lineRule="auto" w:before="0" w:after="0"/>
        <w:ind w:firstLine="720"/>
      </w:pPr>
      <w:r>
        <w:rPr>
          <w:rFonts w:ascii="Garamond" w:hAnsi="Garamond"/>
        </w:rPr>
        <w:t>On the second question, the single-family home, the literature is looser still. Most studies adopt whatever property-type code their data vendor supplies. A minority specify, some restricting the term to detached structures and others including the one-to-four-unit range the mortgage market treats as single-family.</w:t>
      </w:r>
      <w:r>
        <w:rPr>
          <w:rStyle w:val="FootnoteReference"/>
        </w:rPr>
        <w:footnoteReference w:id="85"/>
      </w:r>
      <w:r>
        <w:rPr>
          <w:rFonts w:ascii="Garamond" w:hAnsi="Garamond"/>
        </w:rPr>
        <w:t xml:space="preserve"> The federal statute resolved the question one way, at two or fewer dwelling units; the research literature reached no such settlement, and a definition that includes four-unit properties counts small multifamily as single-family and enlarges the investor footprint.</w:t>
      </w:r>
    </w:p>
    <w:p>
      <w:pPr>
        <w:spacing w:line="480" w:lineRule="auto" w:before="0" w:after="0"/>
        <w:ind w:firstLine="720"/>
      </w:pPr>
      <w:r>
        <w:rPr>
          <w:rFonts w:ascii="Garamond" w:hAnsi="Garamond"/>
        </w:rPr>
        <w:t>On the third and fourth questions, time and place, the literature anchors to the crisis and to Atlanta. The acquisition studies concentrate on 2009 through 2015, when distressed inventory was available; the neighborhood-change and eviction studies extend to 2021; and the newest work reaches the pandemic surge and its aftermath.</w:t>
      </w:r>
      <w:r>
        <w:rPr>
          <w:rStyle w:val="FootnoteReference"/>
        </w:rPr>
        <w:footnoteReference w:id="86"/>
      </w:r>
      <w:r>
        <w:rPr>
          <w:rFonts w:ascii="Garamond" w:hAnsi="Garamond"/>
        </w:rPr>
        <w:t xml:space="preserve"> The geography is national in claim and Sun Belt in practice: Atlanta above all, then Phoenix, the California metros, Charlotte, Dallas, Tampa, and Cleveland.</w:t>
      </w:r>
      <w:r>
        <w:rPr>
          <w:rStyle w:val="FootnoteReference"/>
        </w:rPr>
        <w:footnoteReference w:id="87"/>
      </w:r>
      <w:r>
        <w:rPr>
          <w:rFonts w:ascii="Garamond" w:hAnsi="Garamond"/>
        </w:rPr>
        <w:t xml:space="preserve"> Nashville appears rarely and never at the center. It enters as the subject of Chilton and colleagues' 2018 case study, which used 2015 assessor data, and in the Tennessee Housing Development Agency's 2024 investor analysis, which covered 2018 through 2022, and it is listed among many markets in the national profiles.</w:t>
      </w:r>
      <w:r>
        <w:rPr>
          <w:rStyle w:val="FootnoteReference"/>
        </w:rPr>
        <w:footnoteReference w:id="88"/>
      </w:r>
      <w:r>
        <w:rPr>
          <w:rFonts w:ascii="Garamond" w:hAnsi="Garamond"/>
        </w:rPr>
        <w:t xml:space="preserve"> Lee and Wylie rank the Nashville metropolitan area tenth among all core-based statistical areas for institutional single-family rental ownership, at 1.80 percent of the housing stock.</w:t>
      </w:r>
      <w:r>
        <w:rPr>
          <w:rStyle w:val="FootnoteReference"/>
        </w:rPr>
        <w:footnoteReference w:id="89"/>
      </w:r>
      <w:r>
        <w:rPr>
          <w:rFonts w:ascii="Garamond" w:hAnsi="Garamond"/>
        </w:rPr>
        <w:t xml:space="preserve"> The concentration on distressed markets leaves a specific hole. The literature has little to say about a market that investors entered late, without a foreclosure wave, drawn by growth rather than distress. Nashville is that market, and the findings built on Atlanta do not travel to it cleanly.</w:t>
      </w:r>
    </w:p>
    <w:p>
      <w:pPr>
        <w:spacing w:line="480" w:lineRule="auto" w:before="0" w:after="0"/>
        <w:ind w:firstLine="720"/>
      </w:pPr>
      <w:r>
        <w:rPr>
          <w:rFonts w:ascii="Garamond" w:hAnsi="Garamond"/>
        </w:rPr>
        <w:t>On the fifth question, the studies that name operators name the same recurring set, and the roster tracks the industry's consolidation: Invitation Homes, Colony Starwood, American Homes 4 Rent, Progress Residential, Amherst's Main Street Renewal, FirstKey, VineBrook, and Front Yard.</w:t>
      </w:r>
      <w:r>
        <w:rPr>
          <w:rStyle w:val="FootnoteReference"/>
        </w:rPr>
        <w:footnoteReference w:id="90"/>
      </w:r>
      <w:r>
        <w:rPr>
          <w:rFonts w:ascii="Garamond" w:hAnsi="Garamond"/>
        </w:rPr>
        <w:t xml:space="preserve"> The naming is uneven. Peer-reviewed and Federal Reserve studies frequently withhold names and identify owners by portfolio tier, while industry research and journalism name the firms. Shelton and Seymour's network analysis of corporate landlords' subsidiaries comes closest to the problem this Part confronts, and no study aggregates the shell companies each operator uses back to the parent brand at parcel granularity across a whole county.</w:t>
      </w:r>
      <w:r>
        <w:rPr>
          <w:rStyle w:val="FootnoteReference"/>
        </w:rPr>
        <w:footnoteReference w:id="91"/>
      </w:r>
      <w:r>
        <w:rPr>
          <w:rFonts w:ascii="Garamond" w:hAnsi="Garamond"/>
        </w:rPr>
        <w:t xml:space="preserve"> That aggregation is the step that turns a list of named operators into an accurate count of who owns what. The two Nashville studies stop short of it: Chilton and colleagues named four trusts, and the Tennessee Housing Development Agency drew its investor definition broadly enough to count a one-property limited liability company and a subsidiary of an 85,000-home trust the same way.</w:t>
      </w:r>
      <w:r>
        <w:rPr>
          <w:rStyle w:val="FootnoteReference"/>
        </w:rPr>
        <w:footnoteReference w:id="92"/>
      </w:r>
      <w:r>
        <w:rPr>
          <w:rFonts w:ascii="Garamond" w:hAnsi="Garamond"/>
        </w:rPr>
        <w:t xml:space="preserve"> Neither aggregated ownership across related entities, mapped shells to parents, or measured concentration against socioeconomic conditions at the tract level. This Part does all three.</w:t>
      </w:r>
    </w:p>
    <w:p>
      <w:pPr>
        <w:pStyle w:val="Heading2"/>
      </w:pPr>
      <w:r>
        <w:t>C. Datasets and Methods</w:t>
      </w:r>
    </w:p>
    <w:p>
      <w:pPr>
        <w:spacing w:line="480" w:lineRule="auto" w:before="0" w:after="0"/>
        <w:ind w:firstLine="720"/>
      </w:pPr>
      <w:r>
        <w:rPr>
          <w:rFonts w:ascii="Garamond" w:hAnsi="Garamond"/>
        </w:rPr>
        <w:t>The analysis uses five public sources, each replayable from the endpoints in the notes. The Metro Nashville cadastral parcel layer is the spine: a current-state record of every parcel in Davidson County, 286,721 in all, with the owner of record and mailing address, the dwelling-unit count, the land-use classification, the structure and feature type, appraised land and improvement values, and geometry.</w:t>
      </w:r>
      <w:r>
        <w:rPr>
          <w:rStyle w:val="FootnoteReference"/>
        </w:rPr>
        <w:footnoteReference w:id="93"/>
      </w:r>
      <w:r>
        <w:rPr>
          <w:rFonts w:ascii="Garamond" w:hAnsi="Garamond"/>
        </w:rPr>
        <w:t xml:space="preserve"> The county's ParcelHistory ownership register supplies the transaction record, 1.64 million ownership events with the grantee's name and mailing address, the consideration paid, the instrument type, the recording date, and a link to the deed image, linked to the cadastre through the parcel identifier.</w:t>
      </w:r>
      <w:r>
        <w:rPr>
          <w:rStyle w:val="FootnoteReference"/>
        </w:rPr>
        <w:footnoteReference w:id="94"/>
      </w:r>
      <w:r>
        <w:rPr>
          <w:rFonts w:ascii="Garamond" w:hAnsi="Garamond"/>
        </w:rPr>
        <w:t xml:space="preserve"> The Register of Deeds supplies the recorded instrument behind each conveyance and serves as the document of record for verification.</w:t>
      </w:r>
      <w:r>
        <w:rPr>
          <w:rStyle w:val="FootnoteReference"/>
        </w:rPr>
        <w:footnoteReference w:id="95"/>
      </w:r>
      <w:r>
        <w:rPr>
          <w:rFonts w:ascii="Garamond" w:hAnsi="Garamond"/>
        </w:rPr>
        <w:t xml:space="preserve"> The Tennessee Secretary of State's business registry and the Securities and Exchange Commission's EDGAR filings supply the corporate identities through which operators hold: principal offices and registered agents from the state, and subsidiary schedules and securitization party names from the operators' annual reports and asset-backed securities filings.</w:t>
      </w:r>
      <w:r>
        <w:rPr>
          <w:rStyle w:val="FootnoteReference"/>
        </w:rPr>
        <w:footnoteReference w:id="96"/>
      </w:r>
      <w:r>
        <w:rPr>
          <w:rFonts w:ascii="Garamond" w:hAnsi="Garamond"/>
        </w:rPr>
        <w:t xml:space="preserve"> The American Community Survey's five-year estimates supply tract demographic profiles for the 2020 to 2024 vintage.</w:t>
      </w:r>
      <w:r>
        <w:rPr>
          <w:rStyle w:val="FootnoteReference"/>
        </w:rPr>
        <w:footnoteReference w:id="97"/>
      </w:r>
      <w:r>
        <w:rPr>
          <w:rFonts w:ascii="Garamond" w:hAnsi="Garamond"/>
        </w:rPr>
        <w:t xml:space="preserve"> Unlike the transaction-data literature, which samples homes when they trade, the cadastre is a census of the stock. Every parcel appears whether or not it has ever sold, which matters for measuring institutional shares because institutional holdings trade rarely by design.</w:t>
      </w:r>
      <w:r>
        <w:rPr>
          <w:rStyle w:val="FootnoteReference"/>
        </w:rPr>
        <w:footnoteReference w:id="98"/>
      </w:r>
    </w:p>
    <w:p>
      <w:pPr>
        <w:spacing w:line="480" w:lineRule="auto" w:before="0" w:after="0"/>
        <w:ind w:firstLine="720"/>
      </w:pPr>
      <w:r>
        <w:rPr>
          <w:rFonts w:ascii="Garamond" w:hAnsi="Garamond"/>
          <w:b/>
        </w:rPr>
        <w:t>The framework universe.</w:t>
      </w:r>
      <w:r>
        <w:rPr>
          <w:rFonts w:ascii="Garamond" w:hAnsi="Garamond"/>
        </w:rPr>
        <w:t xml:space="preserve"> The sample is the set of parcels meeting the statutory definition of a single-family home. A parcel enters the framework when its dwelling-unit count is one or two, its land-use class is single family, zero lot line, duplex, or residential condominium, and its feature type is not multistory condominium, multistory common area, or open space.</w:t>
      </w:r>
      <w:r>
        <w:rPr>
          <w:rStyle w:val="FootnoteReference"/>
        </w:rPr>
        <w:footnoteReference w:id="99"/>
      </w:r>
      <w:r>
        <w:rPr>
          <w:rFonts w:ascii="Garamond" w:hAnsi="Garamond"/>
        </w:rPr>
        <w:t xml:space="preserve"> The filter returns 205,933 parcels. The residential-condominium class stays in because the structure-type field shows that roughly nine thousand of its members are physically detached houses; the multistory exclusions remove the apartment-form condominiums the two-unit ceiling excludes. This is a broader definition than Chilton's detached-only sample and narrower than the Assessor's residential class, and Section 5 reports the Chilton comparison on his definition for comparability.</w:t>
      </w:r>
    </w:p>
    <w:p>
      <w:pPr>
        <w:spacing w:line="480" w:lineRule="auto" w:before="0" w:after="0"/>
        <w:ind w:firstLine="720"/>
      </w:pPr>
      <w:r>
        <w:rPr>
          <w:rFonts w:ascii="Garamond" w:hAnsi="Garamond"/>
          <w:b/>
        </w:rPr>
        <w:t>Owner types.</w:t>
      </w:r>
      <w:r>
        <w:rPr>
          <w:rFonts w:ascii="Garamond" w:hAnsi="Garamond"/>
        </w:rPr>
        <w:t xml:space="preserve"> Each owner of record classifies as an individual, entity, trust, government, or lender by a guarded pattern rule on the normalized owner name, hand-corrected where the patterns misfire. The normalization converts each name to uppercase, collapses whitespace and punctuation, and reduces variant renderings of a suffix to one token, so that "L.L.C.," "L L C," and "LLC" match. The entity rule matches business identifiers in the normalized name: LLC, INC, LP, LTD, CORP, COMPANY, PARTNERSHIP, ASSOCIATION, and their variants. Government, nonprofit, and lender owners are excluded from the investor analysis. Trusts are retained as their own class rather than merged into entities, because Tennessee title practice places substantial owner-occupied property in family trusts, and an entity definition that included them would overstate corporate ownership by roughly a factor of two.</w:t>
      </w:r>
      <w:r>
        <w:rPr>
          <w:rStyle w:val="FootnoteReference"/>
        </w:rPr>
        <w:footnoteReference w:id="100"/>
      </w:r>
      <w:r>
        <w:rPr>
          <w:rFonts w:ascii="Garamond" w:hAnsi="Garamond"/>
        </w:rPr>
        <w:t xml:space="preserve"> Classification error survives at the margin in both directions: some business trusts classify as trusts, and some estate companies classify as entities.</w:t>
      </w:r>
    </w:p>
    <w:p>
      <w:pPr>
        <w:spacing w:line="480" w:lineRule="auto" w:before="0" w:after="0"/>
        <w:ind w:firstLine="720"/>
      </w:pPr>
      <w:r>
        <w:rPr>
          <w:rFonts w:ascii="Garamond" w:hAnsi="Garamond"/>
          <w:b/>
        </w:rPr>
        <w:t>Occupancy and location.</w:t>
      </w:r>
      <w:r>
        <w:rPr>
          <w:rFonts w:ascii="Garamond" w:hAnsi="Garamond"/>
        </w:rPr>
        <w:t xml:space="preserve"> A parcel is non-owner-occupied when the owner's mailing ZIP code differs from the property ZIP code and the mailing address is not a lender's. A parcel is out-of-state when the owner's mailing state is not Tennessee. The two flags are distinct from each other and from the entity flag, and this Part never uses one for another.</w:t>
      </w:r>
    </w:p>
    <w:p>
      <w:pPr>
        <w:spacing w:line="480" w:lineRule="auto" w:before="0" w:after="0"/>
        <w:ind w:firstLine="720"/>
      </w:pPr>
      <w:r>
        <w:rPr>
          <w:rFonts w:ascii="Garamond" w:hAnsi="Garamond"/>
          <w:b/>
        </w:rPr>
        <w:t>Named operators.</w:t>
      </w:r>
      <w:r>
        <w:rPr>
          <w:rFonts w:ascii="Garamond" w:hAnsi="Garamond"/>
        </w:rPr>
        <w:t xml:space="preserve"> An entity attributes to an operating parent through a curated crosswalk of 1,217 recorded owner names, assembled from four classes of evidence applied in order of precedence: manually verified attributions from deeds and filings; settled name patterns carrying the merger and rename history, including American Residential Properties to American Homes 4 Rent, the STAR entities to Starwood, the SFR JV and renamed entities to Tricon, and Yamasa, FREO, and Mile High to Progress; parcel-level assignments from curated operator files; and name-level matches.</w:t>
      </w:r>
      <w:r>
        <w:rPr>
          <w:rStyle w:val="FootnoteReference"/>
        </w:rPr>
        <w:footnoteReference w:id="101"/>
      </w:r>
      <w:r>
        <w:rPr>
          <w:rFonts w:ascii="Garamond" w:hAnsi="Garamond"/>
        </w:rPr>
        <w:t xml:space="preserve"> Shared tax-agent mailboxes that serve unrelated portfolios are excluded as grouping evidence. The crosswalk is one layer of a parent-subsidiary registry of 9,973 entities under 97 parent families, built from the operators' securitization exhibits, their annual-report subsidiary schedules, and Secretary of State filings, and the registry records for each entity whether and when it appears in Davidson deeds.</w:t>
      </w:r>
      <w:r>
        <w:rPr>
          <w:rStyle w:val="FootnoteReference"/>
        </w:rPr>
        <w:footnoteReference w:id="102"/>
      </w:r>
      <w:r>
        <w:rPr>
          <w:rFonts w:ascii="Garamond" w:hAnsi="Garamond"/>
        </w:rPr>
        <w:t xml:space="preserve"> Because attribution requires affirmative evidence, the named-operator count is a floor: an entity that shares no address, filing, or deed chain with a known parent stays unattributed. The named national single-family rental cohort that the tract analysis uses is 3,940 parcels; the all-operator-attributed set, which adds builders, build-to-rent platforms, and land bankers, is 4,626.</w:t>
      </w:r>
      <w:r>
        <w:rPr>
          <w:rStyle w:val="FootnoteReference"/>
        </w:rPr>
        <w:footnoteReference w:id="103"/>
      </w:r>
    </w:p>
    <w:p>
      <w:pPr>
        <w:spacing w:line="480" w:lineRule="auto" w:before="0" w:after="0"/>
        <w:ind w:firstLine="720"/>
      </w:pPr>
      <w:r>
        <w:rPr>
          <w:rFonts w:ascii="Garamond" w:hAnsi="Garamond"/>
          <w:b/>
        </w:rPr>
        <w:t>Owner groups and concentration.</w:t>
      </w:r>
      <w:r>
        <w:rPr>
          <w:rFonts w:ascii="Garamond" w:hAnsi="Garamond"/>
        </w:rPr>
        <w:t xml:space="preserve"> For the concentration analysis, each entity-owned parcel is assigned to an owner group: the parent operator where the crosswalk attributes it, and otherwise the normalized owner name combined with the normalized mailing address, which clusters the variant spellings of one local owner without merging distinct owners who share a tax agent. Groups are sorted into tiers by the number of framework parcels they hold.</w:t>
      </w:r>
    </w:p>
    <w:p>
      <w:pPr>
        <w:spacing w:line="480" w:lineRule="auto" w:before="0" w:after="0"/>
        <w:ind w:firstLine="720"/>
      </w:pPr>
      <w:r>
        <w:rPr>
          <w:rFonts w:ascii="Garamond" w:hAnsi="Garamond"/>
          <w:b/>
        </w:rPr>
        <w:t>The burdened-tract classification.</w:t>
      </w:r>
      <w:r>
        <w:rPr>
          <w:rFonts w:ascii="Garamond" w:hAnsi="Garamond"/>
        </w:rPr>
        <w:t xml:space="preserve"> Each parcel joins to its 2020 census tract, and a tract is burdened when it falls on the adverse side of the county's median tract on at least three of four measures: a poverty rate above 12.1 percent, a renter cost-burden rate above 50.9 percent, a renter share above 45.9 percent, and a median household income below $75,976. The thresholds are the county's tract medians computed in the sample, and 72 of the 170 analyzable tracts classify as burdened; four tracts drop for lacking framework parcels or survey values. The concentration statistic is the parcel-weighted ownership rate in burdened tracts divided by the county rate, reported separately for the entity and the named-operator definitions because the two diverge, and the divergence is itself a finding.</w:t>
      </w:r>
      <w:r>
        <w:rPr>
          <w:rStyle w:val="FootnoteReference"/>
        </w:rPr>
        <w:footnoteReference w:id="104"/>
      </w:r>
    </w:p>
    <w:p>
      <w:pPr>
        <w:spacing w:line="480" w:lineRule="auto" w:before="0" w:after="0"/>
        <w:ind w:firstLine="720"/>
      </w:pPr>
      <w:r>
        <w:rPr>
          <w:rFonts w:ascii="Garamond" w:hAnsi="Garamond"/>
          <w:b/>
        </w:rPr>
        <w:t>Tract comparisons.</w:t>
      </w:r>
      <w:r>
        <w:rPr>
          <w:rFonts w:ascii="Garamond" w:hAnsi="Garamond"/>
        </w:rPr>
        <w:t xml:space="preserve"> Demographic differences across the concentration split use Welch two-sample t-tests on tract-level survey values, high-concentration tracts, where the entity share is ten percent or more (fifty tracts), against the remainder (120 tracts), on the variable set Chilton used plus renter cost burden, with significance at the five-percent level.</w:t>
      </w:r>
      <w:r>
        <w:rPr>
          <w:rStyle w:val="FootnoteReference"/>
        </w:rPr>
        <w:footnoteReference w:id="105"/>
      </w:r>
      <w:r>
        <w:rPr>
          <w:rFonts w:ascii="Garamond" w:hAnsi="Garamond"/>
        </w:rPr>
        <w:t xml:space="preserve"> The design is descriptive. Nothing here identifies the effect of institutional ownership on neighborhoods; the tests characterize where concentration sits, and selection against treatment is taken up, not resolved, in the Discussion.</w:t>
      </w:r>
    </w:p>
    <w:p>
      <w:pPr>
        <w:spacing w:line="480" w:lineRule="auto" w:before="0" w:after="0"/>
        <w:ind w:firstLine="720"/>
      </w:pPr>
      <w:r>
        <w:rPr>
          <w:rFonts w:ascii="Garamond" w:hAnsi="Garamond"/>
          <w:b/>
        </w:rPr>
        <w:t>Transactions and tempo.</w:t>
      </w:r>
      <w:r>
        <w:rPr>
          <w:rFonts w:ascii="Garamond" w:hAnsi="Garamond"/>
        </w:rPr>
        <w:t xml:space="preserve"> Operator acquisitions and dispositions by year come from the ownership register, with each operator-attributed grantee event dated by its recording and each disposition dated by the next grantee's recording on the same parcel. Purchase prices use arm's-length deeds only, with the consideration on a multi-parcel deed allocated evenly across its parcels and conveyances below $10,000, quitclaims, trustee's deeds, and intra-family transfers excluded. The occupancy-conversion series classifies each arm's-length sale by the owner-occupancy flag on either side of the conveyance.</w:t>
      </w:r>
      <w:r>
        <w:rPr>
          <w:rStyle w:val="FootnoteReference"/>
        </w:rPr>
        <w:footnoteReference w:id="106"/>
      </w:r>
    </w:p>
    <w:p>
      <w:pPr>
        <w:spacing w:line="480" w:lineRule="auto" w:before="0" w:after="0"/>
        <w:ind w:firstLine="720"/>
      </w:pPr>
      <w:r>
        <w:rPr>
          <w:rFonts w:ascii="Garamond" w:hAnsi="Garamond"/>
          <w:b/>
        </w:rPr>
        <w:t>Limitations.</w:t>
      </w:r>
      <w:r>
        <w:rPr>
          <w:rFonts w:ascii="Garamond" w:hAnsi="Garamond"/>
        </w:rPr>
        <w:t xml:space="preserve"> Attribution floors every institutional count, and a rename without a conveyance escapes the deed record until another filing reveals it. Owner mailing addresses group shells effectively but carry the shared-tax-agent trap described above. Appraised values are the Assessor's roll figures and lag the market. And the cadastre records legal owners, not beneficial ones: nothing in the county record connects a parent operator to the capital above it, which is the subject of Part V.</w:t>
      </w:r>
    </w:p>
    <w:p>
      <w:pPr>
        <w:pStyle w:val="Heading1"/>
        <w:spacing w:before="360"/>
      </w:pPr>
      <w:r>
        <w:t>5. Findings and Discussion</w:t>
      </w:r>
    </w:p>
    <w:p>
      <w:pPr>
        <w:pStyle w:val="Heading2"/>
      </w:pPr>
      <w:r>
        <w:t>A. Quantitative Findings</w:t>
      </w:r>
    </w:p>
    <w:p>
      <w:pPr>
        <w:spacing w:line="480" w:lineRule="auto" w:before="0" w:after="0"/>
        <w:ind w:firstLine="720"/>
      </w:pPr>
      <w:r>
        <w:rPr>
          <w:rFonts w:ascii="Garamond" w:hAnsi="Garamond"/>
          <w:b/>
        </w:rPr>
        <w:t>Finding 1. The universe and its owners.</w:t>
      </w:r>
      <w:r>
        <w:rPr>
          <w:rFonts w:ascii="Garamond" w:hAnsi="Garamond"/>
        </w:rPr>
        <w:t xml:space="preserve"> The framework universe contains 205,933 single-family homes under the statute's two-unit definition, holding 215,041 dwelling units. Individuals own 172,328 of them (83.7 percent), corporate entities 16,615 (8.1 percent), trusts 16,260 (7.9 percent), and governments and lenders the remaining 730 (Appendix Table A2).</w:t>
      </w:r>
      <w:r>
        <w:rPr>
          <w:rStyle w:val="FootnoteReference"/>
        </w:rPr>
        <w:footnoteReference w:id="107"/>
      </w:r>
      <w:r>
        <w:rPr>
          <w:rFonts w:ascii="Garamond" w:hAnsi="Garamond"/>
        </w:rPr>
        <w:t xml:space="preserve"> Of the whole stock, 42,631 homes (20.7 percent) are non-owner-occupied and 11,929 belong to owners outside Tennessee. The three measures nest without coinciding. Among entity-owned homes, 86 percent are non-owner-occupied and 40 percent are owned from outside the state; among the named operators' homes, the figures are 99.5 and 91 percent. Entity ownership runs at 7.7 percent of one-unit homes and 16.3 percent of two-unit homes, so the duplex is twice as likely as the detached house to belong to a company. The named national single-family rental operators hold 3,940 homes, 1.9 percent of the framework and 24 percent of the entity-owned stock, and the figure is a floor.</w:t>
      </w:r>
      <w:r>
        <w:rPr>
          <w:rStyle w:val="FootnoteReference"/>
        </w:rPr>
        <w:footnoteReference w:id="108"/>
      </w:r>
    </w:p>
    <w:p>
      <w:pPr>
        <w:spacing w:line="480" w:lineRule="auto" w:before="0" w:after="0"/>
        <w:ind w:firstLine="720"/>
      </w:pPr>
      <w:r>
        <w:rPr>
          <w:rFonts w:ascii="Garamond" w:hAnsi="Garamond"/>
        </w:rPr>
        <w:t>What the entities hold is single-family housing as the statute defines it, not the apartment building. Of the 16,615 entity-owned homes, 61 percent carry the single-family land use, 28 percent are residential condominiums, 8 percent are duplexes, and 3 percent are zero-lot-line homes; the named operators' portfolios are 88 percent single-family land use and 11 percent condominium (Appendix Table A2). The named operators hold newer stock than anyone else in the county, with a median year built of 2005 against 1993 for the entity class and 1983 for individual owners, and their homes carry a median county appraisal of $231,600, within a few thousand dollars of the entity median and above the $194,600 median for individually owned homes.</w:t>
      </w:r>
      <w:r>
        <w:rPr>
          <w:rStyle w:val="FootnoteReference"/>
        </w:rPr>
        <w:footnoteReference w:id="109"/>
      </w:r>
    </w:p>
    <w:p>
      <w:pPr>
        <w:spacing w:line="480" w:lineRule="auto" w:before="0" w:after="0"/>
        <w:ind w:firstLine="720"/>
      </w:pPr>
      <w:r>
        <w:rPr>
          <w:rFonts w:ascii="Garamond" w:hAnsi="Garamond"/>
          <w:b/>
        </w:rPr>
        <w:t>Finding 2. The operators against the statutory line.</w:t>
      </w:r>
      <w:r>
        <w:rPr>
          <w:rFonts w:ascii="Garamond" w:hAnsi="Garamond"/>
        </w:rPr>
        <w:t xml:space="preserve"> Progress Residential holds 1,222 framework homes, American Homes 4 Rent 1,173, and Amherst 657; all three sit above the 350-home line on their Davidson holdings alone (Appendix Table A1).</w:t>
      </w:r>
      <w:r>
        <w:rPr>
          <w:rStyle w:val="FootnoteReference"/>
        </w:rPr>
        <w:footnoteReference w:id="110"/>
      </w:r>
      <w:r>
        <w:rPr>
          <w:rFonts w:ascii="Garamond" w:hAnsi="Garamond"/>
        </w:rPr>
        <w:t xml:space="preserve"> The Normandy Group, a local partnership, holds 302; Tricon, now Blackstone, 276; Starwood 251; Maymont 105; My Community Homes 100; FirstKey 92; RESICAP 64; VineBrook 59; and Rithm 52. Invitation Homes proper holds 10. American Homes 4 Rent's figure includes roughly 400 build-to-rent development parcels under its two development subsidiaries, so its scattered rental portfolio is nearer 750 than 1,173.</w:t>
      </w:r>
      <w:r>
        <w:rPr>
          <w:rStyle w:val="FootnoteReference"/>
        </w:rPr>
        <w:footnoteReference w:id="111"/>
      </w:r>
    </w:p>
    <w:p>
      <w:pPr>
        <w:spacing w:line="480" w:lineRule="auto" w:before="0" w:after="0"/>
        <w:ind w:firstLine="720"/>
      </w:pPr>
      <w:r>
        <w:rPr>
          <w:rFonts w:ascii="Garamond" w:hAnsi="Garamond"/>
        </w:rPr>
        <w:t>Restricted to the four trusts Chilton and colleagues counted, the comparison across eleven years is direct. In 2015 American Homes 4 Rent, Invitation Homes, Colony Starwood, and Progress Residential held 825 Davidson County homes, 0.47 percent of the county's detached single-family stock.</w:t>
      </w:r>
      <w:r>
        <w:rPr>
          <w:rStyle w:val="FootnoteReference"/>
        </w:rPr>
        <w:footnoteReference w:id="112"/>
      </w:r>
      <w:r>
        <w:rPr>
          <w:rFonts w:ascii="Garamond" w:hAnsi="Garamond"/>
        </w:rPr>
        <w:t xml:space="preserve"> In July 2026 the same four families, counting Starwood's STAR entities and Invitation's ten remaining homes, hold 2,656 framework homes, 1.29 percent of the framework stock, a 3.2-fold increase. The comparison understates the change, because Invitation's 708 Nashville homes moved to Tricon in 2019 and now appear under a fifth name, and because the second generation of operators, none of which existed in the county in 2015, holds another 500 homes between them.</w:t>
      </w:r>
    </w:p>
    <w:p>
      <w:pPr>
        <w:spacing w:line="480" w:lineRule="auto" w:before="0" w:after="0"/>
        <w:ind w:firstLine="720"/>
      </w:pPr>
      <w:r>
        <w:rPr>
          <w:rFonts w:ascii="Garamond" w:hAnsi="Garamond"/>
          <w:b/>
        </w:rPr>
        <w:t>Finding 3. The concentration.</w:t>
      </w:r>
      <w:r>
        <w:rPr>
          <w:rFonts w:ascii="Garamond" w:hAnsi="Garamond"/>
        </w:rPr>
        <w:t xml:space="preserve"> Entity ownership is bottom-heavy in owners and top-heavy in parcels. The 16,615 entity-owned homes sit under 6,212 distinct recorded owner names, which resolve to 6,569 owner groups once operator shells are rolled up and local owners are clustered by name and address (Appendix Table A3).</w:t>
      </w:r>
      <w:r>
        <w:rPr>
          <w:rStyle w:val="FootnoteReference"/>
        </w:rPr>
        <w:footnoteReference w:id="113"/>
      </w:r>
      <w:r>
        <w:rPr>
          <w:rFonts w:ascii="Garamond" w:hAnsi="Garamond"/>
        </w:rPr>
        <w:t xml:space="preserve"> Groups holding a single home are 77.6 percent of all groups and hold 30.8 percent of the parcels. Groups holding two or three homes are another 14.7 percent of groups and 13.2 percent of parcels. Together, the bottom two tiers are 92 percent of the county's corporate owners of single-family homes and hold 44 percent of the stock, the small-landlord class that no statute reaches and that Part II's registration record shows the city barely sees.</w:t>
      </w:r>
    </w:p>
    <w:p>
      <w:pPr>
        <w:spacing w:line="480" w:lineRule="auto" w:before="0" w:after="0"/>
        <w:ind w:firstLine="720"/>
      </w:pPr>
      <w:r>
        <w:rPr>
          <w:rFonts w:ascii="Garamond" w:hAnsi="Garamond"/>
        </w:rPr>
        <w:t>The top is narrow. One hundred forty-four groups hold ten or more homes, and those 2.2 percent of owner groups hold 7,315 parcels, 44.2 percent of the entity-owned stock. Twenty groups hold between 50 and 349 homes, 12.7 percent of the stock. Three groups hold 350 or more, and those three, Progress, American Homes 4 Rent, and Amherst, hold 17.8 percent of every entity-owned single-family home in Davidson County. The statute's threshold, applied to the county's own ownership distribution, binds three owner groups out of 6,569 and leaves the other 82 percent of the entity-owned stock with its owners untouched.</w:t>
      </w:r>
    </w:p>
    <w:p>
      <w:pPr>
        <w:spacing w:line="480" w:lineRule="auto" w:before="0" w:after="0"/>
        <w:ind w:firstLine="720"/>
      </w:pPr>
      <w:r>
        <w:rPr>
          <w:rFonts w:ascii="Garamond" w:hAnsi="Garamond"/>
          <w:b/>
        </w:rPr>
        <w:t>Finding 4. The architecture of the holdings.</w:t>
      </w:r>
      <w:r>
        <w:rPr>
          <w:rFonts w:ascii="Garamond" w:hAnsi="Garamond"/>
        </w:rPr>
        <w:t xml:space="preserve"> The recorded names resist attribution in three recurring ways, each documented in the deed record. The first is the borrower entity. The 4,626 operator-attributed parcels sit under 329 distinct recorded names: Amherst holds through 73 names, Progress through 71, Tricon through 36, American Homes 4 Rent through 31, and FirstKey through 20 (Appendix Table A4).</w:t>
      </w:r>
      <w:r>
        <w:rPr>
          <w:rStyle w:val="FootnoteReference"/>
        </w:rPr>
        <w:footnoteReference w:id="114"/>
      </w:r>
      <w:r>
        <w:rPr>
          <w:rFonts w:ascii="Garamond" w:hAnsi="Garamond"/>
        </w:rPr>
        <w:t xml:space="preserve"> Progress's largest Davidson entity is Yamasa Co., Ltd., with 248 homes, followed by Progress Residential Borrower 6, LLC with 73, Borrower 5 with 65, and Borrower 4 with 61. Tricon's are SFR JV-1 2020-1 Borrower, LLC with 77 and six further SFR JV vehicles. The second is the merger orphan. American Residential Properties dissolved into American Homes 4 Rent in 2016, and ARP 2014-1 Borrower, LLC still holds Davidson title under the dead name. The third is the rename. In June 2026 Tricon's local entities took the name TENAX DPI Property through intra-family quitclaims recorded on June 8, 2026, a name no operator list carried, and Progress's newest vehicles record as PR Borrower 26, LLC and PR Borrower 27, LLC, which a search for "Progress Residential" does not return.</w:t>
      </w:r>
      <w:r>
        <w:rPr>
          <w:rStyle w:val="FootnoteReference"/>
        </w:rPr>
        <w:footnoteReference w:id="115"/>
      </w:r>
      <w:r>
        <w:rPr>
          <w:rFonts w:ascii="Garamond" w:hAnsi="Garamond"/>
        </w:rPr>
        <w:t xml:space="preserve"> Each device is individually small. Together they mean the statute's covered-entity count exists nowhere in the public record until an attribution apparatus builds it, and the parent-subsidiary registry behind this Part, 97 parent families and 9,973 entities, is that apparatus for one county.</w:t>
      </w:r>
      <w:r>
        <w:rPr>
          <w:rStyle w:val="FootnoteReference"/>
        </w:rPr>
        <w:footnoteReference w:id="116"/>
      </w:r>
    </w:p>
    <w:p>
      <w:pPr>
        <w:spacing w:line="480" w:lineRule="auto" w:before="0" w:after="0"/>
        <w:ind w:firstLine="720"/>
      </w:pPr>
      <w:r>
        <w:rPr>
          <w:rFonts w:ascii="Garamond" w:hAnsi="Garamond"/>
          <w:b/>
        </w:rPr>
        <w:t>Finding 5. Two geographies.</w:t>
      </w:r>
      <w:r>
        <w:rPr>
          <w:rFonts w:ascii="Garamond" w:hAnsi="Garamond"/>
        </w:rPr>
        <w:t xml:space="preserve"> Corporate ownership of Nashville's single-family homes has a geography, and it is not the one the institutional-investor debate assumes, because it is two geographies belonging to two kinds of owner.</w:t>
      </w:r>
    </w:p>
    <w:p>
      <w:pPr>
        <w:spacing w:line="480" w:lineRule="auto" w:before="0" w:after="0"/>
        <w:ind w:firstLine="720"/>
      </w:pPr>
      <w:r>
        <w:rPr>
          <w:rFonts w:ascii="Garamond" w:hAnsi="Garamond"/>
        </w:rPr>
        <w:t>The broad corporate class concentrates where the county's burdens concentrate. In the 72 census tracts that fall on the adverse side of the county's median tract on at least three of four measures, entities own 9.89 percent of the framework stock, against 8.04 percent county-wide and 7.21 percent in the remaining tracts: 1.23 times the county rate and 1.37 times the non-burdened rate (Appendix Table A5).</w:t>
      </w:r>
      <w:r>
        <w:rPr>
          <w:rStyle w:val="FootnoteReference"/>
        </w:rPr>
        <w:footnoteReference w:id="117"/>
      </w:r>
      <w:r>
        <w:rPr>
          <w:rFonts w:ascii="Garamond" w:hAnsi="Garamond"/>
        </w:rPr>
        <w:t xml:space="preserve"> The median burdened tract has a household income of $58,850, a poverty rate of 19.8 percent, and a Black population share of 31.8 percent; the median non-burdened tract has an income of $97,969, poverty of 7.1 percent, and a Black share of 12.8 percent. The named national operators run the other way. In the same burdened tracts they hold 1.67 percent of the stock against 1.91 percent county-wide, 0.88 times the county rate and 0.83 times the non-burdened rate.</w:t>
      </w:r>
      <w:r>
        <w:rPr>
          <w:rStyle w:val="FootnoteReference"/>
        </w:rPr>
        <w:footnoteReference w:id="118"/>
      </w:r>
      <w:r>
        <w:rPr>
          <w:rFonts w:ascii="Garamond" w:hAnsi="Garamond"/>
        </w:rPr>
        <w:t xml:space="preserve"> The firms the federal statute targets do not, on net, buy the county's poorest neighborhoods. They buy the affordable end of its middle-income homeowner suburbs. Eighty-four percent of the named operators' homes sit in tracts where owners outnumber renters, and every scattered-site operator's portfolio appraises below its own tracts' median home value: Progress at 0.62 of the tract median, American Homes 4 Rent at 0.51, Amherst at 0.73, Tricon at 0.70, Starwood at 0.79, and the second-generation operators between 0.65 and 0.77 (Appendix Table A8).</w:t>
      </w:r>
      <w:r>
        <w:rPr>
          <w:rStyle w:val="FootnoteReference"/>
        </w:rPr>
        <w:footnoteReference w:id="119"/>
      </w:r>
      <w:r>
        <w:rPr>
          <w:rFonts w:ascii="Garamond" w:hAnsi="Garamond"/>
        </w:rPr>
        <w:t xml:space="preserve"> Part V documents the same pattern independently in the securitized subset, whose homes sit 69 percent in owner-occupied tracts and price below their tract medians in every operator's portfolio.</w:t>
      </w:r>
      <w:r>
        <w:rPr>
          <w:rStyle w:val="FootnoteReference"/>
        </w:rPr>
        <w:footnoteReference w:id="120"/>
      </w:r>
    </w:p>
    <w:p>
      <w:pPr>
        <w:spacing w:line="480" w:lineRule="auto" w:before="0" w:after="0"/>
        <w:ind w:firstLine="720"/>
      </w:pPr>
      <w:r>
        <w:rPr>
          <w:rFonts w:ascii="Garamond" w:hAnsi="Garamond"/>
        </w:rPr>
        <w:t>The tilt toward burdened tracts therefore belongs to the smaller corporate owners, the local limited liability companies, the family entities, and the sub-threshold investors below any statute's line, and the tilt toward homeowner suburbs belongs to the operators above it. The twenty tracts with the highest entity shares make the split visible (Appendix Table A7). In tract 142.00, where entities own a third of the 273 framework homes, the named operators own none; the tract's median income is $16,538, its poverty rate 53.6 percent, and its population 68 percent Black. In tract 143.00, entities own 27 percent and the named operators 1.4 percent of 888 homes, in a tract 76 percent Black. The named operators' concentration sits elsewhere, in the large southeast-county tracts 156.34, 156.30, and 191.17, where they hold 10.6, 13.5, and 12.2 percent of 4,672, 2,204, and 1,928 homes, in tracts with median incomes of $82,371, $84,661, and $117,546 and median years built of 2009, 2011, and 2007.</w:t>
      </w:r>
      <w:r>
        <w:rPr>
          <w:rStyle w:val="FootnoteReference"/>
        </w:rPr>
        <w:footnoteReference w:id="121"/>
      </w:r>
    </w:p>
    <w:p>
      <w:pPr>
        <w:spacing w:line="480" w:lineRule="auto" w:before="0" w:after="0"/>
        <w:ind w:firstLine="720"/>
      </w:pPr>
      <w:r>
        <w:rPr>
          <w:rFonts w:ascii="Garamond" w:hAnsi="Garamond"/>
        </w:rPr>
        <w:t>The demographic profile of concentrated corporate ownership has reversed since 2015 on race and income and held on one dimension only. Welch tests across the concentration split show that the fifty tracts where entities own ten percent or more of the stock are 37.8 percent Black against 17.9 percent elsewhere, have a median household income of $70,640 against $92,212, a poverty rate of 19.0 against 11.5 percent, and a renter share of 59.8 against 40.3 percent, each difference significant at the five-percent level (Appendix Table A6).</w:t>
      </w:r>
      <w:r>
        <w:rPr>
          <w:rStyle w:val="FootnoteReference"/>
        </w:rPr>
        <w:footnoteReference w:id="122"/>
      </w:r>
      <w:r>
        <w:rPr>
          <w:rFonts w:ascii="Garamond" w:hAnsi="Garamond"/>
        </w:rPr>
        <w:t xml:space="preserve"> Chilton and colleagues found the tracts where the trusts owned homes to be whiter, richer, and newer than the rest of the metropolitan area. Both the race and the income signs have flipped. One pattern held: the stock in concentrated tracts remains newer, with a median year built of 1993 against 1979, consistent with the operators' preference for post-1990 suburban product that every acquisition-level analysis in this series confirms.</w:t>
      </w:r>
    </w:p>
    <w:p>
      <w:pPr>
        <w:spacing w:line="480" w:lineRule="auto" w:before="0" w:after="0"/>
        <w:ind w:firstLine="720"/>
      </w:pPr>
      <w:r>
        <w:rPr>
          <w:rFonts w:ascii="Garamond" w:hAnsi="Garamond"/>
          <w:b/>
        </w:rPr>
        <w:t>Finding 6. The tempo of acquisition and the price of entry.</w:t>
      </w:r>
      <w:r>
        <w:rPr>
          <w:rFonts w:ascii="Garamond" w:hAnsi="Garamond"/>
        </w:rPr>
        <w:t xml:space="preserve"> Net acquisition of existing homes by the named operators peaked in 2021 and has since fallen to near zero while their holdings remain at their peak. Across the nine largest single-family rental operators, net acquisitions ran between 50 and 670 homes a year from 2014 through 2020, reached 828 in 2021, fell to 439 in 2022 and 57 in 2023, and stayed below 80 in 2024 and 2025 (Appendix Table A9).</w:t>
      </w:r>
      <w:r>
        <w:rPr>
          <w:rStyle w:val="FootnoteReference"/>
        </w:rPr>
        <w:footnoteReference w:id="123"/>
      </w:r>
      <w:r>
        <w:rPr>
          <w:rFonts w:ascii="Garamond" w:hAnsi="Garamond"/>
        </w:rPr>
        <w:t xml:space="preserve"> Progress's net additions went from 262 in 2021 to 57, 56, 7, and 2 in the four years since; Amherst's from 173 to 122, negative 4, 30, and 12; American Homes 4 Rent's rental entities have disposed of a few homes a year since 2022 while its development entities build. The operators stopped buying without starting to sell, and the parcels currently held by each, validated against the ownership register's active records, stand at or near each operator's all-time high.</w:t>
      </w:r>
    </w:p>
    <w:p>
      <w:pPr>
        <w:spacing w:line="480" w:lineRule="auto" w:before="0" w:after="0"/>
        <w:ind w:firstLine="720"/>
      </w:pPr>
      <w:r>
        <w:rPr>
          <w:rFonts w:ascii="Garamond" w:hAnsi="Garamond"/>
        </w:rPr>
        <w:t>The sales flow tells the same story from the occupancy side. Among all arm's-length home sales in the county, the share that converted an owner-occupied home to absentee ownership ran between 12 and 14 percent from 2015 through 2019, jumped to 16.1 percent in 2021 and 15.7 percent in 2022, and fell back to 12 percent by 2023; the reverse flow, absentee to owner-occupied, held near a quarter of sales throughout (Appendix Table A10).</w:t>
      </w:r>
      <w:r>
        <w:rPr>
          <w:rStyle w:val="FootnoteReference"/>
        </w:rPr>
        <w:footnoteReference w:id="124"/>
      </w:r>
      <w:r>
        <w:rPr>
          <w:rFonts w:ascii="Garamond" w:hAnsi="Garamond"/>
        </w:rPr>
        <w:t xml:space="preserve"> In the peak years roughly one home sale in six took a house out of owner-occupancy, against one in eight normally, and the background churn never moved.</w:t>
      </w:r>
    </w:p>
    <w:p>
      <w:pPr>
        <w:spacing w:line="480" w:lineRule="auto" w:before="0" w:after="0"/>
        <w:ind w:firstLine="720"/>
      </w:pPr>
      <w:r>
        <w:rPr>
          <w:rFonts w:ascii="Garamond" w:hAnsi="Garamond"/>
        </w:rPr>
        <w:t>The operators bought below the market. On 4,067 arm's-length deeds to the single-family rental operators between 2014 and 2025, the median allocated price was $272,395, against $285,000 for all arm's-length sales in the county over the same years, and the gap widened as the market rose: $222,000 against $265,000 in 2019, $334,219 against $349,900 in 2021, and $376,100 against $410,000 in 2022 (Appendix Table A8).</w:t>
      </w:r>
      <w:r>
        <w:rPr>
          <w:rStyle w:val="FootnoteReference"/>
        </w:rPr>
        <w:footnoteReference w:id="125"/>
      </w:r>
      <w:r>
        <w:rPr>
          <w:rFonts w:ascii="Garamond" w:hAnsi="Garamond"/>
        </w:rPr>
        <w:t xml:space="preserve"> Progress's median purchase was $248,978 and Amherst's $299,406. The Tennessee Housing Development Agency's finding that investor-targeted homes averaged $270,000 against $430,000 for individual buyers is the same pattern measured on the agency's broader investor definition.</w:t>
      </w:r>
      <w:r>
        <w:rPr>
          <w:rStyle w:val="FootnoteReference"/>
        </w:rPr>
        <w:footnoteReference w:id="126"/>
      </w:r>
      <w:r>
        <w:rPr>
          <w:rFonts w:ascii="Garamond" w:hAnsi="Garamond"/>
        </w:rPr>
        <w:t xml:space="preserve"> That combination, stable stock and stalled flow bought at the affordable end of the market, is the market the statute arrived to regulate in 2026. The acquisition channel the law closed had already cooled, and the construction channel it left open, which Part III measures, is where the growth now runs.</w:t>
      </w:r>
    </w:p>
    <w:p>
      <w:pPr>
        <w:pStyle w:val="Heading2"/>
      </w:pPr>
      <w:r>
        <w:t>B. Discussion</w:t>
      </w:r>
    </w:p>
    <w:p>
      <w:pPr>
        <w:spacing w:line="480" w:lineRule="auto" w:before="0" w:after="0"/>
        <w:ind w:firstLine="720"/>
      </w:pPr>
      <w:r>
        <w:rPr>
          <w:rFonts w:ascii="Garamond" w:hAnsi="Garamond"/>
          <w:b/>
        </w:rPr>
        <w:t>The definition decides the finding.</w:t>
      </w:r>
      <w:r>
        <w:rPr>
          <w:rFonts w:ascii="Garamond" w:hAnsi="Garamond"/>
        </w:rPr>
        <w:t xml:space="preserve"> Every result in Section 5 moves with the two definitions the statute fixes. Measured on the broad entity class, corporate ownership concentrates in the county's Blacker, poorer, and more renter-occupied tracts at 1.23 times the county rate. Measured on the named national operators, the cohort the statute's 350-home threshold describes, ownership concentrates in middle-income homeowner suburbs at 0.88 times the county rate in burdened tracts. The two statements are both true and describe different populations. A study that reports one ratio without the other will mis-describe the market, and a debate conducted as if the two populations were one will mis-aim at both.</w:t>
      </w:r>
    </w:p>
    <w:p>
      <w:pPr>
        <w:spacing w:line="480" w:lineRule="auto" w:before="0" w:after="0"/>
        <w:ind w:firstLine="720"/>
      </w:pPr>
      <w:r>
        <w:rPr>
          <w:rFonts w:ascii="Garamond" w:hAnsi="Garamond"/>
        </w:rPr>
        <w:t>The same lesson governs the homeownership question. A July 2026 analysis for this series regressed the change in neighborhood homeownership from the 2007 to 2011 survey vintage to the 2020 to 2024 vintage on each cohort's share of the tract's single-family stock, controlling for the foreclosure wave and for baseline neighborhood characteristics (Appendix Table A11).</w:t>
      </w:r>
      <w:r>
        <w:rPr>
          <w:rStyle w:val="FootnoteReference"/>
        </w:rPr>
        <w:footnoteReference w:id="127"/>
      </w:r>
      <w:r>
        <w:rPr>
          <w:rFonts w:ascii="Garamond" w:hAnsi="Garamond"/>
        </w:rPr>
        <w:t xml:space="preserve"> On overall homeownership, the broad corporate share is associated with a decline of 0.35 percentage points per point of corporate share, and the named-operator share shows no separable association, because its footprint is small and the outcome is diluted by multifamily housing the operators never hold. On single-family homeownership, the pattern reverses: the named-operator share is associated with a decline of 1.70 percentage points per point of share, and the broad corporate measure is indistinguishable from zero. The outcome has to match the activity and the cohort has to match the statute. Reproducing An's Atlanta result in Davidson County required both, and getting both right is possible only because the ownership here is reconstructed from the deed record and resolved to parents rather than counted from a vendor file that cannot separate the national operators from the broader corporate tide.</w:t>
      </w:r>
      <w:r>
        <w:rPr>
          <w:rStyle w:val="FootnoteReference"/>
        </w:rPr>
        <w:footnoteReference w:id="128"/>
      </w:r>
      <w:r>
        <w:rPr>
          <w:rFonts w:ascii="Garamond" w:hAnsi="Garamond"/>
        </w:rPr>
        <w:t xml:space="preserve"> The analysis is associational, shares that limit with An, and is underpowered on the race-specific outcomes because Davidson has few majority-Black tracts; it bounds the precision, not the direction.</w:t>
      </w:r>
    </w:p>
    <w:p>
      <w:pPr>
        <w:spacing w:line="480" w:lineRule="auto" w:before="0" w:after="0"/>
        <w:ind w:firstLine="720"/>
      </w:pPr>
      <w:r>
        <w:rPr>
          <w:rFonts w:ascii="Garamond" w:hAnsi="Garamond"/>
          <w:b/>
        </w:rPr>
        <w:t>Selection or treatment.</w:t>
      </w:r>
      <w:r>
        <w:rPr>
          <w:rFonts w:ascii="Garamond" w:hAnsi="Garamond"/>
        </w:rPr>
        <w:t xml:space="preserve"> The tract comparisons characterize where concentration sits, not what it does. Two mechanisms are consistent with Finding 5 and the cross-section cannot separate them. The broad corporate class may select into burdened tracts because the houses there are cheap and the rents, relative to price, are high, which is the yield logic that governs every small investor's purchase. Or corporate ownership may contribute to the burden, through conversion of owner-occupied homes to rentals and through the eviction and maintenance practices Part II documents. Harun and Chilton ask whether corporate landlords target growing African American neighborhoods in Nashville, and Finding 5 is consistent with their concern for the broad class and inconsistent with it for the named operators.</w:t>
      </w:r>
      <w:r>
        <w:rPr>
          <w:rStyle w:val="FootnoteReference"/>
        </w:rPr>
        <w:footnoteReference w:id="129"/>
      </w:r>
      <w:r>
        <w:rPr>
          <w:rFonts w:ascii="Garamond" w:hAnsi="Garamond"/>
        </w:rPr>
        <w:t xml:space="preserve"> Their question is about change, and the natural extension, which the series' time-series tract data permit, is the same comparison on tract trajectories from the 2011 vintage to the 2024 vintage. What the cross-section establishes is narrower and firm: in 2026 the corporate ownership of Nashville's single-family homes tracks the county's historical geography of disinvestment for the small-owner class and runs away from it for the national operators.</w:t>
      </w:r>
    </w:p>
    <w:p>
      <w:pPr>
        <w:spacing w:line="480" w:lineRule="auto" w:before="0" w:after="0"/>
        <w:ind w:firstLine="720"/>
      </w:pPr>
      <w:r>
        <w:rPr>
          <w:rFonts w:ascii="Garamond" w:hAnsi="Garamond"/>
          <w:b/>
        </w:rPr>
        <w:t>The threshold and the map.</w:t>
      </w:r>
      <w:r>
        <w:rPr>
          <w:rFonts w:ascii="Garamond" w:hAnsi="Garamond"/>
        </w:rPr>
        <w:t xml:space="preserve"> Section 2 showed that the statute's definitions bind three Davidson owner groups and leave 82 percent of the entity-owned stock with its owners. Finding 5 shows which 82 percent. The homes the ban leaves alone are disproportionately the homes in the county's burdened tracts, owned by the local companies and small investors whose conduct no federal provision reaches and whose registration, as Part II shows, the city has largely failed to collect. The homes the ban freezes in place are the operators' suburban portfolios, which the no-divestiture clause at (b)(3)(A) leaves at their 2026 peak. The statute's effect on the Davidson map, then, is to stop the operators' expansion in the suburbs where they already stopped expanding in 2023, and to leave the burdened-tract ownership pattern to local law. That is not an argument against the threshold. It is a description of what the threshold reaches, and it locates the policy work the threshold leaves undone at the county and the city.</w:t>
      </w:r>
    </w:p>
    <w:p>
      <w:pPr>
        <w:spacing w:line="480" w:lineRule="auto" w:before="0" w:after="0"/>
        <w:ind w:firstLine="720"/>
      </w:pPr>
      <w:r>
        <w:rPr>
          <w:rFonts w:ascii="Garamond" w:hAnsi="Garamond"/>
          <w:b/>
        </w:rPr>
        <w:t>The count as infrastructure.</w:t>
      </w:r>
      <w:r>
        <w:rPr>
          <w:rFonts w:ascii="Garamond" w:hAnsi="Garamond"/>
        </w:rPr>
        <w:t xml:space="preserve"> The deepest finding of this Part is the one its method required. A statute whose trigger is the number of homes an entity controls presupposes a count, and the count is performable only by tracing 9,973 entities to 97 parents through filings scattered across four public registries that no agency joins. The series performed the trace for one county at parcel granularity and found 3,940 homes under the named operators and 4,626 under all attributed parents. A reader who doubts a number can replay the query; a regulator who needs the number for the statute's own enforcement has nowhere else to get it. The Recommendations begin there.</w:t>
      </w:r>
    </w:p>
    <w:p>
      <w:pPr>
        <w:pStyle w:val="Heading1"/>
        <w:spacing w:before="360"/>
      </w:pPr>
      <w:r>
        <w:t>Recommendations</w:t>
      </w:r>
    </w:p>
    <w:p>
      <w:pPr>
        <w:spacing w:line="480" w:lineRule="auto" w:before="0" w:after="0"/>
        <w:ind w:firstLine="720"/>
      </w:pPr>
      <w:r>
        <w:rPr>
          <w:rFonts w:ascii="Garamond" w:hAnsi="Garamond"/>
        </w:rPr>
        <w:t>The findings support four measures, each grounded in an instrument that already exists.</w:t>
      </w:r>
    </w:p>
    <w:p>
      <w:pPr>
        <w:spacing w:line="480" w:lineRule="auto" w:before="0" w:after="0"/>
        <w:ind w:firstLine="720"/>
      </w:pPr>
      <w:r>
        <w:rPr>
          <w:rFonts w:ascii="Garamond" w:hAnsi="Garamond"/>
        </w:rPr>
        <w:t>First, build the count the statute assumes. Section 1001(a)(3) defines the covered entity by the number of homes it controls through its subsidiaries, advisees, and equity holdings, and no public record holds that number. Congress, or the Secretary of the Treasury, who enforces the section under § 1001(d)(1), should require every for-profit entity controlling 350 or more single-family homes to file an annual parcel-level schedule of the homes it controls and the entities that hold them, in the form the operators already produce for their securitization trustees and their annual-report subsidiary exhibits.</w:t>
      </w:r>
      <w:r>
        <w:rPr>
          <w:rStyle w:val="FootnoteReference"/>
        </w:rPr>
        <w:footnoteReference w:id="130"/>
      </w:r>
      <w:r>
        <w:rPr>
          <w:rFonts w:ascii="Garamond" w:hAnsi="Garamond"/>
        </w:rPr>
        <w:t xml:space="preserve"> The schedule costs the operators nothing they do not already compile, and it converts the control test from a definition into a fact.</w:t>
      </w:r>
    </w:p>
    <w:p>
      <w:pPr>
        <w:spacing w:line="480" w:lineRule="auto" w:before="0" w:after="0"/>
        <w:ind w:firstLine="720"/>
      </w:pPr>
      <w:r>
        <w:rPr>
          <w:rFonts w:ascii="Garamond" w:hAnsi="Garamond"/>
        </w:rPr>
        <w:t>Second, add the parent to the deed. Tennessee's recording statute fixes what a recorded instrument must carry, and the General Assembly can require a conveyance to a business entity to state the entity's manager or controlling parent on the face of the instrument, as the Register of Deeds already requires the grantee's mailing address for the tax bill.</w:t>
      </w:r>
      <w:r>
        <w:rPr>
          <w:rStyle w:val="FootnoteReference"/>
        </w:rPr>
        <w:footnoteReference w:id="131"/>
      </w:r>
      <w:r>
        <w:rPr>
          <w:rFonts w:ascii="Garamond" w:hAnsi="Garamond"/>
        </w:rPr>
        <w:t xml:space="preserve"> A conveyance to PR Borrower 26, LLC would then say Pretium on its face, and the attribution this Part performed by inference would become a matter of record. The requirement reaches the local company and the national operator alike, which is the class the federal threshold misses.</w:t>
      </w:r>
    </w:p>
    <w:p>
      <w:pPr>
        <w:spacing w:line="480" w:lineRule="auto" w:before="0" w:after="0"/>
        <w:ind w:firstLine="720"/>
      </w:pPr>
      <w:r>
        <w:rPr>
          <w:rFonts w:ascii="Garamond" w:hAnsi="Garamond"/>
        </w:rPr>
        <w:t>Third, make Metro's registration name the parent. Chapter 16.33 of the Metro Code already requires the owner of a non-owner-occupied rental to register and name a local agent, and the registration form can require the registrant to state its parent entity and the number of Davidson County rentals the parent controls.</w:t>
      </w:r>
      <w:r>
        <w:rPr>
          <w:rStyle w:val="FootnoteReference"/>
        </w:rPr>
        <w:footnoteReference w:id="132"/>
      </w:r>
      <w:r>
        <w:rPr>
          <w:rFonts w:ascii="Garamond" w:hAnsi="Garamond"/>
        </w:rPr>
        <w:t xml:space="preserve"> Part II shows how far the registration requirement currently reaches; this change makes the registrations it does collect count the right thing.</w:t>
      </w:r>
    </w:p>
    <w:p>
      <w:pPr>
        <w:spacing w:line="480" w:lineRule="auto" w:before="0" w:after="0"/>
        <w:ind w:firstLine="720"/>
      </w:pPr>
      <w:r>
        <w:rPr>
          <w:rFonts w:ascii="Garamond" w:hAnsi="Garamond"/>
        </w:rPr>
        <w:t>Fourth, aim local policy where the burden sits. The federal threshold reaches the suburban portfolios of the national operators. The ownership that concentrates in the county's burdened tracts belongs to owners below the line, and the instruments that reach them are local: registration enforcement under chapter 16.33, rental inspection districts under Tennessee's rental inspection statute, and the eviction and code records that Part II reads.</w:t>
      </w:r>
      <w:r>
        <w:rPr>
          <w:rStyle w:val="FootnoteReference"/>
        </w:rPr>
        <w:footnoteReference w:id="133"/>
      </w:r>
      <w:r>
        <w:rPr>
          <w:rFonts w:ascii="Garamond" w:hAnsi="Garamond"/>
        </w:rPr>
        <w:t xml:space="preserve"> A city that measures corporate ownership by the federal definition alone will measure the wrong neighborhoods.</w:t>
      </w:r>
    </w:p>
    <w:p>
      <w:pPr>
        <w:spacing w:line="480" w:lineRule="auto" w:before="0" w:after="0"/>
        <w:ind w:firstLine="720"/>
      </w:pPr>
      <w:r>
        <w:rPr>
          <w:rFonts w:ascii="Garamond" w:hAnsi="Garamond"/>
        </w:rPr>
        <w:t>The series publishes its crosswalk, its registry, and its tract tables in the online data appendix so that the count is public infrastructure rather than a private finding.</w:t>
      </w:r>
      <w:r>
        <w:rPr>
          <w:rStyle w:val="FootnoteReference"/>
        </w:rPr>
        <w:footnoteReference w:id="134"/>
      </w:r>
    </w:p>
    <w:p>
      <w:pPr>
        <w:pStyle w:val="Heading1"/>
        <w:spacing w:before="360"/>
      </w:pPr>
      <w:r>
        <w:t>Conclusion</w:t>
      </w:r>
    </w:p>
    <w:p>
      <w:pPr>
        <w:spacing w:line="480" w:lineRule="auto" w:before="0" w:after="0"/>
        <w:ind w:firstLine="720"/>
      </w:pPr>
      <w:r>
        <w:rPr>
          <w:rFonts w:ascii="Garamond" w:hAnsi="Garamond"/>
        </w:rPr>
        <w:t>The house in Antioch is not an anomaly. It is one of 1,211 whose tax bills reach the same Scottsdale box, one of 1,222 that Progress Residential holds in Davidson County through seventy-one recorded names, one of 3,940 under the national operators, one of 16,615 under corporate entities of every size, and one of 205,933 that the statute defines as a single-family home. This Part counted all of them from the public record and found a market that the literature built on Atlanta did not predict. Individuals still own five homes in six. The corporate slice is real, concentrated, and engineered to resist counting, with three owner groups holding nearly a fifth of it through hundreds of recorded names. And the slice has two geographies: the small owners' concentration tracks the county's historical geography of disinvestment, and the national operators' concentration runs the other way, into the affordable end of the homeowner suburbs, where they stopped buying in 2023 and have not started selling.</w:t>
      </w:r>
    </w:p>
    <w:p>
      <w:pPr>
        <w:spacing w:line="480" w:lineRule="auto" w:before="0" w:after="0"/>
        <w:ind w:firstLine="720"/>
      </w:pPr>
      <w:r>
        <w:rPr>
          <w:rFonts w:ascii="Garamond" w:hAnsi="Garamond"/>
        </w:rPr>
        <w:t>The federal statute reaches the second geography and freezes it. It does not reach the first. What it reaches, it reaches only if someone performs the count its definitions assume, and this Part performed it for one county. A title search ends where a tenancy begins. Part II turns to the people inside the houses, to the registration ordinance that was supposed to name their landlords, and to the eviction docket where two of the operators counted here account for most of the identified institutional filings while a third, with more homes than either, has filed almost none.</w:t>
      </w:r>
    </w:p>
    <w:p>
      <w:pPr>
        <w:pStyle w:val="Heading1"/>
        <w:spacing w:before="360"/>
      </w:pPr>
      <w:r>
        <w:t>APPENDIX</w:t>
      </w:r>
    </w:p>
    <w:p>
      <w:pPr>
        <w:pStyle w:val="Heading2"/>
      </w:pPr>
      <w:r>
        <w:t>Table A1. Operator Holdings of Framework Single-Family Parcels, Davidson County, July 22, 2026</w:t>
      </w:r>
    </w:p>
    <w:p>
      <w:pPr>
        <w:spacing w:line="480" w:lineRule="auto" w:before="0" w:after="0"/>
        <w:ind w:firstLine="720"/>
      </w:pPr>
      <w:r>
        <w:rPr>
          <w:rFonts w:ascii="Garamond" w:hAnsi="Garamond"/>
        </w:rPr>
        <w:t>Framework parcels per the series' operator crosswalk applied to the Davidson cadastral owner field, July 22, 2026 rollup. Named national single-family rental operators total 3,940; all attributed operators, including builders, build-to-rent platforms, and land bankers, total 4,626. Parenthetical labels mark the entity type where the operator is not a scattered-site rental operator.</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4680"/>
        <w:gridCol w:w="4680"/>
      </w:tblGrid>
      <w:tr>
        <w:tc>
          <w:tcPr>
            <w:tcW w:type="dxa" w:w="4680"/>
            <w:tcBorders>
              <w:bottom w:val="single" w:sz="4" w:color="000000"/>
            </w:tcBorders>
          </w:tcPr>
          <w:p>
            <w:pPr>
              <w:spacing w:line="240" w:lineRule="auto"/>
            </w:pPr>
            <w:r>
              <w:rPr>
                <w:b/>
              </w:rPr>
            </w:r>
            <w:r>
              <w:rPr>
                <w:rFonts w:ascii="Garamond" w:hAnsi="Garamond"/>
                <w:b/>
                <w:sz w:val="18"/>
              </w:rPr>
              <w:t>Operator</w:t>
            </w:r>
          </w:p>
        </w:tc>
        <w:tc>
          <w:tcPr>
            <w:tcW w:type="dxa" w:w="4680"/>
            <w:tcBorders>
              <w:bottom w:val="single" w:sz="4" w:color="000000"/>
            </w:tcBorders>
          </w:tcPr>
          <w:p>
            <w:pPr>
              <w:spacing w:line="240" w:lineRule="auto"/>
            </w:pPr>
            <w:r>
              <w:rPr>
                <w:b/>
              </w:rPr>
            </w:r>
            <w:r>
              <w:rPr>
                <w:rFonts w:ascii="Garamond" w:hAnsi="Garamond"/>
                <w:b/>
                <w:sz w:val="18"/>
              </w:rPr>
              <w:t>Framework parcels</w:t>
            </w:r>
          </w:p>
        </w:tc>
      </w:tr>
      <w:tr>
        <w:tc>
          <w:tcPr>
            <w:tcW w:type="dxa" w:w="4680"/>
          </w:tcPr>
          <w:p>
            <w:pPr>
              <w:spacing w:line="240" w:lineRule="auto"/>
            </w:pPr>
            <w:r/>
            <w:r>
              <w:rPr>
                <w:rFonts w:ascii="Garamond" w:hAnsi="Garamond"/>
                <w:sz w:val="18"/>
              </w:rPr>
              <w:t>Progress Residential (Pretium Partners)</w:t>
            </w:r>
          </w:p>
        </w:tc>
        <w:tc>
          <w:tcPr>
            <w:tcW w:type="dxa" w:w="4680"/>
          </w:tcPr>
          <w:p>
            <w:pPr>
              <w:spacing w:line="240" w:lineRule="auto"/>
              <w:jc w:val="right"/>
            </w:pPr>
            <w:r/>
            <w:r>
              <w:rPr>
                <w:rFonts w:ascii="Garamond" w:hAnsi="Garamond"/>
                <w:sz w:val="18"/>
              </w:rPr>
              <w:t>1,222</w:t>
            </w:r>
          </w:p>
        </w:tc>
      </w:tr>
      <w:tr>
        <w:tc>
          <w:tcPr>
            <w:tcW w:type="dxa" w:w="4680"/>
          </w:tcPr>
          <w:p>
            <w:pPr>
              <w:spacing w:line="240" w:lineRule="auto"/>
            </w:pPr>
            <w:r/>
            <w:r>
              <w:rPr>
                <w:rFonts w:ascii="Garamond" w:hAnsi="Garamond"/>
                <w:sz w:val="18"/>
              </w:rPr>
              <w:t>American Homes 4 Rent</w:t>
            </w:r>
          </w:p>
        </w:tc>
        <w:tc>
          <w:tcPr>
            <w:tcW w:type="dxa" w:w="4680"/>
          </w:tcPr>
          <w:p>
            <w:pPr>
              <w:spacing w:line="240" w:lineRule="auto"/>
              <w:jc w:val="right"/>
            </w:pPr>
            <w:r/>
            <w:r>
              <w:rPr>
                <w:rFonts w:ascii="Garamond" w:hAnsi="Garamond"/>
                <w:sz w:val="18"/>
              </w:rPr>
              <w:t>1,173</w:t>
            </w:r>
          </w:p>
        </w:tc>
      </w:tr>
      <w:tr>
        <w:tc>
          <w:tcPr>
            <w:tcW w:type="dxa" w:w="4680"/>
          </w:tcPr>
          <w:p>
            <w:pPr>
              <w:spacing w:line="240" w:lineRule="auto"/>
            </w:pPr>
            <w:r/>
            <w:r>
              <w:rPr>
                <w:rFonts w:ascii="Garamond" w:hAnsi="Garamond"/>
                <w:sz w:val="18"/>
              </w:rPr>
              <w:t>Amherst Residential / Main Street Renewal</w:t>
            </w:r>
          </w:p>
        </w:tc>
        <w:tc>
          <w:tcPr>
            <w:tcW w:type="dxa" w:w="4680"/>
          </w:tcPr>
          <w:p>
            <w:pPr>
              <w:spacing w:line="240" w:lineRule="auto"/>
              <w:jc w:val="right"/>
            </w:pPr>
            <w:r/>
            <w:r>
              <w:rPr>
                <w:rFonts w:ascii="Garamond" w:hAnsi="Garamond"/>
                <w:sz w:val="18"/>
              </w:rPr>
              <w:t>657</w:t>
            </w:r>
          </w:p>
        </w:tc>
      </w:tr>
      <w:tr>
        <w:tc>
          <w:tcPr>
            <w:tcW w:type="dxa" w:w="4680"/>
          </w:tcPr>
          <w:p>
            <w:pPr>
              <w:spacing w:line="240" w:lineRule="auto"/>
            </w:pPr>
            <w:r/>
            <w:r>
              <w:rPr>
                <w:rFonts w:ascii="Garamond" w:hAnsi="Garamond"/>
                <w:sz w:val="18"/>
              </w:rPr>
              <w:t>Normandy Group (build-to-rent, local)</w:t>
            </w:r>
          </w:p>
        </w:tc>
        <w:tc>
          <w:tcPr>
            <w:tcW w:type="dxa" w:w="4680"/>
          </w:tcPr>
          <w:p>
            <w:pPr>
              <w:spacing w:line="240" w:lineRule="auto"/>
              <w:jc w:val="right"/>
            </w:pPr>
            <w:r/>
            <w:r>
              <w:rPr>
                <w:rFonts w:ascii="Garamond" w:hAnsi="Garamond"/>
                <w:sz w:val="18"/>
              </w:rPr>
              <w:t>302</w:t>
            </w:r>
          </w:p>
        </w:tc>
      </w:tr>
      <w:tr>
        <w:tc>
          <w:tcPr>
            <w:tcW w:type="dxa" w:w="4680"/>
          </w:tcPr>
          <w:p>
            <w:pPr>
              <w:spacing w:line="240" w:lineRule="auto"/>
            </w:pPr>
            <w:r/>
            <w:r>
              <w:rPr>
                <w:rFonts w:ascii="Garamond" w:hAnsi="Garamond"/>
                <w:sz w:val="18"/>
              </w:rPr>
              <w:t>Tricon Residential (Blackstone)</w:t>
            </w:r>
          </w:p>
        </w:tc>
        <w:tc>
          <w:tcPr>
            <w:tcW w:type="dxa" w:w="4680"/>
          </w:tcPr>
          <w:p>
            <w:pPr>
              <w:spacing w:line="240" w:lineRule="auto"/>
              <w:jc w:val="right"/>
            </w:pPr>
            <w:r/>
            <w:r>
              <w:rPr>
                <w:rFonts w:ascii="Garamond" w:hAnsi="Garamond"/>
                <w:sz w:val="18"/>
              </w:rPr>
              <w:t>276</w:t>
            </w:r>
          </w:p>
        </w:tc>
      </w:tr>
      <w:tr>
        <w:tc>
          <w:tcPr>
            <w:tcW w:type="dxa" w:w="4680"/>
          </w:tcPr>
          <w:p>
            <w:pPr>
              <w:spacing w:line="240" w:lineRule="auto"/>
            </w:pPr>
            <w:r/>
            <w:r>
              <w:rPr>
                <w:rFonts w:ascii="Garamond" w:hAnsi="Garamond"/>
                <w:sz w:val="18"/>
              </w:rPr>
              <w:t>Starwood Capital</w:t>
            </w:r>
          </w:p>
        </w:tc>
        <w:tc>
          <w:tcPr>
            <w:tcW w:type="dxa" w:w="4680"/>
          </w:tcPr>
          <w:p>
            <w:pPr>
              <w:spacing w:line="240" w:lineRule="auto"/>
              <w:jc w:val="right"/>
            </w:pPr>
            <w:r/>
            <w:r>
              <w:rPr>
                <w:rFonts w:ascii="Garamond" w:hAnsi="Garamond"/>
                <w:sz w:val="18"/>
              </w:rPr>
              <w:t>251</w:t>
            </w:r>
          </w:p>
        </w:tc>
      </w:tr>
      <w:tr>
        <w:tc>
          <w:tcPr>
            <w:tcW w:type="dxa" w:w="4680"/>
          </w:tcPr>
          <w:p>
            <w:pPr>
              <w:spacing w:line="240" w:lineRule="auto"/>
            </w:pPr>
            <w:r/>
            <w:r>
              <w:rPr>
                <w:rFonts w:ascii="Garamond" w:hAnsi="Garamond"/>
                <w:sz w:val="18"/>
              </w:rPr>
              <w:t>Maymont Homes (Brookfield)</w:t>
            </w:r>
          </w:p>
        </w:tc>
        <w:tc>
          <w:tcPr>
            <w:tcW w:type="dxa" w:w="4680"/>
          </w:tcPr>
          <w:p>
            <w:pPr>
              <w:spacing w:line="240" w:lineRule="auto"/>
              <w:jc w:val="right"/>
            </w:pPr>
            <w:r/>
            <w:r>
              <w:rPr>
                <w:rFonts w:ascii="Garamond" w:hAnsi="Garamond"/>
                <w:sz w:val="18"/>
              </w:rPr>
              <w:t>105</w:t>
            </w:r>
          </w:p>
        </w:tc>
      </w:tr>
      <w:tr>
        <w:tc>
          <w:tcPr>
            <w:tcW w:type="dxa" w:w="4680"/>
          </w:tcPr>
          <w:p>
            <w:pPr>
              <w:spacing w:line="240" w:lineRule="auto"/>
            </w:pPr>
            <w:r/>
            <w:r>
              <w:rPr>
                <w:rFonts w:ascii="Garamond" w:hAnsi="Garamond"/>
                <w:sz w:val="18"/>
              </w:rPr>
              <w:t>Walton Global (land bank)</w:t>
            </w:r>
          </w:p>
        </w:tc>
        <w:tc>
          <w:tcPr>
            <w:tcW w:type="dxa" w:w="4680"/>
          </w:tcPr>
          <w:p>
            <w:pPr>
              <w:spacing w:line="240" w:lineRule="auto"/>
              <w:jc w:val="right"/>
            </w:pPr>
            <w:r/>
            <w:r>
              <w:rPr>
                <w:rFonts w:ascii="Garamond" w:hAnsi="Garamond"/>
                <w:sz w:val="18"/>
              </w:rPr>
              <w:t>103</w:t>
            </w:r>
          </w:p>
        </w:tc>
      </w:tr>
      <w:tr>
        <w:tc>
          <w:tcPr>
            <w:tcW w:type="dxa" w:w="4680"/>
          </w:tcPr>
          <w:p>
            <w:pPr>
              <w:spacing w:line="240" w:lineRule="auto"/>
            </w:pPr>
            <w:r/>
            <w:r>
              <w:rPr>
                <w:rFonts w:ascii="Garamond" w:hAnsi="Garamond"/>
                <w:sz w:val="18"/>
              </w:rPr>
              <w:t>My Community Homes (KKR)</w:t>
            </w:r>
          </w:p>
        </w:tc>
        <w:tc>
          <w:tcPr>
            <w:tcW w:type="dxa" w:w="4680"/>
          </w:tcPr>
          <w:p>
            <w:pPr>
              <w:spacing w:line="240" w:lineRule="auto"/>
              <w:jc w:val="right"/>
            </w:pPr>
            <w:r/>
            <w:r>
              <w:rPr>
                <w:rFonts w:ascii="Garamond" w:hAnsi="Garamond"/>
                <w:sz w:val="18"/>
              </w:rPr>
              <w:t>100</w:t>
            </w:r>
          </w:p>
        </w:tc>
      </w:tr>
      <w:tr>
        <w:tc>
          <w:tcPr>
            <w:tcW w:type="dxa" w:w="4680"/>
          </w:tcPr>
          <w:p>
            <w:pPr>
              <w:spacing w:line="240" w:lineRule="auto"/>
            </w:pPr>
            <w:r/>
            <w:r>
              <w:rPr>
                <w:rFonts w:ascii="Garamond" w:hAnsi="Garamond"/>
                <w:sz w:val="18"/>
              </w:rPr>
              <w:t>FirstKey Homes (Cerberus)</w:t>
            </w:r>
          </w:p>
        </w:tc>
        <w:tc>
          <w:tcPr>
            <w:tcW w:type="dxa" w:w="4680"/>
          </w:tcPr>
          <w:p>
            <w:pPr>
              <w:spacing w:line="240" w:lineRule="auto"/>
              <w:jc w:val="right"/>
            </w:pPr>
            <w:r/>
            <w:r>
              <w:rPr>
                <w:rFonts w:ascii="Garamond" w:hAnsi="Garamond"/>
                <w:sz w:val="18"/>
              </w:rPr>
              <w:t>92</w:t>
            </w:r>
          </w:p>
        </w:tc>
      </w:tr>
      <w:tr>
        <w:tc>
          <w:tcPr>
            <w:tcW w:type="dxa" w:w="4680"/>
          </w:tcPr>
          <w:p>
            <w:pPr>
              <w:spacing w:line="240" w:lineRule="auto"/>
            </w:pPr>
            <w:r/>
            <w:r>
              <w:rPr>
                <w:rFonts w:ascii="Garamond" w:hAnsi="Garamond"/>
                <w:sz w:val="18"/>
              </w:rPr>
              <w:t>RESICAP</w:t>
            </w:r>
          </w:p>
        </w:tc>
        <w:tc>
          <w:tcPr>
            <w:tcW w:type="dxa" w:w="4680"/>
          </w:tcPr>
          <w:p>
            <w:pPr>
              <w:spacing w:line="240" w:lineRule="auto"/>
              <w:jc w:val="right"/>
            </w:pPr>
            <w:r/>
            <w:r>
              <w:rPr>
                <w:rFonts w:ascii="Garamond" w:hAnsi="Garamond"/>
                <w:sz w:val="18"/>
              </w:rPr>
              <w:t>64</w:t>
            </w:r>
          </w:p>
        </w:tc>
      </w:tr>
      <w:tr>
        <w:tc>
          <w:tcPr>
            <w:tcW w:type="dxa" w:w="4680"/>
          </w:tcPr>
          <w:p>
            <w:pPr>
              <w:spacing w:line="240" w:lineRule="auto"/>
            </w:pPr>
            <w:r/>
            <w:r>
              <w:rPr>
                <w:rFonts w:ascii="Garamond" w:hAnsi="Garamond"/>
                <w:sz w:val="18"/>
              </w:rPr>
              <w:t>Opendoor (iBuyer)</w:t>
            </w:r>
          </w:p>
        </w:tc>
        <w:tc>
          <w:tcPr>
            <w:tcW w:type="dxa" w:w="4680"/>
          </w:tcPr>
          <w:p>
            <w:pPr>
              <w:spacing w:line="240" w:lineRule="auto"/>
              <w:jc w:val="right"/>
            </w:pPr>
            <w:r/>
            <w:r>
              <w:rPr>
                <w:rFonts w:ascii="Garamond" w:hAnsi="Garamond"/>
                <w:sz w:val="18"/>
              </w:rPr>
              <w:t>60</w:t>
            </w:r>
          </w:p>
        </w:tc>
      </w:tr>
      <w:tr>
        <w:tc>
          <w:tcPr>
            <w:tcW w:type="dxa" w:w="4680"/>
          </w:tcPr>
          <w:p>
            <w:pPr>
              <w:spacing w:line="240" w:lineRule="auto"/>
            </w:pPr>
            <w:r/>
            <w:r>
              <w:rPr>
                <w:rFonts w:ascii="Garamond" w:hAnsi="Garamond"/>
                <w:sz w:val="18"/>
              </w:rPr>
              <w:t>VineBrook Homes</w:t>
            </w:r>
          </w:p>
        </w:tc>
        <w:tc>
          <w:tcPr>
            <w:tcW w:type="dxa" w:w="4680"/>
          </w:tcPr>
          <w:p>
            <w:pPr>
              <w:spacing w:line="240" w:lineRule="auto"/>
              <w:jc w:val="right"/>
            </w:pPr>
            <w:r/>
            <w:r>
              <w:rPr>
                <w:rFonts w:ascii="Garamond" w:hAnsi="Garamond"/>
                <w:sz w:val="18"/>
              </w:rPr>
              <w:t>59</w:t>
            </w:r>
          </w:p>
        </w:tc>
      </w:tr>
      <w:tr>
        <w:tc>
          <w:tcPr>
            <w:tcW w:type="dxa" w:w="4680"/>
          </w:tcPr>
          <w:p>
            <w:pPr>
              <w:spacing w:line="240" w:lineRule="auto"/>
            </w:pPr>
            <w:r/>
            <w:r>
              <w:rPr>
                <w:rFonts w:ascii="Garamond" w:hAnsi="Garamond"/>
                <w:sz w:val="18"/>
              </w:rPr>
              <w:t>Crestbrook (build-to-rent)</w:t>
            </w:r>
          </w:p>
        </w:tc>
        <w:tc>
          <w:tcPr>
            <w:tcW w:type="dxa" w:w="4680"/>
          </w:tcPr>
          <w:p>
            <w:pPr>
              <w:spacing w:line="240" w:lineRule="auto"/>
              <w:jc w:val="right"/>
            </w:pPr>
            <w:r/>
            <w:r>
              <w:rPr>
                <w:rFonts w:ascii="Garamond" w:hAnsi="Garamond"/>
                <w:sz w:val="18"/>
              </w:rPr>
              <w:t>54</w:t>
            </w:r>
          </w:p>
        </w:tc>
      </w:tr>
      <w:tr>
        <w:tc>
          <w:tcPr>
            <w:tcW w:type="dxa" w:w="4680"/>
          </w:tcPr>
          <w:p>
            <w:pPr>
              <w:spacing w:line="240" w:lineRule="auto"/>
            </w:pPr>
            <w:r/>
            <w:r>
              <w:rPr>
                <w:rFonts w:ascii="Garamond" w:hAnsi="Garamond"/>
                <w:sz w:val="18"/>
              </w:rPr>
              <w:t>ECG (builder)</w:t>
            </w:r>
          </w:p>
        </w:tc>
        <w:tc>
          <w:tcPr>
            <w:tcW w:type="dxa" w:w="4680"/>
          </w:tcPr>
          <w:p>
            <w:pPr>
              <w:spacing w:line="240" w:lineRule="auto"/>
              <w:jc w:val="right"/>
            </w:pPr>
            <w:r/>
            <w:r>
              <w:rPr>
                <w:rFonts w:ascii="Garamond" w:hAnsi="Garamond"/>
                <w:sz w:val="18"/>
              </w:rPr>
              <w:t>53</w:t>
            </w:r>
          </w:p>
        </w:tc>
      </w:tr>
      <w:tr>
        <w:tc>
          <w:tcPr>
            <w:tcW w:type="dxa" w:w="4680"/>
          </w:tcPr>
          <w:p>
            <w:pPr>
              <w:spacing w:line="240" w:lineRule="auto"/>
            </w:pPr>
            <w:r/>
            <w:r>
              <w:rPr>
                <w:rFonts w:ascii="Garamond" w:hAnsi="Garamond"/>
                <w:sz w:val="18"/>
              </w:rPr>
              <w:t>Rithm Capital</w:t>
            </w:r>
          </w:p>
        </w:tc>
        <w:tc>
          <w:tcPr>
            <w:tcW w:type="dxa" w:w="4680"/>
          </w:tcPr>
          <w:p>
            <w:pPr>
              <w:spacing w:line="240" w:lineRule="auto"/>
              <w:jc w:val="right"/>
            </w:pPr>
            <w:r/>
            <w:r>
              <w:rPr>
                <w:rFonts w:ascii="Garamond" w:hAnsi="Garamond"/>
                <w:sz w:val="18"/>
              </w:rPr>
              <w:t>52</w:t>
            </w:r>
          </w:p>
        </w:tc>
      </w:tr>
      <w:tr>
        <w:tc>
          <w:tcPr>
            <w:tcW w:type="dxa" w:w="4680"/>
          </w:tcPr>
          <w:p>
            <w:pPr>
              <w:spacing w:line="240" w:lineRule="auto"/>
            </w:pPr>
            <w:r/>
            <w:r>
              <w:rPr>
                <w:rFonts w:ascii="Garamond" w:hAnsi="Garamond"/>
                <w:sz w:val="18"/>
              </w:rPr>
              <w:t>ACPF / CBRE Investment Management</w:t>
            </w:r>
          </w:p>
        </w:tc>
        <w:tc>
          <w:tcPr>
            <w:tcW w:type="dxa" w:w="4680"/>
          </w:tcPr>
          <w:p>
            <w:pPr>
              <w:spacing w:line="240" w:lineRule="auto"/>
              <w:jc w:val="right"/>
            </w:pPr>
            <w:r/>
            <w:r>
              <w:rPr>
                <w:rFonts w:ascii="Garamond" w:hAnsi="Garamond"/>
                <w:sz w:val="18"/>
              </w:rPr>
              <w:t>46</w:t>
            </w:r>
          </w:p>
        </w:tc>
      </w:tr>
      <w:tr>
        <w:tc>
          <w:tcPr>
            <w:tcW w:type="dxa" w:w="4680"/>
          </w:tcPr>
          <w:p>
            <w:pPr>
              <w:spacing w:line="240" w:lineRule="auto"/>
            </w:pPr>
            <w:r/>
            <w:r>
              <w:rPr>
                <w:rFonts w:ascii="Garamond" w:hAnsi="Garamond"/>
                <w:sz w:val="18"/>
              </w:rPr>
              <w:t>Porchlight (build-to-rent)</w:t>
            </w:r>
          </w:p>
        </w:tc>
        <w:tc>
          <w:tcPr>
            <w:tcW w:type="dxa" w:w="4680"/>
          </w:tcPr>
          <w:p>
            <w:pPr>
              <w:spacing w:line="240" w:lineRule="auto"/>
              <w:jc w:val="right"/>
            </w:pPr>
            <w:r/>
            <w:r>
              <w:rPr>
                <w:rFonts w:ascii="Garamond" w:hAnsi="Garamond"/>
                <w:sz w:val="18"/>
              </w:rPr>
              <w:t>43</w:t>
            </w:r>
          </w:p>
        </w:tc>
      </w:tr>
      <w:tr>
        <w:tc>
          <w:tcPr>
            <w:tcW w:type="dxa" w:w="4680"/>
          </w:tcPr>
          <w:p>
            <w:pPr>
              <w:spacing w:line="240" w:lineRule="auto"/>
            </w:pPr>
            <w:r/>
            <w:r>
              <w:rPr>
                <w:rFonts w:ascii="Garamond" w:hAnsi="Garamond"/>
                <w:sz w:val="18"/>
              </w:rPr>
              <w:t>Century Communities (builder)</w:t>
            </w:r>
          </w:p>
        </w:tc>
        <w:tc>
          <w:tcPr>
            <w:tcW w:type="dxa" w:w="4680"/>
          </w:tcPr>
          <w:p>
            <w:pPr>
              <w:spacing w:line="240" w:lineRule="auto"/>
              <w:jc w:val="right"/>
            </w:pPr>
            <w:r/>
            <w:r>
              <w:rPr>
                <w:rFonts w:ascii="Garamond" w:hAnsi="Garamond"/>
                <w:sz w:val="18"/>
              </w:rPr>
              <w:t>37</w:t>
            </w:r>
          </w:p>
        </w:tc>
      </w:tr>
      <w:tr>
        <w:tc>
          <w:tcPr>
            <w:tcW w:type="dxa" w:w="4680"/>
          </w:tcPr>
          <w:p>
            <w:pPr>
              <w:spacing w:line="240" w:lineRule="auto"/>
            </w:pPr>
            <w:r/>
            <w:r>
              <w:rPr>
                <w:rFonts w:ascii="Garamond" w:hAnsi="Garamond"/>
                <w:sz w:val="18"/>
              </w:rPr>
              <w:t>Sparrow / Nuveen (Invitation-managed)</w:t>
            </w:r>
          </w:p>
        </w:tc>
        <w:tc>
          <w:tcPr>
            <w:tcW w:type="dxa" w:w="4680"/>
          </w:tcPr>
          <w:p>
            <w:pPr>
              <w:spacing w:line="240" w:lineRule="auto"/>
              <w:jc w:val="right"/>
            </w:pPr>
            <w:r/>
            <w:r>
              <w:rPr>
                <w:rFonts w:ascii="Garamond" w:hAnsi="Garamond"/>
                <w:sz w:val="18"/>
              </w:rPr>
              <w:t>37</w:t>
            </w:r>
          </w:p>
        </w:tc>
      </w:tr>
      <w:tr>
        <w:tc>
          <w:tcPr>
            <w:tcW w:type="dxa" w:w="4680"/>
          </w:tcPr>
          <w:p>
            <w:pPr>
              <w:spacing w:line="240" w:lineRule="auto"/>
            </w:pPr>
            <w:r/>
            <w:r>
              <w:rPr>
                <w:rFonts w:ascii="Garamond" w:hAnsi="Garamond"/>
                <w:sz w:val="18"/>
              </w:rPr>
              <w:t>Grandview Partners (Thornton Grove)</w:t>
            </w:r>
          </w:p>
        </w:tc>
        <w:tc>
          <w:tcPr>
            <w:tcW w:type="dxa" w:w="4680"/>
          </w:tcPr>
          <w:p>
            <w:pPr>
              <w:spacing w:line="240" w:lineRule="auto"/>
              <w:jc w:val="right"/>
            </w:pPr>
            <w:r/>
            <w:r>
              <w:rPr>
                <w:rFonts w:ascii="Garamond" w:hAnsi="Garamond"/>
                <w:sz w:val="18"/>
              </w:rPr>
              <w:t>29</w:t>
            </w:r>
          </w:p>
        </w:tc>
      </w:tr>
      <w:tr>
        <w:tc>
          <w:tcPr>
            <w:tcW w:type="dxa" w:w="4680"/>
          </w:tcPr>
          <w:p>
            <w:pPr>
              <w:spacing w:line="240" w:lineRule="auto"/>
            </w:pPr>
            <w:r/>
            <w:r>
              <w:rPr>
                <w:rFonts w:ascii="Garamond" w:hAnsi="Garamond"/>
                <w:sz w:val="18"/>
              </w:rPr>
              <w:t>Regent Homes (builder)</w:t>
            </w:r>
          </w:p>
        </w:tc>
        <w:tc>
          <w:tcPr>
            <w:tcW w:type="dxa" w:w="4680"/>
          </w:tcPr>
          <w:p>
            <w:pPr>
              <w:spacing w:line="240" w:lineRule="auto"/>
              <w:jc w:val="right"/>
            </w:pPr>
            <w:r/>
            <w:r>
              <w:rPr>
                <w:rFonts w:ascii="Garamond" w:hAnsi="Garamond"/>
                <w:sz w:val="18"/>
              </w:rPr>
              <w:t>24</w:t>
            </w:r>
          </w:p>
        </w:tc>
      </w:tr>
      <w:tr>
        <w:tc>
          <w:tcPr>
            <w:tcW w:type="dxa" w:w="4680"/>
          </w:tcPr>
          <w:p>
            <w:pPr>
              <w:spacing w:line="240" w:lineRule="auto"/>
            </w:pPr>
            <w:r/>
            <w:r>
              <w:rPr>
                <w:rFonts w:ascii="Garamond" w:hAnsi="Garamond"/>
                <w:sz w:val="18"/>
              </w:rPr>
              <w:t>Home Partners of America (Blackstone)</w:t>
            </w:r>
          </w:p>
        </w:tc>
        <w:tc>
          <w:tcPr>
            <w:tcW w:type="dxa" w:w="4680"/>
          </w:tcPr>
          <w:p>
            <w:pPr>
              <w:spacing w:line="240" w:lineRule="auto"/>
              <w:jc w:val="right"/>
            </w:pPr>
            <w:r/>
            <w:r>
              <w:rPr>
                <w:rFonts w:ascii="Garamond" w:hAnsi="Garamond"/>
                <w:sz w:val="18"/>
              </w:rPr>
              <w:t>23</w:t>
            </w:r>
          </w:p>
        </w:tc>
      </w:tr>
      <w:tr>
        <w:tc>
          <w:tcPr>
            <w:tcW w:type="dxa" w:w="4680"/>
          </w:tcPr>
          <w:p>
            <w:pPr>
              <w:spacing w:line="240" w:lineRule="auto"/>
            </w:pPr>
            <w:r/>
            <w:r>
              <w:rPr>
                <w:rFonts w:ascii="Garamond" w:hAnsi="Garamond"/>
                <w:sz w:val="18"/>
              </w:rPr>
              <w:t>Bluerock Homes</w:t>
            </w:r>
          </w:p>
        </w:tc>
        <w:tc>
          <w:tcPr>
            <w:tcW w:type="dxa" w:w="4680"/>
          </w:tcPr>
          <w:p>
            <w:pPr>
              <w:spacing w:line="240" w:lineRule="auto"/>
              <w:jc w:val="right"/>
            </w:pPr>
            <w:r/>
            <w:r>
              <w:rPr>
                <w:rFonts w:ascii="Garamond" w:hAnsi="Garamond"/>
                <w:sz w:val="18"/>
              </w:rPr>
              <w:t>16</w:t>
            </w:r>
          </w:p>
        </w:tc>
      </w:tr>
      <w:tr>
        <w:tc>
          <w:tcPr>
            <w:tcW w:type="dxa" w:w="4680"/>
          </w:tcPr>
          <w:p>
            <w:pPr>
              <w:spacing w:line="240" w:lineRule="auto"/>
            </w:pPr>
            <w:r/>
            <w:r>
              <w:rPr>
                <w:rFonts w:ascii="Garamond" w:hAnsi="Garamond"/>
                <w:sz w:val="18"/>
              </w:rPr>
              <w:t>Arrived Homes</w:t>
            </w:r>
          </w:p>
        </w:tc>
        <w:tc>
          <w:tcPr>
            <w:tcW w:type="dxa" w:w="4680"/>
          </w:tcPr>
          <w:p>
            <w:pPr>
              <w:spacing w:line="240" w:lineRule="auto"/>
              <w:jc w:val="right"/>
            </w:pPr>
            <w:r/>
            <w:r>
              <w:rPr>
                <w:rFonts w:ascii="Garamond" w:hAnsi="Garamond"/>
                <w:sz w:val="18"/>
              </w:rPr>
              <w:t>13</w:t>
            </w:r>
          </w:p>
        </w:tc>
      </w:tr>
      <w:tr>
        <w:tc>
          <w:tcPr>
            <w:tcW w:type="dxa" w:w="4680"/>
          </w:tcPr>
          <w:p>
            <w:pPr>
              <w:spacing w:line="240" w:lineRule="auto"/>
            </w:pPr>
            <w:r/>
            <w:r>
              <w:rPr>
                <w:rFonts w:ascii="Garamond" w:hAnsi="Garamond"/>
                <w:sz w:val="18"/>
              </w:rPr>
              <w:t>Drees Homes (builder)</w:t>
            </w:r>
          </w:p>
        </w:tc>
        <w:tc>
          <w:tcPr>
            <w:tcW w:type="dxa" w:w="4680"/>
          </w:tcPr>
          <w:p>
            <w:pPr>
              <w:spacing w:line="240" w:lineRule="auto"/>
              <w:jc w:val="right"/>
            </w:pPr>
            <w:r/>
            <w:r>
              <w:rPr>
                <w:rFonts w:ascii="Garamond" w:hAnsi="Garamond"/>
                <w:sz w:val="18"/>
              </w:rPr>
              <w:t>12</w:t>
            </w:r>
          </w:p>
        </w:tc>
      </w:tr>
      <w:tr>
        <w:tc>
          <w:tcPr>
            <w:tcW w:type="dxa" w:w="4680"/>
          </w:tcPr>
          <w:p>
            <w:pPr>
              <w:spacing w:line="240" w:lineRule="auto"/>
            </w:pPr>
            <w:r/>
            <w:r>
              <w:rPr>
                <w:rFonts w:ascii="Garamond" w:hAnsi="Garamond"/>
                <w:sz w:val="18"/>
              </w:rPr>
              <w:t>KSSK</w:t>
            </w:r>
          </w:p>
        </w:tc>
        <w:tc>
          <w:tcPr>
            <w:tcW w:type="dxa" w:w="4680"/>
          </w:tcPr>
          <w:p>
            <w:pPr>
              <w:spacing w:line="240" w:lineRule="auto"/>
              <w:jc w:val="right"/>
            </w:pPr>
            <w:r/>
            <w:r>
              <w:rPr>
                <w:rFonts w:ascii="Garamond" w:hAnsi="Garamond"/>
                <w:sz w:val="18"/>
              </w:rPr>
              <w:t>12</w:t>
            </w:r>
          </w:p>
        </w:tc>
      </w:tr>
      <w:tr>
        <w:tc>
          <w:tcPr>
            <w:tcW w:type="dxa" w:w="4680"/>
          </w:tcPr>
          <w:p>
            <w:pPr>
              <w:spacing w:line="240" w:lineRule="auto"/>
            </w:pPr>
            <w:r/>
            <w:r>
              <w:rPr>
                <w:rFonts w:ascii="Garamond" w:hAnsi="Garamond"/>
                <w:sz w:val="18"/>
              </w:rPr>
              <w:t>Invesco Real Estate</w:t>
            </w:r>
          </w:p>
        </w:tc>
        <w:tc>
          <w:tcPr>
            <w:tcW w:type="dxa" w:w="4680"/>
          </w:tcPr>
          <w:p>
            <w:pPr>
              <w:spacing w:line="240" w:lineRule="auto"/>
              <w:jc w:val="right"/>
            </w:pPr>
            <w:r/>
            <w:r>
              <w:rPr>
                <w:rFonts w:ascii="Garamond" w:hAnsi="Garamond"/>
                <w:sz w:val="18"/>
              </w:rPr>
              <w:t>12</w:t>
            </w:r>
          </w:p>
        </w:tc>
      </w:tr>
      <w:tr>
        <w:tc>
          <w:tcPr>
            <w:tcW w:type="dxa" w:w="4680"/>
          </w:tcPr>
          <w:p>
            <w:pPr>
              <w:spacing w:line="240" w:lineRule="auto"/>
            </w:pPr>
            <w:r/>
            <w:r>
              <w:rPr>
                <w:rFonts w:ascii="Garamond" w:hAnsi="Garamond"/>
                <w:sz w:val="18"/>
              </w:rPr>
              <w:t>Hudson SFR</w:t>
            </w:r>
          </w:p>
        </w:tc>
        <w:tc>
          <w:tcPr>
            <w:tcW w:type="dxa" w:w="4680"/>
          </w:tcPr>
          <w:p>
            <w:pPr>
              <w:spacing w:line="240" w:lineRule="auto"/>
              <w:jc w:val="right"/>
            </w:pPr>
            <w:r/>
            <w:r>
              <w:rPr>
                <w:rFonts w:ascii="Garamond" w:hAnsi="Garamond"/>
                <w:sz w:val="18"/>
              </w:rPr>
              <w:t>11</w:t>
            </w:r>
          </w:p>
        </w:tc>
      </w:tr>
      <w:tr>
        <w:tc>
          <w:tcPr>
            <w:tcW w:type="dxa" w:w="4680"/>
          </w:tcPr>
          <w:p>
            <w:pPr>
              <w:spacing w:line="240" w:lineRule="auto"/>
            </w:pPr>
            <w:r/>
            <w:r>
              <w:rPr>
                <w:rFonts w:ascii="Garamond" w:hAnsi="Garamond"/>
                <w:sz w:val="18"/>
              </w:rPr>
              <w:t>Dream Finders (builder)</w:t>
            </w:r>
          </w:p>
        </w:tc>
        <w:tc>
          <w:tcPr>
            <w:tcW w:type="dxa" w:w="4680"/>
          </w:tcPr>
          <w:p>
            <w:pPr>
              <w:spacing w:line="240" w:lineRule="auto"/>
              <w:jc w:val="right"/>
            </w:pPr>
            <w:r/>
            <w:r>
              <w:rPr>
                <w:rFonts w:ascii="Garamond" w:hAnsi="Garamond"/>
                <w:sz w:val="18"/>
              </w:rPr>
              <w:t>10</w:t>
            </w:r>
          </w:p>
        </w:tc>
      </w:tr>
      <w:tr>
        <w:tc>
          <w:tcPr>
            <w:tcW w:type="dxa" w:w="4680"/>
          </w:tcPr>
          <w:p>
            <w:pPr>
              <w:spacing w:line="240" w:lineRule="auto"/>
            </w:pPr>
            <w:r/>
            <w:r>
              <w:rPr>
                <w:rFonts w:ascii="Garamond" w:hAnsi="Garamond"/>
                <w:sz w:val="18"/>
              </w:rPr>
              <w:t>Invitation Homes</w:t>
            </w:r>
          </w:p>
        </w:tc>
        <w:tc>
          <w:tcPr>
            <w:tcW w:type="dxa" w:w="4680"/>
          </w:tcPr>
          <w:p>
            <w:pPr>
              <w:spacing w:line="240" w:lineRule="auto"/>
              <w:jc w:val="right"/>
            </w:pPr>
            <w:r/>
            <w:r>
              <w:rPr>
                <w:rFonts w:ascii="Garamond" w:hAnsi="Garamond"/>
                <w:sz w:val="18"/>
              </w:rPr>
              <w:t>10</w:t>
            </w:r>
          </w:p>
        </w:tc>
      </w:tr>
      <w:tr>
        <w:tc>
          <w:tcPr>
            <w:tcW w:type="dxa" w:w="4680"/>
          </w:tcPr>
          <w:p>
            <w:pPr>
              <w:spacing w:line="240" w:lineRule="auto"/>
            </w:pPr>
            <w:r/>
            <w:r>
              <w:rPr>
                <w:rFonts w:ascii="Garamond" w:hAnsi="Garamond"/>
                <w:sz w:val="18"/>
              </w:rPr>
              <w:t>Upward America (Lennar build-to-rent)</w:t>
            </w:r>
          </w:p>
        </w:tc>
        <w:tc>
          <w:tcPr>
            <w:tcW w:type="dxa" w:w="4680"/>
          </w:tcPr>
          <w:p>
            <w:pPr>
              <w:spacing w:line="240" w:lineRule="auto"/>
              <w:jc w:val="right"/>
            </w:pPr>
            <w:r/>
            <w:r>
              <w:rPr>
                <w:rFonts w:ascii="Garamond" w:hAnsi="Garamond"/>
                <w:sz w:val="18"/>
              </w:rPr>
              <w:t>10</w:t>
            </w:r>
          </w:p>
        </w:tc>
      </w:tr>
      <w:tr>
        <w:tc>
          <w:tcPr>
            <w:tcW w:type="dxa" w:w="4680"/>
          </w:tcPr>
          <w:p>
            <w:pPr>
              <w:spacing w:line="240" w:lineRule="auto"/>
            </w:pPr>
            <w:r/>
            <w:r>
              <w:rPr>
                <w:rFonts w:ascii="Garamond" w:hAnsi="Garamond"/>
                <w:sz w:val="18"/>
              </w:rPr>
              <w:t>Beazer Homes (builder)</w:t>
            </w:r>
          </w:p>
        </w:tc>
        <w:tc>
          <w:tcPr>
            <w:tcW w:type="dxa" w:w="4680"/>
          </w:tcPr>
          <w:p>
            <w:pPr>
              <w:spacing w:line="240" w:lineRule="auto"/>
              <w:jc w:val="right"/>
            </w:pPr>
            <w:r/>
            <w:r>
              <w:rPr>
                <w:rFonts w:ascii="Garamond" w:hAnsi="Garamond"/>
                <w:sz w:val="18"/>
              </w:rPr>
              <w:t>5</w:t>
            </w:r>
          </w:p>
        </w:tc>
      </w:tr>
      <w:tr>
        <w:tc>
          <w:tcPr>
            <w:tcW w:type="dxa" w:w="4680"/>
          </w:tcPr>
          <w:p>
            <w:pPr>
              <w:spacing w:line="240" w:lineRule="auto"/>
            </w:pPr>
            <w:r/>
            <w:r>
              <w:rPr>
                <w:rFonts w:ascii="Garamond" w:hAnsi="Garamond"/>
                <w:sz w:val="18"/>
              </w:rPr>
              <w:t>Meritage Homes (builder)</w:t>
            </w:r>
          </w:p>
        </w:tc>
        <w:tc>
          <w:tcPr>
            <w:tcW w:type="dxa" w:w="4680"/>
          </w:tcPr>
          <w:p>
            <w:pPr>
              <w:spacing w:line="240" w:lineRule="auto"/>
              <w:jc w:val="right"/>
            </w:pPr>
            <w:r/>
            <w:r>
              <w:rPr>
                <w:rFonts w:ascii="Garamond" w:hAnsi="Garamond"/>
                <w:sz w:val="18"/>
              </w:rPr>
              <w:t>3</w:t>
            </w:r>
          </w:p>
        </w:tc>
      </w:tr>
      <w:tr>
        <w:tc>
          <w:tcPr>
            <w:tcW w:type="dxa" w:w="4680"/>
          </w:tcPr>
          <w:p>
            <w:pPr>
              <w:spacing w:line="240" w:lineRule="auto"/>
            </w:pPr>
            <w:r/>
            <w:r>
              <w:rPr>
                <w:rFonts w:ascii="Garamond" w:hAnsi="Garamond"/>
                <w:sz w:val="18"/>
              </w:rPr>
              <w:t>Brookfield Residential (build-to-rent)</w:t>
            </w:r>
          </w:p>
        </w:tc>
        <w:tc>
          <w:tcPr>
            <w:tcW w:type="dxa" w:w="4680"/>
          </w:tcPr>
          <w:p>
            <w:pPr>
              <w:spacing w:line="240" w:lineRule="auto"/>
              <w:jc w:val="right"/>
            </w:pPr>
            <w:r/>
            <w:r>
              <w:rPr>
                <w:rFonts w:ascii="Garamond" w:hAnsi="Garamond"/>
                <w:sz w:val="18"/>
              </w:rPr>
              <w:t>3</w:t>
            </w:r>
          </w:p>
        </w:tc>
      </w:tr>
      <w:tr>
        <w:tc>
          <w:tcPr>
            <w:tcW w:type="dxa" w:w="4680"/>
          </w:tcPr>
          <w:p>
            <w:pPr>
              <w:spacing w:line="240" w:lineRule="auto"/>
            </w:pPr>
            <w:r/>
            <w:r>
              <w:rPr>
                <w:rFonts w:ascii="Garamond" w:hAnsi="Garamond"/>
                <w:sz w:val="18"/>
              </w:rPr>
              <w:t>TPG AG EHC (build-to-rent)</w:t>
            </w:r>
          </w:p>
        </w:tc>
        <w:tc>
          <w:tcPr>
            <w:tcW w:type="dxa" w:w="4680"/>
          </w:tcPr>
          <w:p>
            <w:pPr>
              <w:spacing w:line="240" w:lineRule="auto"/>
              <w:jc w:val="right"/>
            </w:pPr>
            <w:r/>
            <w:r>
              <w:rPr>
                <w:rFonts w:ascii="Garamond" w:hAnsi="Garamond"/>
                <w:sz w:val="18"/>
              </w:rPr>
              <w:t>2</w:t>
            </w:r>
          </w:p>
        </w:tc>
      </w:tr>
      <w:tr>
        <w:tc>
          <w:tcPr>
            <w:tcW w:type="dxa" w:w="4680"/>
          </w:tcPr>
          <w:p>
            <w:pPr>
              <w:spacing w:line="240" w:lineRule="auto"/>
            </w:pPr>
            <w:r/>
            <w:r>
              <w:rPr>
                <w:rFonts w:ascii="Garamond" w:hAnsi="Garamond"/>
                <w:sz w:val="18"/>
              </w:rPr>
              <w:t>Nashville Moda</w:t>
            </w:r>
          </w:p>
        </w:tc>
        <w:tc>
          <w:tcPr>
            <w:tcW w:type="dxa" w:w="4680"/>
          </w:tcPr>
          <w:p>
            <w:pPr>
              <w:spacing w:line="240" w:lineRule="auto"/>
              <w:jc w:val="right"/>
            </w:pPr>
            <w:r/>
            <w:r>
              <w:rPr>
                <w:rFonts w:ascii="Garamond" w:hAnsi="Garamond"/>
                <w:sz w:val="18"/>
              </w:rPr>
              <w:t>2</w:t>
            </w:r>
          </w:p>
        </w:tc>
      </w:tr>
      <w:tr>
        <w:tc>
          <w:tcPr>
            <w:tcW w:type="dxa" w:w="4680"/>
          </w:tcPr>
          <w:p>
            <w:pPr>
              <w:spacing w:line="240" w:lineRule="auto"/>
            </w:pPr>
            <w:r/>
            <w:r>
              <w:rPr>
                <w:rFonts w:ascii="Garamond" w:hAnsi="Garamond"/>
                <w:sz w:val="18"/>
              </w:rPr>
              <w:t>Domain / Timberlake</w:t>
            </w:r>
          </w:p>
        </w:tc>
        <w:tc>
          <w:tcPr>
            <w:tcW w:type="dxa" w:w="4680"/>
          </w:tcPr>
          <w:p>
            <w:pPr>
              <w:spacing w:line="240" w:lineRule="auto"/>
              <w:jc w:val="right"/>
            </w:pPr>
            <w:r/>
            <w:r>
              <w:rPr>
                <w:rFonts w:ascii="Garamond" w:hAnsi="Garamond"/>
                <w:sz w:val="18"/>
              </w:rPr>
              <w:t>1</w:t>
            </w:r>
          </w:p>
        </w:tc>
      </w:tr>
      <w:tr>
        <w:tc>
          <w:tcPr>
            <w:tcW w:type="dxa" w:w="4680"/>
          </w:tcPr>
          <w:p>
            <w:pPr>
              <w:spacing w:line="240" w:lineRule="auto"/>
            </w:pPr>
            <w:r/>
            <w:r>
              <w:rPr>
                <w:rFonts w:ascii="Garamond" w:hAnsi="Garamond"/>
                <w:sz w:val="18"/>
              </w:rPr>
              <w:t>Lux Development</w:t>
            </w:r>
          </w:p>
        </w:tc>
        <w:tc>
          <w:tcPr>
            <w:tcW w:type="dxa" w:w="4680"/>
          </w:tcPr>
          <w:p>
            <w:pPr>
              <w:spacing w:line="240" w:lineRule="auto"/>
              <w:jc w:val="right"/>
            </w:pPr>
            <w:r/>
            <w:r>
              <w:rPr>
                <w:rFonts w:ascii="Garamond" w:hAnsi="Garamond"/>
                <w:sz w:val="18"/>
              </w:rPr>
              <w:t>1</w:t>
            </w:r>
          </w:p>
        </w:tc>
      </w:tr>
      <w:tr>
        <w:tc>
          <w:tcPr>
            <w:tcW w:type="dxa" w:w="4680"/>
          </w:tcPr>
          <w:p>
            <w:pPr>
              <w:spacing w:line="240" w:lineRule="auto"/>
            </w:pPr>
            <w:r/>
            <w:r>
              <w:rPr>
                <w:rFonts w:ascii="Garamond" w:hAnsi="Garamond"/>
                <w:sz w:val="18"/>
              </w:rPr>
              <w:t>APG Rentals (build-to-rent)</w:t>
            </w:r>
          </w:p>
        </w:tc>
        <w:tc>
          <w:tcPr>
            <w:tcW w:type="dxa" w:w="4680"/>
          </w:tcPr>
          <w:p>
            <w:pPr>
              <w:spacing w:line="240" w:lineRule="auto"/>
              <w:jc w:val="right"/>
            </w:pPr>
            <w:r/>
            <w:r>
              <w:rPr>
                <w:rFonts w:ascii="Garamond" w:hAnsi="Garamond"/>
                <w:sz w:val="18"/>
              </w:rPr>
              <w:t>1</w:t>
            </w:r>
          </w:p>
        </w:tc>
      </w:tr>
      <w:tr>
        <w:tc>
          <w:tcPr>
            <w:tcW w:type="dxa" w:w="4680"/>
          </w:tcPr>
          <w:p>
            <w:pPr>
              <w:spacing w:line="240" w:lineRule="auto"/>
            </w:pPr>
            <w:r/>
            <w:r>
              <w:rPr>
                <w:rFonts w:ascii="Garamond" w:hAnsi="Garamond"/>
                <w:sz w:val="18"/>
              </w:rPr>
              <w:t>Cov Residential</w:t>
            </w:r>
          </w:p>
        </w:tc>
        <w:tc>
          <w:tcPr>
            <w:tcW w:type="dxa" w:w="4680"/>
          </w:tcPr>
          <w:p>
            <w:pPr>
              <w:spacing w:line="240" w:lineRule="auto"/>
              <w:jc w:val="right"/>
            </w:pPr>
            <w:r/>
            <w:r>
              <w:rPr>
                <w:rFonts w:ascii="Garamond" w:hAnsi="Garamond"/>
                <w:sz w:val="18"/>
              </w:rPr>
              <w:t>1</w:t>
            </w:r>
          </w:p>
        </w:tc>
      </w:tr>
    </w:tbl>
    <w:p>
      <w:pPr>
        <w:spacing w:after="0"/>
      </w:pPr>
    </w:p>
    <w:p>
      <w:pPr>
        <w:spacing w:line="240" w:lineRule="auto" w:before="0" w:after="120"/>
      </w:pPr>
      <w:r>
        <w:rPr>
          <w:rFonts w:ascii="Garamond" w:hAnsi="Garamond"/>
          <w:i/>
          <w:sz w:val="19"/>
        </w:rPr>
        <w:t>Notes: Source: author's crosswalk applied to Metro Nashville Cadastral Layer 4, https://maps.nashville.gov/arcgis/rest/services/Cadastral/Cadastral_Layers/MapServer/4, July 22, 2026. The Sparrow / Nuveen line was reattributed out of Invitation Homes on July 22, 2026; Invitation Homes proper includes its Resibuilt entities. American Homes 4 Rent includes roughly 400 parcels held by its two development subsidiaries.</w:t>
      </w:r>
    </w:p>
    <w:p>
      <w:pPr>
        <w:pStyle w:val="Heading2"/>
      </w:pPr>
      <w:r>
        <w:t>Table A2. The Framework Universe by Owner Type, with Occupancy, Location, Land Use, and Stock Characteristics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bottom w:val="single" w:sz="4" w:color="000000"/>
            </w:tcBorders>
          </w:tcPr>
          <w:p>
            <w:pPr>
              <w:spacing w:line="240" w:lineRule="auto"/>
            </w:pPr>
            <w:r>
              <w:rPr>
                <w:b/>
              </w:rPr>
            </w:r>
            <w:r>
              <w:rPr>
                <w:rFonts w:ascii="Garamond" w:hAnsi="Garamond"/>
                <w:b/>
                <w:sz w:val="18"/>
              </w:rPr>
              <w:t>Measure</w:t>
            </w:r>
          </w:p>
        </w:tc>
        <w:tc>
          <w:tcPr>
            <w:tcW w:type="dxa" w:w="1872"/>
            <w:tcBorders>
              <w:bottom w:val="single" w:sz="4" w:color="000000"/>
            </w:tcBorders>
          </w:tcPr>
          <w:p>
            <w:pPr>
              <w:spacing w:line="240" w:lineRule="auto"/>
            </w:pPr>
            <w:r>
              <w:rPr>
                <w:b/>
              </w:rPr>
            </w:r>
            <w:r>
              <w:rPr>
                <w:rFonts w:ascii="Garamond" w:hAnsi="Garamond"/>
                <w:b/>
                <w:sz w:val="18"/>
              </w:rPr>
              <w:t>Individuals</w:t>
            </w:r>
          </w:p>
        </w:tc>
        <w:tc>
          <w:tcPr>
            <w:tcW w:type="dxa" w:w="1872"/>
            <w:tcBorders>
              <w:bottom w:val="single" w:sz="4" w:color="000000"/>
            </w:tcBorders>
          </w:tcPr>
          <w:p>
            <w:pPr>
              <w:spacing w:line="240" w:lineRule="auto"/>
            </w:pPr>
            <w:r>
              <w:rPr>
                <w:b/>
              </w:rPr>
            </w:r>
            <w:r>
              <w:rPr>
                <w:rFonts w:ascii="Garamond" w:hAnsi="Garamond"/>
                <w:b/>
                <w:sz w:val="18"/>
              </w:rPr>
              <w:t>Entities</w:t>
            </w:r>
          </w:p>
        </w:tc>
        <w:tc>
          <w:tcPr>
            <w:tcW w:type="dxa" w:w="1872"/>
            <w:tcBorders>
              <w:bottom w:val="single" w:sz="4" w:color="000000"/>
            </w:tcBorders>
          </w:tcPr>
          <w:p>
            <w:pPr>
              <w:spacing w:line="240" w:lineRule="auto"/>
            </w:pPr>
            <w:r>
              <w:rPr>
                <w:b/>
              </w:rPr>
            </w:r>
            <w:r>
              <w:rPr>
                <w:rFonts w:ascii="Garamond" w:hAnsi="Garamond"/>
                <w:b/>
                <w:sz w:val="18"/>
              </w:rPr>
              <w:t>Trusts</w:t>
            </w:r>
          </w:p>
        </w:tc>
        <w:tc>
          <w:tcPr>
            <w:tcW w:type="dxa" w:w="1872"/>
            <w:tcBorders>
              <w:bottom w:val="single" w:sz="4" w:color="000000"/>
            </w:tcBorders>
          </w:tcPr>
          <w:p>
            <w:pPr>
              <w:spacing w:line="240" w:lineRule="auto"/>
            </w:pPr>
            <w:r>
              <w:rPr>
                <w:b/>
              </w:rPr>
            </w:r>
            <w:r>
              <w:rPr>
                <w:rFonts w:ascii="Garamond" w:hAnsi="Garamond"/>
                <w:b/>
                <w:sz w:val="18"/>
              </w:rPr>
              <w:t>Named SFR operators</w:t>
            </w:r>
          </w:p>
        </w:tc>
      </w:tr>
      <w:tr>
        <w:tc>
          <w:tcPr>
            <w:tcW w:type="dxa" w:w="1872"/>
          </w:tcPr>
          <w:p>
            <w:pPr>
              <w:spacing w:line="240" w:lineRule="auto"/>
            </w:pPr>
            <w:r/>
            <w:r>
              <w:rPr>
                <w:rFonts w:ascii="Garamond" w:hAnsi="Garamond"/>
                <w:sz w:val="18"/>
              </w:rPr>
              <w:t>Framework parcels</w:t>
            </w:r>
          </w:p>
        </w:tc>
        <w:tc>
          <w:tcPr>
            <w:tcW w:type="dxa" w:w="1872"/>
          </w:tcPr>
          <w:p>
            <w:pPr>
              <w:spacing w:line="240" w:lineRule="auto"/>
              <w:jc w:val="right"/>
            </w:pPr>
            <w:r/>
            <w:r>
              <w:rPr>
                <w:rFonts w:ascii="Garamond" w:hAnsi="Garamond"/>
                <w:sz w:val="18"/>
              </w:rPr>
              <w:t>172,328</w:t>
            </w:r>
          </w:p>
        </w:tc>
        <w:tc>
          <w:tcPr>
            <w:tcW w:type="dxa" w:w="1872"/>
          </w:tcPr>
          <w:p>
            <w:pPr>
              <w:spacing w:line="240" w:lineRule="auto"/>
              <w:jc w:val="right"/>
            </w:pPr>
            <w:r/>
            <w:r>
              <w:rPr>
                <w:rFonts w:ascii="Garamond" w:hAnsi="Garamond"/>
                <w:sz w:val="18"/>
              </w:rPr>
              <w:t>16,615</w:t>
            </w:r>
          </w:p>
        </w:tc>
        <w:tc>
          <w:tcPr>
            <w:tcW w:type="dxa" w:w="1872"/>
          </w:tcPr>
          <w:p>
            <w:pPr>
              <w:spacing w:line="240" w:lineRule="auto"/>
              <w:jc w:val="right"/>
            </w:pPr>
            <w:r/>
            <w:r>
              <w:rPr>
                <w:rFonts w:ascii="Garamond" w:hAnsi="Garamond"/>
                <w:sz w:val="18"/>
              </w:rPr>
              <w:t>16,260</w:t>
            </w:r>
          </w:p>
        </w:tc>
        <w:tc>
          <w:tcPr>
            <w:tcW w:type="dxa" w:w="1872"/>
          </w:tcPr>
          <w:p>
            <w:pPr>
              <w:spacing w:line="240" w:lineRule="auto"/>
              <w:jc w:val="right"/>
            </w:pPr>
            <w:r/>
            <w:r>
              <w:rPr>
                <w:rFonts w:ascii="Garamond" w:hAnsi="Garamond"/>
                <w:sz w:val="18"/>
              </w:rPr>
              <w:t>3,940</w:t>
            </w:r>
          </w:p>
        </w:tc>
      </w:tr>
      <w:tr>
        <w:tc>
          <w:tcPr>
            <w:tcW w:type="dxa" w:w="1872"/>
          </w:tcPr>
          <w:p>
            <w:pPr>
              <w:spacing w:line="240" w:lineRule="auto"/>
            </w:pPr>
            <w:r/>
            <w:r>
              <w:rPr>
                <w:rFonts w:ascii="Garamond" w:hAnsi="Garamond"/>
                <w:sz w:val="18"/>
              </w:rPr>
              <w:t>Share of universe (205,933)</w:t>
            </w:r>
          </w:p>
        </w:tc>
        <w:tc>
          <w:tcPr>
            <w:tcW w:type="dxa" w:w="1872"/>
          </w:tcPr>
          <w:p>
            <w:pPr>
              <w:spacing w:line="240" w:lineRule="auto"/>
              <w:jc w:val="right"/>
            </w:pPr>
            <w:r/>
            <w:r>
              <w:rPr>
                <w:rFonts w:ascii="Garamond" w:hAnsi="Garamond"/>
                <w:sz w:val="18"/>
              </w:rPr>
              <w:t>83.7%</w:t>
            </w:r>
          </w:p>
        </w:tc>
        <w:tc>
          <w:tcPr>
            <w:tcW w:type="dxa" w:w="1872"/>
          </w:tcPr>
          <w:p>
            <w:pPr>
              <w:spacing w:line="240" w:lineRule="auto"/>
              <w:jc w:val="right"/>
            </w:pPr>
            <w:r/>
            <w:r>
              <w:rPr>
                <w:rFonts w:ascii="Garamond" w:hAnsi="Garamond"/>
                <w:sz w:val="18"/>
              </w:rPr>
              <w:t>8.1%</w:t>
            </w:r>
          </w:p>
        </w:tc>
        <w:tc>
          <w:tcPr>
            <w:tcW w:type="dxa" w:w="1872"/>
          </w:tcPr>
          <w:p>
            <w:pPr>
              <w:spacing w:line="240" w:lineRule="auto"/>
              <w:jc w:val="right"/>
            </w:pPr>
            <w:r/>
            <w:r>
              <w:rPr>
                <w:rFonts w:ascii="Garamond" w:hAnsi="Garamond"/>
                <w:sz w:val="18"/>
              </w:rPr>
              <w:t>7.9%</w:t>
            </w:r>
          </w:p>
        </w:tc>
        <w:tc>
          <w:tcPr>
            <w:tcW w:type="dxa" w:w="1872"/>
          </w:tcPr>
          <w:p>
            <w:pPr>
              <w:spacing w:line="240" w:lineRule="auto"/>
              <w:jc w:val="right"/>
            </w:pPr>
            <w:r/>
            <w:r>
              <w:rPr>
                <w:rFonts w:ascii="Garamond" w:hAnsi="Garamond"/>
                <w:sz w:val="18"/>
              </w:rPr>
              <w:t>1.9%</w:t>
            </w:r>
          </w:p>
        </w:tc>
      </w:tr>
      <w:tr>
        <w:tc>
          <w:tcPr>
            <w:tcW w:type="dxa" w:w="1872"/>
          </w:tcPr>
          <w:p>
            <w:pPr>
              <w:spacing w:line="240" w:lineRule="auto"/>
            </w:pPr>
            <w:r/>
            <w:r>
              <w:rPr>
                <w:rFonts w:ascii="Garamond" w:hAnsi="Garamond"/>
                <w:sz w:val="18"/>
              </w:rPr>
              <w:t>Non-owner-occupied</w:t>
            </w:r>
          </w:p>
        </w:tc>
        <w:tc>
          <w:tcPr>
            <w:tcW w:type="dxa" w:w="1872"/>
          </w:tcPr>
          <w:p>
            <w:pPr>
              <w:spacing w:line="240" w:lineRule="auto"/>
              <w:jc w:val="right"/>
            </w:pPr>
            <w:r/>
            <w:r>
              <w:rPr>
                <w:rFonts w:ascii="Garamond" w:hAnsi="Garamond"/>
                <w:sz w:val="18"/>
              </w:rPr>
              <w:t>12.9%</w:t>
            </w:r>
          </w:p>
        </w:tc>
        <w:tc>
          <w:tcPr>
            <w:tcW w:type="dxa" w:w="1872"/>
          </w:tcPr>
          <w:p>
            <w:pPr>
              <w:spacing w:line="240" w:lineRule="auto"/>
              <w:jc w:val="right"/>
            </w:pPr>
            <w:r/>
            <w:r>
              <w:rPr>
                <w:rFonts w:ascii="Garamond" w:hAnsi="Garamond"/>
                <w:sz w:val="18"/>
              </w:rPr>
              <w:t>85.7%</w:t>
            </w:r>
          </w:p>
        </w:tc>
        <w:tc>
          <w:tcPr>
            <w:tcW w:type="dxa" w:w="1872"/>
          </w:tcPr>
          <w:p>
            <w:pPr>
              <w:spacing w:line="240" w:lineRule="auto"/>
              <w:jc w:val="right"/>
            </w:pPr>
            <w:r/>
            <w:r>
              <w:rPr>
                <w:rFonts w:ascii="Garamond" w:hAnsi="Garamond"/>
                <w:sz w:val="18"/>
              </w:rPr>
              <w:t>35.5%</w:t>
            </w:r>
          </w:p>
        </w:tc>
        <w:tc>
          <w:tcPr>
            <w:tcW w:type="dxa" w:w="1872"/>
          </w:tcPr>
          <w:p>
            <w:pPr>
              <w:spacing w:line="240" w:lineRule="auto"/>
              <w:jc w:val="right"/>
            </w:pPr>
            <w:r/>
            <w:r>
              <w:rPr>
                <w:rFonts w:ascii="Garamond" w:hAnsi="Garamond"/>
                <w:sz w:val="18"/>
              </w:rPr>
              <w:t>99.5%</w:t>
            </w:r>
          </w:p>
        </w:tc>
      </w:tr>
      <w:tr>
        <w:tc>
          <w:tcPr>
            <w:tcW w:type="dxa" w:w="1872"/>
          </w:tcPr>
          <w:p>
            <w:pPr>
              <w:spacing w:line="240" w:lineRule="auto"/>
            </w:pPr>
            <w:r/>
            <w:r>
              <w:rPr>
                <w:rFonts w:ascii="Garamond" w:hAnsi="Garamond"/>
                <w:sz w:val="18"/>
              </w:rPr>
              <w:t>Out-of-state owner</w:t>
            </w:r>
          </w:p>
        </w:tc>
        <w:tc>
          <w:tcPr>
            <w:tcW w:type="dxa" w:w="1872"/>
          </w:tcPr>
          <w:p>
            <w:pPr>
              <w:spacing w:line="240" w:lineRule="auto"/>
              <w:jc w:val="right"/>
            </w:pPr>
            <w:r/>
            <w:r>
              <w:rPr>
                <w:rFonts w:ascii="Garamond" w:hAnsi="Garamond"/>
                <w:sz w:val="18"/>
              </w:rPr>
              <w:t>2.2%</w:t>
            </w:r>
          </w:p>
        </w:tc>
        <w:tc>
          <w:tcPr>
            <w:tcW w:type="dxa" w:w="1872"/>
          </w:tcPr>
          <w:p>
            <w:pPr>
              <w:spacing w:line="240" w:lineRule="auto"/>
              <w:jc w:val="right"/>
            </w:pPr>
            <w:r/>
            <w:r>
              <w:rPr>
                <w:rFonts w:ascii="Garamond" w:hAnsi="Garamond"/>
                <w:sz w:val="18"/>
              </w:rPr>
              <w:t>40.5%</w:t>
            </w:r>
          </w:p>
        </w:tc>
        <w:tc>
          <w:tcPr>
            <w:tcW w:type="dxa" w:w="1872"/>
          </w:tcPr>
          <w:p>
            <w:pPr>
              <w:spacing w:line="240" w:lineRule="auto"/>
              <w:jc w:val="right"/>
            </w:pPr>
            <w:r/>
            <w:r>
              <w:rPr>
                <w:rFonts w:ascii="Garamond" w:hAnsi="Garamond"/>
                <w:sz w:val="18"/>
              </w:rPr>
              <w:t>8.5%</w:t>
            </w:r>
          </w:p>
        </w:tc>
        <w:tc>
          <w:tcPr>
            <w:tcW w:type="dxa" w:w="1872"/>
          </w:tcPr>
          <w:p>
            <w:pPr>
              <w:spacing w:line="240" w:lineRule="auto"/>
              <w:jc w:val="right"/>
            </w:pPr>
            <w:r/>
            <w:r>
              <w:rPr>
                <w:rFonts w:ascii="Garamond" w:hAnsi="Garamond"/>
                <w:sz w:val="18"/>
              </w:rPr>
              <w:t>90.7%</w:t>
            </w:r>
          </w:p>
        </w:tc>
      </w:tr>
      <w:tr>
        <w:tc>
          <w:tcPr>
            <w:tcW w:type="dxa" w:w="1872"/>
          </w:tcPr>
          <w:p>
            <w:pPr>
              <w:spacing w:line="240" w:lineRule="auto"/>
            </w:pPr>
            <w:r/>
            <w:r>
              <w:rPr>
                <w:rFonts w:ascii="Garamond" w:hAnsi="Garamond"/>
                <w:sz w:val="18"/>
              </w:rPr>
              <w:t>Single-family land use</w:t>
            </w:r>
          </w:p>
        </w:tc>
        <w:tc>
          <w:tcPr>
            <w:tcW w:type="dxa" w:w="1872"/>
          </w:tcPr>
          <w:p>
            <w:pPr>
              <w:spacing w:line="240" w:lineRule="auto"/>
              <w:jc w:val="right"/>
            </w:pPr>
            <w:r/>
            <w:r>
              <w:rPr>
                <w:rFonts w:ascii="Garamond" w:hAnsi="Garamond"/>
                <w:sz w:val="18"/>
              </w:rPr>
              <w:t>77.6%</w:t>
            </w:r>
          </w:p>
        </w:tc>
        <w:tc>
          <w:tcPr>
            <w:tcW w:type="dxa" w:w="1872"/>
          </w:tcPr>
          <w:p>
            <w:pPr>
              <w:spacing w:line="240" w:lineRule="auto"/>
              <w:jc w:val="right"/>
            </w:pPr>
            <w:r/>
            <w:r>
              <w:rPr>
                <w:rFonts w:ascii="Garamond" w:hAnsi="Garamond"/>
                <w:sz w:val="18"/>
              </w:rPr>
              <w:t>60.6%</w:t>
            </w:r>
          </w:p>
        </w:tc>
        <w:tc>
          <w:tcPr>
            <w:tcW w:type="dxa" w:w="1872"/>
          </w:tcPr>
          <w:p>
            <w:pPr>
              <w:spacing w:line="240" w:lineRule="auto"/>
            </w:pPr>
            <w:r/>
            <w:r>
              <w:rPr>
                <w:rFonts w:ascii="Garamond" w:hAnsi="Garamond"/>
                <w:sz w:val="18"/>
              </w:rPr>
              <w:t>n/r</w:t>
            </w:r>
          </w:p>
        </w:tc>
        <w:tc>
          <w:tcPr>
            <w:tcW w:type="dxa" w:w="1872"/>
          </w:tcPr>
          <w:p>
            <w:pPr>
              <w:spacing w:line="240" w:lineRule="auto"/>
              <w:jc w:val="right"/>
            </w:pPr>
            <w:r/>
            <w:r>
              <w:rPr>
                <w:rFonts w:ascii="Garamond" w:hAnsi="Garamond"/>
                <w:sz w:val="18"/>
              </w:rPr>
              <w:t>87.5%</w:t>
            </w:r>
          </w:p>
        </w:tc>
      </w:tr>
      <w:tr>
        <w:tc>
          <w:tcPr>
            <w:tcW w:type="dxa" w:w="1872"/>
          </w:tcPr>
          <w:p>
            <w:pPr>
              <w:spacing w:line="240" w:lineRule="auto"/>
            </w:pPr>
            <w:r/>
            <w:r>
              <w:rPr>
                <w:rFonts w:ascii="Garamond" w:hAnsi="Garamond"/>
                <w:sz w:val="18"/>
              </w:rPr>
              <w:t>Residential condominium</w:t>
            </w:r>
          </w:p>
        </w:tc>
        <w:tc>
          <w:tcPr>
            <w:tcW w:type="dxa" w:w="1872"/>
          </w:tcPr>
          <w:p>
            <w:pPr>
              <w:spacing w:line="240" w:lineRule="auto"/>
              <w:jc w:val="right"/>
            </w:pPr>
            <w:r/>
            <w:r>
              <w:rPr>
                <w:rFonts w:ascii="Garamond" w:hAnsi="Garamond"/>
                <w:sz w:val="18"/>
              </w:rPr>
              <w:t>17.0%</w:t>
            </w:r>
          </w:p>
        </w:tc>
        <w:tc>
          <w:tcPr>
            <w:tcW w:type="dxa" w:w="1872"/>
          </w:tcPr>
          <w:p>
            <w:pPr>
              <w:spacing w:line="240" w:lineRule="auto"/>
              <w:jc w:val="right"/>
            </w:pPr>
            <w:r/>
            <w:r>
              <w:rPr>
                <w:rFonts w:ascii="Garamond" w:hAnsi="Garamond"/>
                <w:sz w:val="18"/>
              </w:rPr>
              <w:t>28.0%</w:t>
            </w:r>
          </w:p>
        </w:tc>
        <w:tc>
          <w:tcPr>
            <w:tcW w:type="dxa" w:w="1872"/>
          </w:tcPr>
          <w:p>
            <w:pPr>
              <w:spacing w:line="240" w:lineRule="auto"/>
            </w:pPr>
            <w:r/>
            <w:r>
              <w:rPr>
                <w:rFonts w:ascii="Garamond" w:hAnsi="Garamond"/>
                <w:sz w:val="18"/>
              </w:rPr>
              <w:t>n/r</w:t>
            </w:r>
          </w:p>
        </w:tc>
        <w:tc>
          <w:tcPr>
            <w:tcW w:type="dxa" w:w="1872"/>
          </w:tcPr>
          <w:p>
            <w:pPr>
              <w:spacing w:line="240" w:lineRule="auto"/>
              <w:jc w:val="right"/>
            </w:pPr>
            <w:r/>
            <w:r>
              <w:rPr>
                <w:rFonts w:ascii="Garamond" w:hAnsi="Garamond"/>
                <w:sz w:val="18"/>
              </w:rPr>
              <w:t>11.4%</w:t>
            </w:r>
          </w:p>
        </w:tc>
      </w:tr>
      <w:tr>
        <w:tc>
          <w:tcPr>
            <w:tcW w:type="dxa" w:w="1872"/>
          </w:tcPr>
          <w:p>
            <w:pPr>
              <w:spacing w:line="240" w:lineRule="auto"/>
            </w:pPr>
            <w:r/>
            <w:r>
              <w:rPr>
                <w:rFonts w:ascii="Garamond" w:hAnsi="Garamond"/>
                <w:sz w:val="18"/>
              </w:rPr>
              <w:t>Duplex</w:t>
            </w:r>
          </w:p>
        </w:tc>
        <w:tc>
          <w:tcPr>
            <w:tcW w:type="dxa" w:w="1872"/>
          </w:tcPr>
          <w:p>
            <w:pPr>
              <w:spacing w:line="240" w:lineRule="auto"/>
              <w:jc w:val="right"/>
            </w:pPr>
            <w:r/>
            <w:r>
              <w:rPr>
                <w:rFonts w:ascii="Garamond" w:hAnsi="Garamond"/>
                <w:sz w:val="18"/>
              </w:rPr>
              <w:t>2.8%</w:t>
            </w:r>
          </w:p>
        </w:tc>
        <w:tc>
          <w:tcPr>
            <w:tcW w:type="dxa" w:w="1872"/>
          </w:tcPr>
          <w:p>
            <w:pPr>
              <w:spacing w:line="240" w:lineRule="auto"/>
              <w:jc w:val="right"/>
            </w:pPr>
            <w:r/>
            <w:r>
              <w:rPr>
                <w:rFonts w:ascii="Garamond" w:hAnsi="Garamond"/>
                <w:sz w:val="18"/>
              </w:rPr>
              <w:t>8.1%</w:t>
            </w:r>
          </w:p>
        </w:tc>
        <w:tc>
          <w:tcPr>
            <w:tcW w:type="dxa" w:w="1872"/>
          </w:tcPr>
          <w:p>
            <w:pPr>
              <w:spacing w:line="240" w:lineRule="auto"/>
            </w:pPr>
            <w:r/>
            <w:r>
              <w:rPr>
                <w:rFonts w:ascii="Garamond" w:hAnsi="Garamond"/>
                <w:sz w:val="18"/>
              </w:rPr>
              <w:t>n/r</w:t>
            </w:r>
          </w:p>
        </w:tc>
        <w:tc>
          <w:tcPr>
            <w:tcW w:type="dxa" w:w="1872"/>
          </w:tcPr>
          <w:p>
            <w:pPr>
              <w:spacing w:line="240" w:lineRule="auto"/>
              <w:jc w:val="right"/>
            </w:pPr>
            <w:r/>
            <w:r>
              <w:rPr>
                <w:rFonts w:ascii="Garamond" w:hAnsi="Garamond"/>
                <w:sz w:val="18"/>
              </w:rPr>
              <w:t>0.5%</w:t>
            </w:r>
          </w:p>
        </w:tc>
      </w:tr>
      <w:tr>
        <w:tc>
          <w:tcPr>
            <w:tcW w:type="dxa" w:w="1872"/>
          </w:tcPr>
          <w:p>
            <w:pPr>
              <w:spacing w:line="240" w:lineRule="auto"/>
            </w:pPr>
            <w:r/>
            <w:r>
              <w:rPr>
                <w:rFonts w:ascii="Garamond" w:hAnsi="Garamond"/>
                <w:sz w:val="18"/>
              </w:rPr>
              <w:t>Zero lot line</w:t>
            </w:r>
          </w:p>
        </w:tc>
        <w:tc>
          <w:tcPr>
            <w:tcW w:type="dxa" w:w="1872"/>
          </w:tcPr>
          <w:p>
            <w:pPr>
              <w:spacing w:line="240" w:lineRule="auto"/>
              <w:jc w:val="right"/>
            </w:pPr>
            <w:r/>
            <w:r>
              <w:rPr>
                <w:rFonts w:ascii="Garamond" w:hAnsi="Garamond"/>
                <w:sz w:val="18"/>
              </w:rPr>
              <w:t>2.6%</w:t>
            </w:r>
          </w:p>
        </w:tc>
        <w:tc>
          <w:tcPr>
            <w:tcW w:type="dxa" w:w="1872"/>
          </w:tcPr>
          <w:p>
            <w:pPr>
              <w:spacing w:line="240" w:lineRule="auto"/>
              <w:jc w:val="right"/>
            </w:pPr>
            <w:r/>
            <w:r>
              <w:rPr>
                <w:rFonts w:ascii="Garamond" w:hAnsi="Garamond"/>
                <w:sz w:val="18"/>
              </w:rPr>
              <w:t>3.2%</w:t>
            </w:r>
          </w:p>
        </w:tc>
        <w:tc>
          <w:tcPr>
            <w:tcW w:type="dxa" w:w="1872"/>
          </w:tcPr>
          <w:p>
            <w:pPr>
              <w:spacing w:line="240" w:lineRule="auto"/>
            </w:pPr>
            <w:r/>
            <w:r>
              <w:rPr>
                <w:rFonts w:ascii="Garamond" w:hAnsi="Garamond"/>
                <w:sz w:val="18"/>
              </w:rPr>
              <w:t>n/r</w:t>
            </w:r>
          </w:p>
        </w:tc>
        <w:tc>
          <w:tcPr>
            <w:tcW w:type="dxa" w:w="1872"/>
          </w:tcPr>
          <w:p>
            <w:pPr>
              <w:spacing w:line="240" w:lineRule="auto"/>
              <w:jc w:val="right"/>
            </w:pPr>
            <w:r/>
            <w:r>
              <w:rPr>
                <w:rFonts w:ascii="Garamond" w:hAnsi="Garamond"/>
                <w:sz w:val="18"/>
              </w:rPr>
              <w:t>0.6%</w:t>
            </w:r>
          </w:p>
        </w:tc>
      </w:tr>
      <w:tr>
        <w:tc>
          <w:tcPr>
            <w:tcW w:type="dxa" w:w="1872"/>
          </w:tcPr>
          <w:p>
            <w:pPr>
              <w:spacing w:line="240" w:lineRule="auto"/>
            </w:pPr>
            <w:r/>
            <w:r>
              <w:rPr>
                <w:rFonts w:ascii="Garamond" w:hAnsi="Garamond"/>
                <w:sz w:val="18"/>
              </w:rPr>
              <w:t>Median year built</w:t>
            </w:r>
          </w:p>
        </w:tc>
        <w:tc>
          <w:tcPr>
            <w:tcW w:type="dxa" w:w="1872"/>
          </w:tcPr>
          <w:p>
            <w:pPr>
              <w:spacing w:line="240" w:lineRule="auto"/>
              <w:jc w:val="right"/>
            </w:pPr>
            <w:r/>
            <w:r>
              <w:rPr>
                <w:rFonts w:ascii="Garamond" w:hAnsi="Garamond"/>
                <w:sz w:val="18"/>
              </w:rPr>
              <w:t>1983</w:t>
            </w:r>
          </w:p>
        </w:tc>
        <w:tc>
          <w:tcPr>
            <w:tcW w:type="dxa" w:w="1872"/>
          </w:tcPr>
          <w:p>
            <w:pPr>
              <w:spacing w:line="240" w:lineRule="auto"/>
              <w:jc w:val="right"/>
            </w:pPr>
            <w:r/>
            <w:r>
              <w:rPr>
                <w:rFonts w:ascii="Garamond" w:hAnsi="Garamond"/>
                <w:sz w:val="18"/>
              </w:rPr>
              <w:t>1993</w:t>
            </w:r>
          </w:p>
        </w:tc>
        <w:tc>
          <w:tcPr>
            <w:tcW w:type="dxa" w:w="1872"/>
          </w:tcPr>
          <w:p>
            <w:pPr>
              <w:spacing w:line="240" w:lineRule="auto"/>
            </w:pPr>
            <w:r/>
            <w:r>
              <w:rPr>
                <w:rFonts w:ascii="Garamond" w:hAnsi="Garamond"/>
                <w:sz w:val="18"/>
              </w:rPr>
              <w:t>n/r</w:t>
            </w:r>
          </w:p>
        </w:tc>
        <w:tc>
          <w:tcPr>
            <w:tcW w:type="dxa" w:w="1872"/>
          </w:tcPr>
          <w:p>
            <w:pPr>
              <w:spacing w:line="240" w:lineRule="auto"/>
              <w:jc w:val="right"/>
            </w:pPr>
            <w:r/>
            <w:r>
              <w:rPr>
                <w:rFonts w:ascii="Garamond" w:hAnsi="Garamond"/>
                <w:sz w:val="18"/>
              </w:rPr>
              <w:t>2005</w:t>
            </w:r>
          </w:p>
        </w:tc>
      </w:tr>
      <w:tr>
        <w:tc>
          <w:tcPr>
            <w:tcW w:type="dxa" w:w="1872"/>
          </w:tcPr>
          <w:p>
            <w:pPr>
              <w:spacing w:line="240" w:lineRule="auto"/>
            </w:pPr>
            <w:r/>
            <w:r>
              <w:rPr>
                <w:rFonts w:ascii="Garamond" w:hAnsi="Garamond"/>
                <w:sz w:val="18"/>
              </w:rPr>
              <w:t>Median county appraisal</w:t>
            </w:r>
          </w:p>
        </w:tc>
        <w:tc>
          <w:tcPr>
            <w:tcW w:type="dxa" w:w="1872"/>
          </w:tcPr>
          <w:p>
            <w:pPr>
              <w:spacing w:line="240" w:lineRule="auto"/>
              <w:jc w:val="right"/>
            </w:pPr>
            <w:r/>
            <w:r>
              <w:rPr>
                <w:rFonts w:ascii="Garamond" w:hAnsi="Garamond"/>
                <w:sz w:val="18"/>
              </w:rPr>
              <w:t>$194,600</w:t>
            </w:r>
          </w:p>
        </w:tc>
        <w:tc>
          <w:tcPr>
            <w:tcW w:type="dxa" w:w="1872"/>
          </w:tcPr>
          <w:p>
            <w:pPr>
              <w:spacing w:line="240" w:lineRule="auto"/>
              <w:jc w:val="right"/>
            </w:pPr>
            <w:r/>
            <w:r>
              <w:rPr>
                <w:rFonts w:ascii="Garamond" w:hAnsi="Garamond"/>
                <w:sz w:val="18"/>
              </w:rPr>
              <w:t>$233,400</w:t>
            </w:r>
          </w:p>
        </w:tc>
        <w:tc>
          <w:tcPr>
            <w:tcW w:type="dxa" w:w="1872"/>
          </w:tcPr>
          <w:p>
            <w:pPr>
              <w:spacing w:line="240" w:lineRule="auto"/>
            </w:pPr>
            <w:r/>
            <w:r>
              <w:rPr>
                <w:rFonts w:ascii="Garamond" w:hAnsi="Garamond"/>
                <w:sz w:val="18"/>
              </w:rPr>
              <w:t>n/r</w:t>
            </w:r>
          </w:p>
        </w:tc>
        <w:tc>
          <w:tcPr>
            <w:tcW w:type="dxa" w:w="1872"/>
          </w:tcPr>
          <w:p>
            <w:pPr>
              <w:spacing w:line="240" w:lineRule="auto"/>
              <w:jc w:val="right"/>
            </w:pPr>
            <w:r/>
            <w:r>
              <w:rPr>
                <w:rFonts w:ascii="Garamond" w:hAnsi="Garamond"/>
                <w:sz w:val="18"/>
              </w:rPr>
              <w:t>$231,600</w:t>
            </w:r>
          </w:p>
        </w:tc>
      </w:tr>
    </w:tbl>
    <w:p>
      <w:pPr>
        <w:spacing w:after="0"/>
      </w:pPr>
    </w:p>
    <w:p>
      <w:pPr>
        <w:spacing w:line="240" w:lineRule="auto" w:before="0" w:after="120"/>
      </w:pPr>
      <w:r>
        <w:rPr>
          <w:rFonts w:ascii="Garamond" w:hAnsi="Garamond"/>
          <w:i/>
          <w:sz w:val="19"/>
        </w:rPr>
        <w:t>Notes: Sources: Metro Nashville Cadastral Layer 4 and the series' owner-type classifier; governments and lenders hold the remaining 730 parcels. Non-owner-occupied means the owner's mailing ZIP code differs from the property ZIP code; out-of-state means the mailing state is not Tennessee. Entity ownership is 7.7 percent of one-unit and 16.3 percent of two-unit homes. n/r = not reported.</w:t>
      </w:r>
    </w:p>
    <w:p>
      <w:pPr>
        <w:pStyle w:val="Heading2"/>
      </w:pPr>
      <w:r>
        <w:t>Table A3. Concentration of Entity-Owned Parcels by Owner-Group Size</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bottom w:val="single" w:sz="4" w:color="000000"/>
            </w:tcBorders>
          </w:tcPr>
          <w:p>
            <w:pPr>
              <w:spacing w:line="240" w:lineRule="auto"/>
            </w:pPr>
            <w:r>
              <w:rPr>
                <w:b/>
              </w:rPr>
            </w:r>
            <w:r>
              <w:rPr>
                <w:rFonts w:ascii="Garamond" w:hAnsi="Garamond"/>
                <w:b/>
                <w:sz w:val="18"/>
              </w:rPr>
              <w:t>Group size (parcels)</w:t>
            </w:r>
          </w:p>
        </w:tc>
        <w:tc>
          <w:tcPr>
            <w:tcW w:type="dxa" w:w="1872"/>
            <w:tcBorders>
              <w:bottom w:val="single" w:sz="4" w:color="000000"/>
            </w:tcBorders>
          </w:tcPr>
          <w:p>
            <w:pPr>
              <w:spacing w:line="240" w:lineRule="auto"/>
            </w:pPr>
            <w:r>
              <w:rPr>
                <w:b/>
              </w:rPr>
            </w:r>
            <w:r>
              <w:rPr>
                <w:rFonts w:ascii="Garamond" w:hAnsi="Garamond"/>
                <w:b/>
                <w:sz w:val="18"/>
              </w:rPr>
              <w:t>Owner groups</w:t>
            </w:r>
          </w:p>
        </w:tc>
        <w:tc>
          <w:tcPr>
            <w:tcW w:type="dxa" w:w="1872"/>
            <w:tcBorders>
              <w:bottom w:val="single" w:sz="4" w:color="000000"/>
            </w:tcBorders>
          </w:tcPr>
          <w:p>
            <w:pPr>
              <w:spacing w:line="240" w:lineRule="auto"/>
            </w:pPr>
            <w:r>
              <w:rPr>
                <w:b/>
              </w:rPr>
            </w:r>
            <w:r>
              <w:rPr>
                <w:rFonts w:ascii="Garamond" w:hAnsi="Garamond"/>
                <w:b/>
                <w:sz w:val="18"/>
              </w:rPr>
              <w:t>Share of groups</w:t>
            </w:r>
          </w:p>
        </w:tc>
        <w:tc>
          <w:tcPr>
            <w:tcW w:type="dxa" w:w="1872"/>
            <w:tcBorders>
              <w:bottom w:val="single" w:sz="4" w:color="000000"/>
            </w:tcBorders>
          </w:tcPr>
          <w:p>
            <w:pPr>
              <w:spacing w:line="240" w:lineRule="auto"/>
            </w:pPr>
            <w:r>
              <w:rPr>
                <w:b/>
              </w:rPr>
            </w:r>
            <w:r>
              <w:rPr>
                <w:rFonts w:ascii="Garamond" w:hAnsi="Garamond"/>
                <w:b/>
                <w:sz w:val="18"/>
              </w:rPr>
              <w:t>Parcels</w:t>
            </w:r>
          </w:p>
        </w:tc>
        <w:tc>
          <w:tcPr>
            <w:tcW w:type="dxa" w:w="1872"/>
            <w:tcBorders>
              <w:bottom w:val="single" w:sz="4" w:color="000000"/>
            </w:tcBorders>
          </w:tcPr>
          <w:p>
            <w:pPr>
              <w:spacing w:line="240" w:lineRule="auto"/>
            </w:pPr>
            <w:r>
              <w:rPr>
                <w:b/>
              </w:rPr>
            </w:r>
            <w:r>
              <w:rPr>
                <w:rFonts w:ascii="Garamond" w:hAnsi="Garamond"/>
                <w:b/>
                <w:sz w:val="18"/>
              </w:rPr>
              <w:t>Share of parcels</w:t>
            </w:r>
          </w:p>
        </w:tc>
      </w:tr>
      <w:tr>
        <w:tc>
          <w:tcPr>
            <w:tcW w:type="dxa" w:w="1872"/>
          </w:tcPr>
          <w:p>
            <w:pPr>
              <w:spacing w:line="240" w:lineRule="auto"/>
            </w:pPr>
            <w:r/>
            <w:r>
              <w:rPr>
                <w:rFonts w:ascii="Garamond" w:hAnsi="Garamond"/>
                <w:sz w:val="18"/>
              </w:rPr>
              <w:t>1</w:t>
            </w:r>
          </w:p>
        </w:tc>
        <w:tc>
          <w:tcPr>
            <w:tcW w:type="dxa" w:w="1872"/>
          </w:tcPr>
          <w:p>
            <w:pPr>
              <w:spacing w:line="240" w:lineRule="auto"/>
              <w:jc w:val="right"/>
            </w:pPr>
            <w:r/>
            <w:r>
              <w:rPr>
                <w:rFonts w:ascii="Garamond" w:hAnsi="Garamond"/>
                <w:sz w:val="18"/>
              </w:rPr>
              <w:t>5,096</w:t>
            </w:r>
          </w:p>
        </w:tc>
        <w:tc>
          <w:tcPr>
            <w:tcW w:type="dxa" w:w="1872"/>
          </w:tcPr>
          <w:p>
            <w:pPr>
              <w:spacing w:line="240" w:lineRule="auto"/>
              <w:jc w:val="right"/>
            </w:pPr>
            <w:r/>
            <w:r>
              <w:rPr>
                <w:rFonts w:ascii="Garamond" w:hAnsi="Garamond"/>
                <w:sz w:val="18"/>
              </w:rPr>
              <w:t>77.6%</w:t>
            </w:r>
          </w:p>
        </w:tc>
        <w:tc>
          <w:tcPr>
            <w:tcW w:type="dxa" w:w="1872"/>
          </w:tcPr>
          <w:p>
            <w:pPr>
              <w:spacing w:line="240" w:lineRule="auto"/>
              <w:jc w:val="right"/>
            </w:pPr>
            <w:r/>
            <w:r>
              <w:rPr>
                <w:rFonts w:ascii="Garamond" w:hAnsi="Garamond"/>
                <w:sz w:val="18"/>
              </w:rPr>
              <w:t>5,096</w:t>
            </w:r>
          </w:p>
        </w:tc>
        <w:tc>
          <w:tcPr>
            <w:tcW w:type="dxa" w:w="1872"/>
          </w:tcPr>
          <w:p>
            <w:pPr>
              <w:spacing w:line="240" w:lineRule="auto"/>
              <w:jc w:val="right"/>
            </w:pPr>
            <w:r/>
            <w:r>
              <w:rPr>
                <w:rFonts w:ascii="Garamond" w:hAnsi="Garamond"/>
                <w:sz w:val="18"/>
              </w:rPr>
              <w:t>30.8%</w:t>
            </w:r>
          </w:p>
        </w:tc>
      </w:tr>
      <w:tr>
        <w:tc>
          <w:tcPr>
            <w:tcW w:type="dxa" w:w="1872"/>
          </w:tcPr>
          <w:p>
            <w:pPr>
              <w:spacing w:line="240" w:lineRule="auto"/>
            </w:pPr>
            <w:r/>
            <w:r>
              <w:rPr>
                <w:rFonts w:ascii="Garamond" w:hAnsi="Garamond"/>
                <w:sz w:val="18"/>
              </w:rPr>
              <w:t>2 to 3</w:t>
            </w:r>
          </w:p>
        </w:tc>
        <w:tc>
          <w:tcPr>
            <w:tcW w:type="dxa" w:w="1872"/>
          </w:tcPr>
          <w:p>
            <w:pPr>
              <w:spacing w:line="240" w:lineRule="auto"/>
              <w:jc w:val="right"/>
            </w:pPr>
            <w:r/>
            <w:r>
              <w:rPr>
                <w:rFonts w:ascii="Garamond" w:hAnsi="Garamond"/>
                <w:sz w:val="18"/>
              </w:rPr>
              <w:t>967</w:t>
            </w:r>
          </w:p>
        </w:tc>
        <w:tc>
          <w:tcPr>
            <w:tcW w:type="dxa" w:w="1872"/>
          </w:tcPr>
          <w:p>
            <w:pPr>
              <w:spacing w:line="240" w:lineRule="auto"/>
              <w:jc w:val="right"/>
            </w:pPr>
            <w:r/>
            <w:r>
              <w:rPr>
                <w:rFonts w:ascii="Garamond" w:hAnsi="Garamond"/>
                <w:sz w:val="18"/>
              </w:rPr>
              <w:t>14.7%</w:t>
            </w:r>
          </w:p>
        </w:tc>
        <w:tc>
          <w:tcPr>
            <w:tcW w:type="dxa" w:w="1872"/>
          </w:tcPr>
          <w:p>
            <w:pPr>
              <w:spacing w:line="240" w:lineRule="auto"/>
              <w:jc w:val="right"/>
            </w:pPr>
            <w:r/>
            <w:r>
              <w:rPr>
                <w:rFonts w:ascii="Garamond" w:hAnsi="Garamond"/>
                <w:sz w:val="18"/>
              </w:rPr>
              <w:t>2,183</w:t>
            </w:r>
          </w:p>
        </w:tc>
        <w:tc>
          <w:tcPr>
            <w:tcW w:type="dxa" w:w="1872"/>
          </w:tcPr>
          <w:p>
            <w:pPr>
              <w:spacing w:line="240" w:lineRule="auto"/>
              <w:jc w:val="right"/>
            </w:pPr>
            <w:r/>
            <w:r>
              <w:rPr>
                <w:rFonts w:ascii="Garamond" w:hAnsi="Garamond"/>
                <w:sz w:val="18"/>
              </w:rPr>
              <w:t>13.2%</w:t>
            </w:r>
          </w:p>
        </w:tc>
      </w:tr>
      <w:tr>
        <w:tc>
          <w:tcPr>
            <w:tcW w:type="dxa" w:w="1872"/>
          </w:tcPr>
          <w:p>
            <w:pPr>
              <w:spacing w:line="240" w:lineRule="auto"/>
            </w:pPr>
            <w:r/>
            <w:r>
              <w:rPr>
                <w:rFonts w:ascii="Garamond" w:hAnsi="Garamond"/>
                <w:sz w:val="18"/>
              </w:rPr>
              <w:t>4 to 9</w:t>
            </w:r>
          </w:p>
        </w:tc>
        <w:tc>
          <w:tcPr>
            <w:tcW w:type="dxa" w:w="1872"/>
          </w:tcPr>
          <w:p>
            <w:pPr>
              <w:spacing w:line="240" w:lineRule="auto"/>
              <w:jc w:val="right"/>
            </w:pPr>
            <w:r/>
            <w:r>
              <w:rPr>
                <w:rFonts w:ascii="Garamond" w:hAnsi="Garamond"/>
                <w:sz w:val="18"/>
              </w:rPr>
              <w:t>362</w:t>
            </w:r>
          </w:p>
        </w:tc>
        <w:tc>
          <w:tcPr>
            <w:tcW w:type="dxa" w:w="1872"/>
          </w:tcPr>
          <w:p>
            <w:pPr>
              <w:spacing w:line="240" w:lineRule="auto"/>
              <w:jc w:val="right"/>
            </w:pPr>
            <w:r/>
            <w:r>
              <w:rPr>
                <w:rFonts w:ascii="Garamond" w:hAnsi="Garamond"/>
                <w:sz w:val="18"/>
              </w:rPr>
              <w:t>5.5%</w:t>
            </w:r>
          </w:p>
        </w:tc>
        <w:tc>
          <w:tcPr>
            <w:tcW w:type="dxa" w:w="1872"/>
          </w:tcPr>
          <w:p>
            <w:pPr>
              <w:spacing w:line="240" w:lineRule="auto"/>
              <w:jc w:val="right"/>
            </w:pPr>
            <w:r/>
            <w:r>
              <w:rPr>
                <w:rFonts w:ascii="Garamond" w:hAnsi="Garamond"/>
                <w:sz w:val="18"/>
              </w:rPr>
              <w:t>1,973</w:t>
            </w:r>
          </w:p>
        </w:tc>
        <w:tc>
          <w:tcPr>
            <w:tcW w:type="dxa" w:w="1872"/>
          </w:tcPr>
          <w:p>
            <w:pPr>
              <w:spacing w:line="240" w:lineRule="auto"/>
              <w:jc w:val="right"/>
            </w:pPr>
            <w:r/>
            <w:r>
              <w:rPr>
                <w:rFonts w:ascii="Garamond" w:hAnsi="Garamond"/>
                <w:sz w:val="18"/>
              </w:rPr>
              <w:t>11.9%</w:t>
            </w:r>
          </w:p>
        </w:tc>
      </w:tr>
      <w:tr>
        <w:tc>
          <w:tcPr>
            <w:tcW w:type="dxa" w:w="1872"/>
          </w:tcPr>
          <w:p>
            <w:pPr>
              <w:spacing w:line="240" w:lineRule="auto"/>
            </w:pPr>
            <w:r/>
            <w:r>
              <w:rPr>
                <w:rFonts w:ascii="Garamond" w:hAnsi="Garamond"/>
                <w:sz w:val="18"/>
              </w:rPr>
              <w:t>10 to 49</w:t>
            </w:r>
          </w:p>
        </w:tc>
        <w:tc>
          <w:tcPr>
            <w:tcW w:type="dxa" w:w="1872"/>
          </w:tcPr>
          <w:p>
            <w:pPr>
              <w:spacing w:line="240" w:lineRule="auto"/>
              <w:jc w:val="right"/>
            </w:pPr>
            <w:r/>
            <w:r>
              <w:rPr>
                <w:rFonts w:ascii="Garamond" w:hAnsi="Garamond"/>
                <w:sz w:val="18"/>
              </w:rPr>
              <w:t>121</w:t>
            </w:r>
          </w:p>
        </w:tc>
        <w:tc>
          <w:tcPr>
            <w:tcW w:type="dxa" w:w="1872"/>
          </w:tcPr>
          <w:p>
            <w:pPr>
              <w:spacing w:line="240" w:lineRule="auto"/>
              <w:jc w:val="right"/>
            </w:pPr>
            <w:r/>
            <w:r>
              <w:rPr>
                <w:rFonts w:ascii="Garamond" w:hAnsi="Garamond"/>
                <w:sz w:val="18"/>
              </w:rPr>
              <w:t>1.8%</w:t>
            </w:r>
          </w:p>
        </w:tc>
        <w:tc>
          <w:tcPr>
            <w:tcW w:type="dxa" w:w="1872"/>
          </w:tcPr>
          <w:p>
            <w:pPr>
              <w:spacing w:line="240" w:lineRule="auto"/>
              <w:jc w:val="right"/>
            </w:pPr>
            <w:r/>
            <w:r>
              <w:rPr>
                <w:rFonts w:ascii="Garamond" w:hAnsi="Garamond"/>
                <w:sz w:val="18"/>
              </w:rPr>
              <w:t>2,250</w:t>
            </w:r>
          </w:p>
        </w:tc>
        <w:tc>
          <w:tcPr>
            <w:tcW w:type="dxa" w:w="1872"/>
          </w:tcPr>
          <w:p>
            <w:pPr>
              <w:spacing w:line="240" w:lineRule="auto"/>
              <w:jc w:val="right"/>
            </w:pPr>
            <w:r/>
            <w:r>
              <w:rPr>
                <w:rFonts w:ascii="Garamond" w:hAnsi="Garamond"/>
                <w:sz w:val="18"/>
              </w:rPr>
              <w:t>13.6%</w:t>
            </w:r>
          </w:p>
        </w:tc>
      </w:tr>
      <w:tr>
        <w:tc>
          <w:tcPr>
            <w:tcW w:type="dxa" w:w="1872"/>
          </w:tcPr>
          <w:p>
            <w:pPr>
              <w:spacing w:line="240" w:lineRule="auto"/>
            </w:pPr>
            <w:r/>
            <w:r>
              <w:rPr>
                <w:rFonts w:ascii="Garamond" w:hAnsi="Garamond"/>
                <w:sz w:val="18"/>
              </w:rPr>
              <w:t>50 to 349</w:t>
            </w:r>
          </w:p>
        </w:tc>
        <w:tc>
          <w:tcPr>
            <w:tcW w:type="dxa" w:w="1872"/>
          </w:tcPr>
          <w:p>
            <w:pPr>
              <w:spacing w:line="240" w:lineRule="auto"/>
              <w:jc w:val="right"/>
            </w:pPr>
            <w:r/>
            <w:r>
              <w:rPr>
                <w:rFonts w:ascii="Garamond" w:hAnsi="Garamond"/>
                <w:sz w:val="18"/>
              </w:rPr>
              <w:t>20</w:t>
            </w:r>
          </w:p>
        </w:tc>
        <w:tc>
          <w:tcPr>
            <w:tcW w:type="dxa" w:w="1872"/>
          </w:tcPr>
          <w:p>
            <w:pPr>
              <w:spacing w:line="240" w:lineRule="auto"/>
              <w:jc w:val="right"/>
            </w:pPr>
            <w:r/>
            <w:r>
              <w:rPr>
                <w:rFonts w:ascii="Garamond" w:hAnsi="Garamond"/>
                <w:sz w:val="18"/>
              </w:rPr>
              <w:t>0.3%</w:t>
            </w:r>
          </w:p>
        </w:tc>
        <w:tc>
          <w:tcPr>
            <w:tcW w:type="dxa" w:w="1872"/>
          </w:tcPr>
          <w:p>
            <w:pPr>
              <w:spacing w:line="240" w:lineRule="auto"/>
              <w:jc w:val="right"/>
            </w:pPr>
            <w:r/>
            <w:r>
              <w:rPr>
                <w:rFonts w:ascii="Garamond" w:hAnsi="Garamond"/>
                <w:sz w:val="18"/>
              </w:rPr>
              <w:t>2,109</w:t>
            </w:r>
          </w:p>
        </w:tc>
        <w:tc>
          <w:tcPr>
            <w:tcW w:type="dxa" w:w="1872"/>
          </w:tcPr>
          <w:p>
            <w:pPr>
              <w:spacing w:line="240" w:lineRule="auto"/>
              <w:jc w:val="right"/>
            </w:pPr>
            <w:r/>
            <w:r>
              <w:rPr>
                <w:rFonts w:ascii="Garamond" w:hAnsi="Garamond"/>
                <w:sz w:val="18"/>
              </w:rPr>
              <w:t>12.7%</w:t>
            </w:r>
          </w:p>
        </w:tc>
      </w:tr>
      <w:tr>
        <w:tc>
          <w:tcPr>
            <w:tcW w:type="dxa" w:w="1872"/>
          </w:tcPr>
          <w:p>
            <w:pPr>
              <w:spacing w:line="240" w:lineRule="auto"/>
            </w:pPr>
            <w:r/>
            <w:r>
              <w:rPr>
                <w:rFonts w:ascii="Garamond" w:hAnsi="Garamond"/>
                <w:sz w:val="18"/>
              </w:rPr>
              <w:t>350 or more</w:t>
            </w:r>
          </w:p>
        </w:tc>
        <w:tc>
          <w:tcPr>
            <w:tcW w:type="dxa" w:w="1872"/>
          </w:tcPr>
          <w:p>
            <w:pPr>
              <w:spacing w:line="240" w:lineRule="auto"/>
              <w:jc w:val="right"/>
            </w:pPr>
            <w:r/>
            <w:r>
              <w:rPr>
                <w:rFonts w:ascii="Garamond" w:hAnsi="Garamond"/>
                <w:sz w:val="18"/>
              </w:rPr>
              <w:t>3</w:t>
            </w:r>
          </w:p>
        </w:tc>
        <w:tc>
          <w:tcPr>
            <w:tcW w:type="dxa" w:w="1872"/>
          </w:tcPr>
          <w:p>
            <w:pPr>
              <w:spacing w:line="240" w:lineRule="auto"/>
              <w:jc w:val="right"/>
            </w:pPr>
            <w:r/>
            <w:r>
              <w:rPr>
                <w:rFonts w:ascii="Garamond" w:hAnsi="Garamond"/>
                <w:sz w:val="18"/>
              </w:rPr>
              <w:t>0.05%</w:t>
            </w:r>
          </w:p>
        </w:tc>
        <w:tc>
          <w:tcPr>
            <w:tcW w:type="dxa" w:w="1872"/>
          </w:tcPr>
          <w:p>
            <w:pPr>
              <w:spacing w:line="240" w:lineRule="auto"/>
              <w:jc w:val="right"/>
            </w:pPr>
            <w:r/>
            <w:r>
              <w:rPr>
                <w:rFonts w:ascii="Garamond" w:hAnsi="Garamond"/>
                <w:sz w:val="18"/>
              </w:rPr>
              <w:t>2,956</w:t>
            </w:r>
          </w:p>
        </w:tc>
        <w:tc>
          <w:tcPr>
            <w:tcW w:type="dxa" w:w="1872"/>
          </w:tcPr>
          <w:p>
            <w:pPr>
              <w:spacing w:line="240" w:lineRule="auto"/>
              <w:jc w:val="right"/>
            </w:pPr>
            <w:r/>
            <w:r>
              <w:rPr>
                <w:rFonts w:ascii="Garamond" w:hAnsi="Garamond"/>
                <w:sz w:val="18"/>
              </w:rPr>
              <w:t>17.8%</w:t>
            </w:r>
          </w:p>
        </w:tc>
      </w:tr>
      <w:tr>
        <w:tc>
          <w:tcPr>
            <w:tcW w:type="dxa" w:w="1872"/>
          </w:tcPr>
          <w:p>
            <w:pPr>
              <w:spacing w:line="240" w:lineRule="auto"/>
            </w:pPr>
            <w:r/>
            <w:r>
              <w:rPr>
                <w:rFonts w:ascii="Garamond" w:hAnsi="Garamond"/>
                <w:sz w:val="18"/>
              </w:rPr>
              <w:t>Total</w:t>
            </w:r>
          </w:p>
        </w:tc>
        <w:tc>
          <w:tcPr>
            <w:tcW w:type="dxa" w:w="1872"/>
          </w:tcPr>
          <w:p>
            <w:pPr>
              <w:spacing w:line="240" w:lineRule="auto"/>
              <w:jc w:val="right"/>
            </w:pPr>
            <w:r/>
            <w:r>
              <w:rPr>
                <w:rFonts w:ascii="Garamond" w:hAnsi="Garamond"/>
                <w:sz w:val="18"/>
              </w:rPr>
              <w:t>6,569</w:t>
            </w:r>
          </w:p>
        </w:tc>
        <w:tc>
          <w:tcPr>
            <w:tcW w:type="dxa" w:w="1872"/>
          </w:tcPr>
          <w:p>
            <w:pPr>
              <w:spacing w:line="240" w:lineRule="auto"/>
              <w:jc w:val="right"/>
            </w:pPr>
            <w:r/>
            <w:r>
              <w:rPr>
                <w:rFonts w:ascii="Garamond" w:hAnsi="Garamond"/>
                <w:sz w:val="18"/>
              </w:rPr>
              <w:t>100%</w:t>
            </w:r>
          </w:p>
        </w:tc>
        <w:tc>
          <w:tcPr>
            <w:tcW w:type="dxa" w:w="1872"/>
          </w:tcPr>
          <w:p>
            <w:pPr>
              <w:spacing w:line="240" w:lineRule="auto"/>
              <w:jc w:val="right"/>
            </w:pPr>
            <w:r/>
            <w:r>
              <w:rPr>
                <w:rFonts w:ascii="Garamond" w:hAnsi="Garamond"/>
                <w:sz w:val="18"/>
              </w:rPr>
              <w:t>16,567</w:t>
            </w:r>
          </w:p>
        </w:tc>
        <w:tc>
          <w:tcPr>
            <w:tcW w:type="dxa" w:w="1872"/>
          </w:tcPr>
          <w:p>
            <w:pPr>
              <w:spacing w:line="240" w:lineRule="auto"/>
              <w:jc w:val="right"/>
            </w:pPr>
            <w:r/>
            <w:r>
              <w:rPr>
                <w:rFonts w:ascii="Garamond" w:hAnsi="Garamond"/>
                <w:sz w:val="18"/>
              </w:rPr>
              <w:t>100%</w:t>
            </w:r>
          </w:p>
        </w:tc>
      </w:tr>
    </w:tbl>
    <w:p>
      <w:pPr>
        <w:spacing w:after="0"/>
      </w:pPr>
    </w:p>
    <w:p>
      <w:pPr>
        <w:spacing w:line="240" w:lineRule="auto" w:before="0" w:after="120"/>
      </w:pPr>
      <w:r>
        <w:rPr>
          <w:rFonts w:ascii="Garamond" w:hAnsi="Garamond"/>
          <w:i/>
          <w:sz w:val="19"/>
        </w:rPr>
        <w:t>Notes: Source: author's grouping of the July 14, 2026 grounded cadastral owner file, 16,567 entity-owned parcels under 6,212 recorded names; operator-attributed parcels grouped to the parent, all others to the normalized name and mailing address. The three groups of 350 or more are Progress Residential, American Homes 4 Rent, and Amherst; their totals here differ slightly from Table A1, which carries the July 22 reattributions.</w:t>
      </w:r>
    </w:p>
    <w:p>
      <w:pPr>
        <w:pStyle w:val="Heading2"/>
      </w:pPr>
      <w:r>
        <w:t>Table A4. Recorded Names and Tax-Bill Addresses Behind the Largest Operators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Operator</w:t>
            </w:r>
          </w:p>
        </w:tc>
        <w:tc>
          <w:tcPr>
            <w:tcW w:type="dxa" w:w="2340"/>
            <w:tcBorders>
              <w:bottom w:val="single" w:sz="4" w:color="000000"/>
            </w:tcBorders>
          </w:tcPr>
          <w:p>
            <w:pPr>
              <w:spacing w:line="240" w:lineRule="auto"/>
            </w:pPr>
            <w:r>
              <w:rPr>
                <w:b/>
              </w:rPr>
            </w:r>
            <w:r>
              <w:rPr>
                <w:rFonts w:ascii="Garamond" w:hAnsi="Garamond"/>
                <w:b/>
                <w:sz w:val="18"/>
              </w:rPr>
              <w:t>Distinct recorded owner names</w:t>
            </w:r>
          </w:p>
        </w:tc>
        <w:tc>
          <w:tcPr>
            <w:tcW w:type="dxa" w:w="2340"/>
            <w:tcBorders>
              <w:bottom w:val="single" w:sz="4" w:color="000000"/>
            </w:tcBorders>
          </w:tcPr>
          <w:p>
            <w:pPr>
              <w:spacing w:line="240" w:lineRule="auto"/>
            </w:pPr>
            <w:r>
              <w:rPr>
                <w:b/>
              </w:rPr>
            </w:r>
            <w:r>
              <w:rPr>
                <w:rFonts w:ascii="Garamond" w:hAnsi="Garamond"/>
                <w:b/>
                <w:sz w:val="18"/>
              </w:rPr>
              <w:t>Principal tax-bill address</w:t>
            </w:r>
          </w:p>
        </w:tc>
        <w:tc>
          <w:tcPr>
            <w:tcW w:type="dxa" w:w="2340"/>
            <w:tcBorders>
              <w:bottom w:val="single" w:sz="4" w:color="000000"/>
            </w:tcBorders>
          </w:tcPr>
          <w:p>
            <w:pPr>
              <w:spacing w:line="240" w:lineRule="auto"/>
            </w:pPr>
            <w:r>
              <w:rPr>
                <w:b/>
              </w:rPr>
            </w:r>
            <w:r>
              <w:rPr>
                <w:rFonts w:ascii="Garamond" w:hAnsi="Garamond"/>
                <w:b/>
                <w:sz w:val="18"/>
              </w:rPr>
              <w:t>Parcels at that address</w:t>
            </w:r>
          </w:p>
        </w:tc>
      </w:tr>
      <w:tr>
        <w:tc>
          <w:tcPr>
            <w:tcW w:type="dxa" w:w="2340"/>
          </w:tcPr>
          <w:p>
            <w:pPr>
              <w:spacing w:line="240" w:lineRule="auto"/>
            </w:pPr>
            <w:r/>
            <w:r>
              <w:rPr>
                <w:rFonts w:ascii="Garamond" w:hAnsi="Garamond"/>
                <w:sz w:val="18"/>
              </w:rPr>
              <w:t>Amherst Residential</w:t>
            </w:r>
          </w:p>
        </w:tc>
        <w:tc>
          <w:tcPr>
            <w:tcW w:type="dxa" w:w="2340"/>
          </w:tcPr>
          <w:p>
            <w:pPr>
              <w:spacing w:line="240" w:lineRule="auto"/>
              <w:jc w:val="right"/>
            </w:pPr>
            <w:r/>
            <w:r>
              <w:rPr>
                <w:rFonts w:ascii="Garamond" w:hAnsi="Garamond"/>
                <w:sz w:val="18"/>
              </w:rPr>
              <w:t>73</w:t>
            </w:r>
          </w:p>
        </w:tc>
        <w:tc>
          <w:tcPr>
            <w:tcW w:type="dxa" w:w="2340"/>
          </w:tcPr>
          <w:p>
            <w:pPr>
              <w:spacing w:line="240" w:lineRule="auto"/>
            </w:pPr>
            <w:r/>
            <w:r>
              <w:rPr>
                <w:rFonts w:ascii="Garamond" w:hAnsi="Garamond"/>
                <w:sz w:val="18"/>
              </w:rPr>
              <w:t>5001 Plaza on the Lake, Austin, TX; 401 Congress Ave., Austin, TX</w:t>
            </w:r>
          </w:p>
        </w:tc>
        <w:tc>
          <w:tcPr>
            <w:tcW w:type="dxa" w:w="2340"/>
          </w:tcPr>
          <w:p>
            <w:pPr>
              <w:spacing w:line="240" w:lineRule="auto"/>
            </w:pPr>
            <w:r/>
            <w:r>
              <w:rPr>
                <w:rFonts w:ascii="Garamond" w:hAnsi="Garamond"/>
                <w:sz w:val="18"/>
              </w:rPr>
              <w:t>252; 164</w:t>
            </w:r>
          </w:p>
        </w:tc>
      </w:tr>
      <w:tr>
        <w:tc>
          <w:tcPr>
            <w:tcW w:type="dxa" w:w="2340"/>
          </w:tcPr>
          <w:p>
            <w:pPr>
              <w:spacing w:line="240" w:lineRule="auto"/>
            </w:pPr>
            <w:r/>
            <w:r>
              <w:rPr>
                <w:rFonts w:ascii="Garamond" w:hAnsi="Garamond"/>
                <w:sz w:val="18"/>
              </w:rPr>
              <w:t>Progress Residential</w:t>
            </w:r>
          </w:p>
        </w:tc>
        <w:tc>
          <w:tcPr>
            <w:tcW w:type="dxa" w:w="2340"/>
          </w:tcPr>
          <w:p>
            <w:pPr>
              <w:spacing w:line="240" w:lineRule="auto"/>
              <w:jc w:val="right"/>
            </w:pPr>
            <w:r/>
            <w:r>
              <w:rPr>
                <w:rFonts w:ascii="Garamond" w:hAnsi="Garamond"/>
                <w:sz w:val="18"/>
              </w:rPr>
              <w:t>71</w:t>
            </w:r>
          </w:p>
        </w:tc>
        <w:tc>
          <w:tcPr>
            <w:tcW w:type="dxa" w:w="2340"/>
          </w:tcPr>
          <w:p>
            <w:pPr>
              <w:spacing w:line="240" w:lineRule="auto"/>
            </w:pPr>
            <w:r/>
            <w:r>
              <w:rPr>
                <w:rFonts w:ascii="Garamond" w:hAnsi="Garamond"/>
                <w:sz w:val="18"/>
              </w:rPr>
              <w:t>P.O. Box 4090, Scottsdale, AZ 85261</w:t>
            </w:r>
          </w:p>
        </w:tc>
        <w:tc>
          <w:tcPr>
            <w:tcW w:type="dxa" w:w="2340"/>
          </w:tcPr>
          <w:p>
            <w:pPr>
              <w:spacing w:line="240" w:lineRule="auto"/>
              <w:jc w:val="right"/>
            </w:pPr>
            <w:r/>
            <w:r>
              <w:rPr>
                <w:rFonts w:ascii="Garamond" w:hAnsi="Garamond"/>
                <w:sz w:val="18"/>
              </w:rPr>
              <w:t>1,211</w:t>
            </w:r>
          </w:p>
        </w:tc>
      </w:tr>
      <w:tr>
        <w:tc>
          <w:tcPr>
            <w:tcW w:type="dxa" w:w="2340"/>
          </w:tcPr>
          <w:p>
            <w:pPr>
              <w:spacing w:line="240" w:lineRule="auto"/>
            </w:pPr>
            <w:r/>
            <w:r>
              <w:rPr>
                <w:rFonts w:ascii="Garamond" w:hAnsi="Garamond"/>
                <w:sz w:val="18"/>
              </w:rPr>
              <w:t>Tricon Residential</w:t>
            </w:r>
          </w:p>
        </w:tc>
        <w:tc>
          <w:tcPr>
            <w:tcW w:type="dxa" w:w="2340"/>
          </w:tcPr>
          <w:p>
            <w:pPr>
              <w:spacing w:line="240" w:lineRule="auto"/>
              <w:jc w:val="right"/>
            </w:pPr>
            <w:r/>
            <w:r>
              <w:rPr>
                <w:rFonts w:ascii="Garamond" w:hAnsi="Garamond"/>
                <w:sz w:val="18"/>
              </w:rPr>
              <w:t>36</w:t>
            </w:r>
          </w:p>
        </w:tc>
        <w:tc>
          <w:tcPr>
            <w:tcW w:type="dxa" w:w="2340"/>
          </w:tcPr>
          <w:p>
            <w:pPr>
              <w:spacing w:line="240" w:lineRule="auto"/>
            </w:pPr>
            <w:r/>
            <w:r>
              <w:rPr>
                <w:rFonts w:ascii="Garamond" w:hAnsi="Garamond"/>
                <w:sz w:val="18"/>
              </w:rPr>
              <w:t>P.O. Box 4900, c/o Ryan LLC, Scottsdale, AZ 85261 (shared)</w:t>
            </w:r>
          </w:p>
        </w:tc>
        <w:tc>
          <w:tcPr>
            <w:tcW w:type="dxa" w:w="2340"/>
          </w:tcPr>
          <w:p>
            <w:pPr>
              <w:spacing w:line="240" w:lineRule="auto"/>
              <w:jc w:val="right"/>
            </w:pPr>
            <w:r/>
            <w:r>
              <w:rPr>
                <w:rFonts w:ascii="Garamond" w:hAnsi="Garamond"/>
                <w:sz w:val="18"/>
              </w:rPr>
              <w:t>251</w:t>
            </w:r>
          </w:p>
        </w:tc>
      </w:tr>
      <w:tr>
        <w:tc>
          <w:tcPr>
            <w:tcW w:type="dxa" w:w="2340"/>
          </w:tcPr>
          <w:p>
            <w:pPr>
              <w:spacing w:line="240" w:lineRule="auto"/>
            </w:pPr>
            <w:r/>
            <w:r>
              <w:rPr>
                <w:rFonts w:ascii="Garamond" w:hAnsi="Garamond"/>
                <w:sz w:val="18"/>
              </w:rPr>
              <w:t>American Homes 4 Rent</w:t>
            </w:r>
          </w:p>
        </w:tc>
        <w:tc>
          <w:tcPr>
            <w:tcW w:type="dxa" w:w="2340"/>
          </w:tcPr>
          <w:p>
            <w:pPr>
              <w:spacing w:line="240" w:lineRule="auto"/>
              <w:jc w:val="right"/>
            </w:pPr>
            <w:r/>
            <w:r>
              <w:rPr>
                <w:rFonts w:ascii="Garamond" w:hAnsi="Garamond"/>
                <w:sz w:val="18"/>
              </w:rPr>
              <w:t>31</w:t>
            </w:r>
          </w:p>
        </w:tc>
        <w:tc>
          <w:tcPr>
            <w:tcW w:type="dxa" w:w="2340"/>
          </w:tcPr>
          <w:p>
            <w:pPr>
              <w:spacing w:line="240" w:lineRule="auto"/>
            </w:pPr>
            <w:r/>
            <w:r>
              <w:rPr>
                <w:rFonts w:ascii="Garamond" w:hAnsi="Garamond"/>
                <w:sz w:val="18"/>
              </w:rPr>
              <w:t>23975 Park Sorrento, Suite 300, Calabasas, CA</w:t>
            </w:r>
          </w:p>
        </w:tc>
        <w:tc>
          <w:tcPr>
            <w:tcW w:type="dxa" w:w="2340"/>
          </w:tcPr>
          <w:p>
            <w:pPr>
              <w:spacing w:line="240" w:lineRule="auto"/>
              <w:jc w:val="right"/>
            </w:pPr>
            <w:r/>
            <w:r>
              <w:rPr>
                <w:rFonts w:ascii="Garamond" w:hAnsi="Garamond"/>
                <w:sz w:val="18"/>
              </w:rPr>
              <w:t>896</w:t>
            </w:r>
          </w:p>
        </w:tc>
      </w:tr>
      <w:tr>
        <w:tc>
          <w:tcPr>
            <w:tcW w:type="dxa" w:w="2340"/>
          </w:tcPr>
          <w:p>
            <w:pPr>
              <w:spacing w:line="240" w:lineRule="auto"/>
            </w:pPr>
            <w:r/>
            <w:r>
              <w:rPr>
                <w:rFonts w:ascii="Garamond" w:hAnsi="Garamond"/>
                <w:sz w:val="18"/>
              </w:rPr>
              <w:t>FirstKey Homes</w:t>
            </w:r>
          </w:p>
        </w:tc>
        <w:tc>
          <w:tcPr>
            <w:tcW w:type="dxa" w:w="2340"/>
          </w:tcPr>
          <w:p>
            <w:pPr>
              <w:spacing w:line="240" w:lineRule="auto"/>
              <w:jc w:val="right"/>
            </w:pPr>
            <w:r/>
            <w:r>
              <w:rPr>
                <w:rFonts w:ascii="Garamond" w:hAnsi="Garamond"/>
                <w:sz w:val="18"/>
              </w:rPr>
              <w:t>20</w:t>
            </w:r>
          </w:p>
        </w:tc>
        <w:tc>
          <w:tcPr>
            <w:tcW w:type="dxa" w:w="2340"/>
          </w:tcPr>
          <w:p>
            <w:pPr>
              <w:spacing w:line="240" w:lineRule="auto"/>
            </w:pPr>
            <w:r/>
            <w:r>
              <w:rPr>
                <w:rFonts w:ascii="Garamond" w:hAnsi="Garamond"/>
                <w:sz w:val="18"/>
              </w:rPr>
              <w:t>n/r</w:t>
            </w:r>
          </w:p>
        </w:tc>
        <w:tc>
          <w:tcPr>
            <w:tcW w:type="dxa" w:w="2340"/>
          </w:tcPr>
          <w:p>
            <w:pPr>
              <w:spacing w:line="240" w:lineRule="auto"/>
            </w:pPr>
            <w:r/>
            <w:r>
              <w:rPr>
                <w:rFonts w:ascii="Garamond" w:hAnsi="Garamond"/>
                <w:sz w:val="18"/>
              </w:rPr>
              <w:t>n/r</w:t>
            </w:r>
          </w:p>
        </w:tc>
      </w:tr>
      <w:tr>
        <w:tc>
          <w:tcPr>
            <w:tcW w:type="dxa" w:w="2340"/>
          </w:tcPr>
          <w:p>
            <w:pPr>
              <w:spacing w:line="240" w:lineRule="auto"/>
            </w:pPr>
            <w:r/>
            <w:r>
              <w:rPr>
                <w:rFonts w:ascii="Garamond" w:hAnsi="Garamond"/>
                <w:sz w:val="18"/>
              </w:rPr>
              <w:t>My Community Homes</w:t>
            </w:r>
          </w:p>
        </w:tc>
        <w:tc>
          <w:tcPr>
            <w:tcW w:type="dxa" w:w="2340"/>
          </w:tcPr>
          <w:p>
            <w:pPr>
              <w:spacing w:line="240" w:lineRule="auto"/>
              <w:jc w:val="right"/>
            </w:pPr>
            <w:r/>
            <w:r>
              <w:rPr>
                <w:rFonts w:ascii="Garamond" w:hAnsi="Garamond"/>
                <w:sz w:val="18"/>
              </w:rPr>
              <w:t>13</w:t>
            </w:r>
          </w:p>
        </w:tc>
        <w:tc>
          <w:tcPr>
            <w:tcW w:type="dxa" w:w="2340"/>
          </w:tcPr>
          <w:p>
            <w:pPr>
              <w:spacing w:line="240" w:lineRule="auto"/>
            </w:pPr>
            <w:r/>
            <w:r>
              <w:rPr>
                <w:rFonts w:ascii="Garamond" w:hAnsi="Garamond"/>
                <w:sz w:val="18"/>
              </w:rPr>
              <w:t>n/r</w:t>
            </w:r>
          </w:p>
        </w:tc>
        <w:tc>
          <w:tcPr>
            <w:tcW w:type="dxa" w:w="2340"/>
          </w:tcPr>
          <w:p>
            <w:pPr>
              <w:spacing w:line="240" w:lineRule="auto"/>
            </w:pPr>
            <w:r/>
            <w:r>
              <w:rPr>
                <w:rFonts w:ascii="Garamond" w:hAnsi="Garamond"/>
                <w:sz w:val="18"/>
              </w:rPr>
              <w:t>n/r</w:t>
            </w:r>
          </w:p>
        </w:tc>
      </w:tr>
      <w:tr>
        <w:tc>
          <w:tcPr>
            <w:tcW w:type="dxa" w:w="2340"/>
          </w:tcPr>
          <w:p>
            <w:pPr>
              <w:spacing w:line="240" w:lineRule="auto"/>
            </w:pPr>
            <w:r/>
            <w:r>
              <w:rPr>
                <w:rFonts w:ascii="Garamond" w:hAnsi="Garamond"/>
                <w:sz w:val="18"/>
              </w:rPr>
              <w:t>Starwood Capital</w:t>
            </w:r>
          </w:p>
        </w:tc>
        <w:tc>
          <w:tcPr>
            <w:tcW w:type="dxa" w:w="2340"/>
          </w:tcPr>
          <w:p>
            <w:pPr>
              <w:spacing w:line="240" w:lineRule="auto"/>
              <w:jc w:val="right"/>
            </w:pPr>
            <w:r/>
            <w:r>
              <w:rPr>
                <w:rFonts w:ascii="Garamond" w:hAnsi="Garamond"/>
                <w:sz w:val="18"/>
              </w:rPr>
              <w:t>12</w:t>
            </w:r>
          </w:p>
        </w:tc>
        <w:tc>
          <w:tcPr>
            <w:tcW w:type="dxa" w:w="2340"/>
          </w:tcPr>
          <w:p>
            <w:pPr>
              <w:spacing w:line="240" w:lineRule="auto"/>
            </w:pPr>
            <w:r/>
            <w:r>
              <w:rPr>
                <w:rFonts w:ascii="Garamond" w:hAnsi="Garamond"/>
                <w:sz w:val="18"/>
              </w:rPr>
              <w:t>P.O. Box 4900, c/o Ryan LLC, Scottsdale, AZ 85261 (shared)</w:t>
            </w:r>
          </w:p>
        </w:tc>
        <w:tc>
          <w:tcPr>
            <w:tcW w:type="dxa" w:w="2340"/>
          </w:tcPr>
          <w:p>
            <w:pPr>
              <w:spacing w:line="240" w:lineRule="auto"/>
              <w:jc w:val="right"/>
            </w:pPr>
            <w:r/>
            <w:r>
              <w:rPr>
                <w:rFonts w:ascii="Garamond" w:hAnsi="Garamond"/>
                <w:sz w:val="18"/>
              </w:rPr>
              <w:t>181</w:t>
            </w:r>
          </w:p>
        </w:tc>
      </w:tr>
      <w:tr>
        <w:tc>
          <w:tcPr>
            <w:tcW w:type="dxa" w:w="2340"/>
          </w:tcPr>
          <w:p>
            <w:pPr>
              <w:spacing w:line="240" w:lineRule="auto"/>
            </w:pPr>
            <w:r/>
            <w:r>
              <w:rPr>
                <w:rFonts w:ascii="Garamond" w:hAnsi="Garamond"/>
                <w:sz w:val="18"/>
              </w:rPr>
              <w:t>Normandy Group</w:t>
            </w:r>
          </w:p>
        </w:tc>
        <w:tc>
          <w:tcPr>
            <w:tcW w:type="dxa" w:w="2340"/>
          </w:tcPr>
          <w:p>
            <w:pPr>
              <w:spacing w:line="240" w:lineRule="auto"/>
            </w:pPr>
            <w:r/>
            <w:r>
              <w:rPr>
                <w:rFonts w:ascii="Garamond" w:hAnsi="Garamond"/>
                <w:sz w:val="18"/>
              </w:rPr>
              <w:t>n/r</w:t>
            </w:r>
          </w:p>
        </w:tc>
        <w:tc>
          <w:tcPr>
            <w:tcW w:type="dxa" w:w="2340"/>
          </w:tcPr>
          <w:p>
            <w:pPr>
              <w:spacing w:line="240" w:lineRule="auto"/>
            </w:pPr>
            <w:r/>
            <w:r>
              <w:rPr>
                <w:rFonts w:ascii="Garamond" w:hAnsi="Garamond"/>
                <w:sz w:val="18"/>
              </w:rPr>
              <w:t>421 E. Iris Dr., Suite 300, Nashville, TN</w:t>
            </w:r>
          </w:p>
        </w:tc>
        <w:tc>
          <w:tcPr>
            <w:tcW w:type="dxa" w:w="2340"/>
          </w:tcPr>
          <w:p>
            <w:pPr>
              <w:spacing w:line="240" w:lineRule="auto"/>
              <w:jc w:val="right"/>
            </w:pPr>
            <w:r/>
            <w:r>
              <w:rPr>
                <w:rFonts w:ascii="Garamond" w:hAnsi="Garamond"/>
                <w:sz w:val="18"/>
              </w:rPr>
              <w:t>282</w:t>
            </w:r>
          </w:p>
        </w:tc>
      </w:tr>
      <w:tr>
        <w:tc>
          <w:tcPr>
            <w:tcW w:type="dxa" w:w="2340"/>
          </w:tcPr>
          <w:p>
            <w:pPr>
              <w:spacing w:line="240" w:lineRule="auto"/>
            </w:pPr>
            <w:r/>
            <w:r>
              <w:rPr>
                <w:rFonts w:ascii="Garamond" w:hAnsi="Garamond"/>
                <w:sz w:val="18"/>
              </w:rPr>
              <w:t>All operator-attributed parcels</w:t>
            </w:r>
          </w:p>
        </w:tc>
        <w:tc>
          <w:tcPr>
            <w:tcW w:type="dxa" w:w="2340"/>
          </w:tcPr>
          <w:p>
            <w:pPr>
              <w:spacing w:line="240" w:lineRule="auto"/>
              <w:jc w:val="right"/>
            </w:pPr>
            <w:r/>
            <w:r>
              <w:rPr>
                <w:rFonts w:ascii="Garamond" w:hAnsi="Garamond"/>
                <w:sz w:val="18"/>
              </w:rPr>
              <w:t>329</w:t>
            </w:r>
          </w:p>
        </w:tc>
        <w:tc>
          <w:tcPr>
            <w:tcW w:type="dxa" w:w="2340"/>
          </w:tcPr>
          <w:p>
            <w:pPr>
              <w:spacing w:line="240" w:lineRule="auto"/>
            </w:pPr>
            <w:r/>
          </w:p>
        </w:tc>
        <w:tc>
          <w:tcPr>
            <w:tcW w:type="dxa" w:w="2340"/>
          </w:tcPr>
          <w:p>
            <w:pPr>
              <w:spacing w:line="240" w:lineRule="auto"/>
              <w:jc w:val="right"/>
            </w:pPr>
            <w:r/>
            <w:r>
              <w:rPr>
                <w:rFonts w:ascii="Garamond" w:hAnsi="Garamond"/>
                <w:sz w:val="18"/>
              </w:rPr>
              <w:t>4,626</w:t>
            </w:r>
          </w:p>
        </w:tc>
      </w:tr>
    </w:tbl>
    <w:p>
      <w:pPr>
        <w:spacing w:after="0"/>
      </w:pPr>
    </w:p>
    <w:p>
      <w:pPr>
        <w:spacing w:line="240" w:lineRule="auto" w:before="0" w:after="120"/>
      </w:pPr>
      <w:r>
        <w:rPr>
          <w:rFonts w:ascii="Garamond" w:hAnsi="Garamond"/>
          <w:i/>
          <w:sz w:val="19"/>
        </w:rPr>
        <w:t>Notes: Source: owner name and mailing address fields of Metro Nashville Cadastral Layer 4, July 14, 2026. Post Office Box 4900 serves three unrelated owners (Tricon, Starwood, and Home Partners of America, 18 parcels) and is excluded as grouping evidence. The parent-subsidiary registry behind the crosswalk holds 9,973 entities under 97 parent families. n/r = not reported.</w:t>
      </w:r>
    </w:p>
    <w:p>
      <w:pPr>
        <w:pStyle w:val="Heading2"/>
      </w:pPr>
      <w:r>
        <w:t>Table A5. Entity and Named-Operator Ownership Rates in Burdened and Non-Burdened Tracts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936"/>
        <w:gridCol w:w="936"/>
        <w:gridCol w:w="936"/>
        <w:gridCol w:w="936"/>
        <w:gridCol w:w="936"/>
        <w:gridCol w:w="936"/>
        <w:gridCol w:w="936"/>
        <w:gridCol w:w="936"/>
        <w:gridCol w:w="936"/>
        <w:gridCol w:w="936"/>
      </w:tblGrid>
      <w:tr>
        <w:tc>
          <w:tcPr>
            <w:tcW w:type="dxa" w:w="936"/>
            <w:tcBorders>
              <w:bottom w:val="single" w:sz="4" w:color="000000"/>
            </w:tcBorders>
          </w:tcPr>
          <w:p>
            <w:pPr>
              <w:spacing w:line="240" w:lineRule="auto"/>
            </w:pPr>
            <w:r>
              <w:rPr>
                <w:b/>
              </w:rPr>
            </w:r>
            <w:r>
              <w:rPr>
                <w:rFonts w:ascii="Garamond" w:hAnsi="Garamond"/>
                <w:b/>
                <w:sz w:val="16"/>
              </w:rPr>
              <w:t>Tract class</w:t>
            </w:r>
          </w:p>
        </w:tc>
        <w:tc>
          <w:tcPr>
            <w:tcW w:type="dxa" w:w="936"/>
            <w:tcBorders>
              <w:bottom w:val="single" w:sz="4" w:color="000000"/>
            </w:tcBorders>
          </w:tcPr>
          <w:p>
            <w:pPr>
              <w:spacing w:line="240" w:lineRule="auto"/>
            </w:pPr>
            <w:r>
              <w:rPr>
                <w:b/>
              </w:rPr>
            </w:r>
            <w:r>
              <w:rPr>
                <w:rFonts w:ascii="Garamond" w:hAnsi="Garamond"/>
                <w:b/>
                <w:sz w:val="16"/>
              </w:rPr>
              <w:t>Tracts</w:t>
            </w:r>
          </w:p>
        </w:tc>
        <w:tc>
          <w:tcPr>
            <w:tcW w:type="dxa" w:w="936"/>
            <w:tcBorders>
              <w:bottom w:val="single" w:sz="4" w:color="000000"/>
            </w:tcBorders>
          </w:tcPr>
          <w:p>
            <w:pPr>
              <w:spacing w:line="240" w:lineRule="auto"/>
            </w:pPr>
            <w:r>
              <w:rPr>
                <w:b/>
              </w:rPr>
            </w:r>
            <w:r>
              <w:rPr>
                <w:rFonts w:ascii="Garamond" w:hAnsi="Garamond"/>
                <w:b/>
                <w:sz w:val="16"/>
              </w:rPr>
              <w:t>Framework parcels</w:t>
            </w:r>
          </w:p>
        </w:tc>
        <w:tc>
          <w:tcPr>
            <w:tcW w:type="dxa" w:w="936"/>
            <w:tcBorders>
              <w:bottom w:val="single" w:sz="4" w:color="000000"/>
            </w:tcBorders>
          </w:tcPr>
          <w:p>
            <w:pPr>
              <w:spacing w:line="240" w:lineRule="auto"/>
            </w:pPr>
            <w:r>
              <w:rPr>
                <w:b/>
              </w:rPr>
            </w:r>
            <w:r>
              <w:rPr>
                <w:rFonts w:ascii="Garamond" w:hAnsi="Garamond"/>
                <w:b/>
                <w:sz w:val="16"/>
              </w:rPr>
              <w:t>Entity-owned</w:t>
            </w:r>
          </w:p>
        </w:tc>
        <w:tc>
          <w:tcPr>
            <w:tcW w:type="dxa" w:w="936"/>
            <w:tcBorders>
              <w:bottom w:val="single" w:sz="4" w:color="000000"/>
            </w:tcBorders>
          </w:tcPr>
          <w:p>
            <w:pPr>
              <w:spacing w:line="240" w:lineRule="auto"/>
            </w:pPr>
            <w:r>
              <w:rPr>
                <w:b/>
              </w:rPr>
            </w:r>
            <w:r>
              <w:rPr>
                <w:rFonts w:ascii="Garamond" w:hAnsi="Garamond"/>
                <w:b/>
                <w:sz w:val="16"/>
              </w:rPr>
              <w:t>Entity rate</w:t>
            </w:r>
          </w:p>
        </w:tc>
        <w:tc>
          <w:tcPr>
            <w:tcW w:type="dxa" w:w="936"/>
            <w:tcBorders>
              <w:bottom w:val="single" w:sz="4" w:color="000000"/>
            </w:tcBorders>
          </w:tcPr>
          <w:p>
            <w:pPr>
              <w:spacing w:line="240" w:lineRule="auto"/>
            </w:pPr>
            <w:r>
              <w:rPr>
                <w:b/>
              </w:rPr>
            </w:r>
            <w:r>
              <w:rPr>
                <w:rFonts w:ascii="Garamond" w:hAnsi="Garamond"/>
                <w:b/>
                <w:sz w:val="16"/>
              </w:rPr>
              <w:t>Named-operator</w:t>
            </w:r>
          </w:p>
        </w:tc>
        <w:tc>
          <w:tcPr>
            <w:tcW w:type="dxa" w:w="936"/>
            <w:tcBorders>
              <w:bottom w:val="single" w:sz="4" w:color="000000"/>
            </w:tcBorders>
          </w:tcPr>
          <w:p>
            <w:pPr>
              <w:spacing w:line="240" w:lineRule="auto"/>
            </w:pPr>
            <w:r>
              <w:rPr>
                <w:b/>
              </w:rPr>
            </w:r>
            <w:r>
              <w:rPr>
                <w:rFonts w:ascii="Garamond" w:hAnsi="Garamond"/>
                <w:b/>
                <w:sz w:val="16"/>
              </w:rPr>
              <w:t>Named rate</w:t>
            </w:r>
          </w:p>
        </w:tc>
        <w:tc>
          <w:tcPr>
            <w:tcW w:type="dxa" w:w="936"/>
            <w:tcBorders>
              <w:bottom w:val="single" w:sz="4" w:color="000000"/>
            </w:tcBorders>
          </w:tcPr>
          <w:p>
            <w:pPr>
              <w:spacing w:line="240" w:lineRule="auto"/>
            </w:pPr>
            <w:r>
              <w:rPr>
                <w:b/>
              </w:rPr>
            </w:r>
            <w:r>
              <w:rPr>
                <w:rFonts w:ascii="Garamond" w:hAnsi="Garamond"/>
                <w:b/>
                <w:sz w:val="16"/>
              </w:rPr>
              <w:t>Median income</w:t>
            </w:r>
          </w:p>
        </w:tc>
        <w:tc>
          <w:tcPr>
            <w:tcW w:type="dxa" w:w="936"/>
            <w:tcBorders>
              <w:bottom w:val="single" w:sz="4" w:color="000000"/>
            </w:tcBorders>
          </w:tcPr>
          <w:p>
            <w:pPr>
              <w:spacing w:line="240" w:lineRule="auto"/>
            </w:pPr>
            <w:r>
              <w:rPr>
                <w:b/>
              </w:rPr>
            </w:r>
            <w:r>
              <w:rPr>
                <w:rFonts w:ascii="Garamond" w:hAnsi="Garamond"/>
                <w:b/>
                <w:sz w:val="16"/>
              </w:rPr>
              <w:t>Median poverty</w:t>
            </w:r>
          </w:p>
        </w:tc>
        <w:tc>
          <w:tcPr>
            <w:tcW w:type="dxa" w:w="936"/>
            <w:tcBorders>
              <w:bottom w:val="single" w:sz="4" w:color="000000"/>
            </w:tcBorders>
          </w:tcPr>
          <w:p>
            <w:pPr>
              <w:spacing w:line="240" w:lineRule="auto"/>
            </w:pPr>
            <w:r>
              <w:rPr>
                <w:b/>
              </w:rPr>
            </w:r>
            <w:r>
              <w:rPr>
                <w:rFonts w:ascii="Garamond" w:hAnsi="Garamond"/>
                <w:b/>
                <w:sz w:val="16"/>
              </w:rPr>
              <w:t>Median Black share</w:t>
            </w:r>
          </w:p>
        </w:tc>
      </w:tr>
      <w:tr>
        <w:tc>
          <w:tcPr>
            <w:tcW w:type="dxa" w:w="936"/>
          </w:tcPr>
          <w:p>
            <w:pPr>
              <w:spacing w:line="240" w:lineRule="auto"/>
            </w:pPr>
            <w:r/>
            <w:r>
              <w:rPr>
                <w:rFonts w:ascii="Garamond" w:hAnsi="Garamond"/>
                <w:sz w:val="16"/>
              </w:rPr>
              <w:t>Burdened</w:t>
            </w:r>
          </w:p>
        </w:tc>
        <w:tc>
          <w:tcPr>
            <w:tcW w:type="dxa" w:w="936"/>
          </w:tcPr>
          <w:p>
            <w:pPr>
              <w:spacing w:line="240" w:lineRule="auto"/>
              <w:jc w:val="right"/>
            </w:pPr>
            <w:r/>
            <w:r>
              <w:rPr>
                <w:rFonts w:ascii="Garamond" w:hAnsi="Garamond"/>
                <w:sz w:val="16"/>
              </w:rPr>
              <w:t>72</w:t>
            </w:r>
          </w:p>
        </w:tc>
        <w:tc>
          <w:tcPr>
            <w:tcW w:type="dxa" w:w="936"/>
          </w:tcPr>
          <w:p>
            <w:pPr>
              <w:spacing w:line="240" w:lineRule="auto"/>
              <w:jc w:val="right"/>
            </w:pPr>
            <w:r/>
            <w:r>
              <w:rPr>
                <w:rFonts w:ascii="Garamond" w:hAnsi="Garamond"/>
                <w:sz w:val="16"/>
              </w:rPr>
              <w:t>63,882</w:t>
            </w:r>
          </w:p>
        </w:tc>
        <w:tc>
          <w:tcPr>
            <w:tcW w:type="dxa" w:w="936"/>
          </w:tcPr>
          <w:p>
            <w:pPr>
              <w:spacing w:line="240" w:lineRule="auto"/>
              <w:jc w:val="right"/>
            </w:pPr>
            <w:r/>
            <w:r>
              <w:rPr>
                <w:rFonts w:ascii="Garamond" w:hAnsi="Garamond"/>
                <w:sz w:val="16"/>
              </w:rPr>
              <w:t>6,317</w:t>
            </w:r>
          </w:p>
        </w:tc>
        <w:tc>
          <w:tcPr>
            <w:tcW w:type="dxa" w:w="936"/>
          </w:tcPr>
          <w:p>
            <w:pPr>
              <w:spacing w:line="240" w:lineRule="auto"/>
              <w:jc w:val="right"/>
            </w:pPr>
            <w:r/>
            <w:r>
              <w:rPr>
                <w:rFonts w:ascii="Garamond" w:hAnsi="Garamond"/>
                <w:sz w:val="16"/>
              </w:rPr>
              <w:t>9.89%</w:t>
            </w:r>
          </w:p>
        </w:tc>
        <w:tc>
          <w:tcPr>
            <w:tcW w:type="dxa" w:w="936"/>
          </w:tcPr>
          <w:p>
            <w:pPr>
              <w:spacing w:line="240" w:lineRule="auto"/>
              <w:jc w:val="right"/>
            </w:pPr>
            <w:r/>
            <w:r>
              <w:rPr>
                <w:rFonts w:ascii="Garamond" w:hAnsi="Garamond"/>
                <w:sz w:val="16"/>
              </w:rPr>
              <w:t>1,069</w:t>
            </w:r>
          </w:p>
        </w:tc>
        <w:tc>
          <w:tcPr>
            <w:tcW w:type="dxa" w:w="936"/>
          </w:tcPr>
          <w:p>
            <w:pPr>
              <w:spacing w:line="240" w:lineRule="auto"/>
              <w:jc w:val="right"/>
            </w:pPr>
            <w:r/>
            <w:r>
              <w:rPr>
                <w:rFonts w:ascii="Garamond" w:hAnsi="Garamond"/>
                <w:sz w:val="16"/>
              </w:rPr>
              <w:t>1.67%</w:t>
            </w:r>
          </w:p>
        </w:tc>
        <w:tc>
          <w:tcPr>
            <w:tcW w:type="dxa" w:w="936"/>
          </w:tcPr>
          <w:p>
            <w:pPr>
              <w:spacing w:line="240" w:lineRule="auto"/>
              <w:jc w:val="right"/>
            </w:pPr>
            <w:r/>
            <w:r>
              <w:rPr>
                <w:rFonts w:ascii="Garamond" w:hAnsi="Garamond"/>
                <w:sz w:val="16"/>
              </w:rPr>
              <w:t>$58,850</w:t>
            </w:r>
          </w:p>
        </w:tc>
        <w:tc>
          <w:tcPr>
            <w:tcW w:type="dxa" w:w="936"/>
          </w:tcPr>
          <w:p>
            <w:pPr>
              <w:spacing w:line="240" w:lineRule="auto"/>
              <w:jc w:val="right"/>
            </w:pPr>
            <w:r/>
            <w:r>
              <w:rPr>
                <w:rFonts w:ascii="Garamond" w:hAnsi="Garamond"/>
                <w:sz w:val="16"/>
              </w:rPr>
              <w:t>19.8%</w:t>
            </w:r>
          </w:p>
        </w:tc>
        <w:tc>
          <w:tcPr>
            <w:tcW w:type="dxa" w:w="936"/>
          </w:tcPr>
          <w:p>
            <w:pPr>
              <w:spacing w:line="240" w:lineRule="auto"/>
              <w:jc w:val="right"/>
            </w:pPr>
            <w:r/>
            <w:r>
              <w:rPr>
                <w:rFonts w:ascii="Garamond" w:hAnsi="Garamond"/>
                <w:sz w:val="16"/>
              </w:rPr>
              <w:t>31.8%</w:t>
            </w:r>
          </w:p>
        </w:tc>
      </w:tr>
      <w:tr>
        <w:tc>
          <w:tcPr>
            <w:tcW w:type="dxa" w:w="936"/>
          </w:tcPr>
          <w:p>
            <w:pPr>
              <w:spacing w:line="240" w:lineRule="auto"/>
            </w:pPr>
            <w:r/>
            <w:r>
              <w:rPr>
                <w:rFonts w:ascii="Garamond" w:hAnsi="Garamond"/>
                <w:sz w:val="16"/>
              </w:rPr>
              <w:t>Non-burdened</w:t>
            </w:r>
          </w:p>
        </w:tc>
        <w:tc>
          <w:tcPr>
            <w:tcW w:type="dxa" w:w="936"/>
          </w:tcPr>
          <w:p>
            <w:pPr>
              <w:spacing w:line="240" w:lineRule="auto"/>
              <w:jc w:val="right"/>
            </w:pPr>
            <w:r/>
            <w:r>
              <w:rPr>
                <w:rFonts w:ascii="Garamond" w:hAnsi="Garamond"/>
                <w:sz w:val="16"/>
              </w:rPr>
              <w:t>98</w:t>
            </w:r>
          </w:p>
        </w:tc>
        <w:tc>
          <w:tcPr>
            <w:tcW w:type="dxa" w:w="936"/>
          </w:tcPr>
          <w:p>
            <w:pPr>
              <w:spacing w:line="240" w:lineRule="auto"/>
              <w:jc w:val="right"/>
            </w:pPr>
            <w:r/>
            <w:r>
              <w:rPr>
                <w:rFonts w:ascii="Garamond" w:hAnsi="Garamond"/>
                <w:sz w:val="16"/>
              </w:rPr>
              <w:t>142,159</w:t>
            </w:r>
          </w:p>
        </w:tc>
        <w:tc>
          <w:tcPr>
            <w:tcW w:type="dxa" w:w="936"/>
          </w:tcPr>
          <w:p>
            <w:pPr>
              <w:spacing w:line="240" w:lineRule="auto"/>
              <w:jc w:val="right"/>
            </w:pPr>
            <w:r/>
            <w:r>
              <w:rPr>
                <w:rFonts w:ascii="Garamond" w:hAnsi="Garamond"/>
                <w:sz w:val="16"/>
              </w:rPr>
              <w:t>10,249</w:t>
            </w:r>
          </w:p>
        </w:tc>
        <w:tc>
          <w:tcPr>
            <w:tcW w:type="dxa" w:w="936"/>
          </w:tcPr>
          <w:p>
            <w:pPr>
              <w:spacing w:line="240" w:lineRule="auto"/>
              <w:jc w:val="right"/>
            </w:pPr>
            <w:r/>
            <w:r>
              <w:rPr>
                <w:rFonts w:ascii="Garamond" w:hAnsi="Garamond"/>
                <w:sz w:val="16"/>
              </w:rPr>
              <w:t>7.21%</w:t>
            </w:r>
          </w:p>
        </w:tc>
        <w:tc>
          <w:tcPr>
            <w:tcW w:type="dxa" w:w="936"/>
          </w:tcPr>
          <w:p>
            <w:pPr>
              <w:spacing w:line="240" w:lineRule="auto"/>
              <w:jc w:val="right"/>
            </w:pPr>
            <w:r/>
            <w:r>
              <w:rPr>
                <w:rFonts w:ascii="Garamond" w:hAnsi="Garamond"/>
                <w:sz w:val="16"/>
              </w:rPr>
              <w:t>2,871</w:t>
            </w:r>
          </w:p>
        </w:tc>
        <w:tc>
          <w:tcPr>
            <w:tcW w:type="dxa" w:w="936"/>
          </w:tcPr>
          <w:p>
            <w:pPr>
              <w:spacing w:line="240" w:lineRule="auto"/>
              <w:jc w:val="right"/>
            </w:pPr>
            <w:r/>
            <w:r>
              <w:rPr>
                <w:rFonts w:ascii="Garamond" w:hAnsi="Garamond"/>
                <w:sz w:val="16"/>
              </w:rPr>
              <w:t>2.02%</w:t>
            </w:r>
          </w:p>
        </w:tc>
        <w:tc>
          <w:tcPr>
            <w:tcW w:type="dxa" w:w="936"/>
          </w:tcPr>
          <w:p>
            <w:pPr>
              <w:spacing w:line="240" w:lineRule="auto"/>
              <w:jc w:val="right"/>
            </w:pPr>
            <w:r/>
            <w:r>
              <w:rPr>
                <w:rFonts w:ascii="Garamond" w:hAnsi="Garamond"/>
                <w:sz w:val="16"/>
              </w:rPr>
              <w:t>$97,969</w:t>
            </w:r>
          </w:p>
        </w:tc>
        <w:tc>
          <w:tcPr>
            <w:tcW w:type="dxa" w:w="936"/>
          </w:tcPr>
          <w:p>
            <w:pPr>
              <w:spacing w:line="240" w:lineRule="auto"/>
              <w:jc w:val="right"/>
            </w:pPr>
            <w:r/>
            <w:r>
              <w:rPr>
                <w:rFonts w:ascii="Garamond" w:hAnsi="Garamond"/>
                <w:sz w:val="16"/>
              </w:rPr>
              <w:t>7.1%</w:t>
            </w:r>
          </w:p>
        </w:tc>
        <w:tc>
          <w:tcPr>
            <w:tcW w:type="dxa" w:w="936"/>
          </w:tcPr>
          <w:p>
            <w:pPr>
              <w:spacing w:line="240" w:lineRule="auto"/>
              <w:jc w:val="right"/>
            </w:pPr>
            <w:r/>
            <w:r>
              <w:rPr>
                <w:rFonts w:ascii="Garamond" w:hAnsi="Garamond"/>
                <w:sz w:val="16"/>
              </w:rPr>
              <w:t>12.8%</w:t>
            </w:r>
          </w:p>
        </w:tc>
      </w:tr>
      <w:tr>
        <w:tc>
          <w:tcPr>
            <w:tcW w:type="dxa" w:w="936"/>
          </w:tcPr>
          <w:p>
            <w:pPr>
              <w:spacing w:line="240" w:lineRule="auto"/>
            </w:pPr>
            <w:r/>
            <w:r>
              <w:rPr>
                <w:rFonts w:ascii="Garamond" w:hAnsi="Garamond"/>
                <w:sz w:val="16"/>
              </w:rPr>
              <w:t>County</w:t>
            </w:r>
          </w:p>
        </w:tc>
        <w:tc>
          <w:tcPr>
            <w:tcW w:type="dxa" w:w="936"/>
          </w:tcPr>
          <w:p>
            <w:pPr>
              <w:spacing w:line="240" w:lineRule="auto"/>
              <w:jc w:val="right"/>
            </w:pPr>
            <w:r/>
            <w:r>
              <w:rPr>
                <w:rFonts w:ascii="Garamond" w:hAnsi="Garamond"/>
                <w:sz w:val="16"/>
              </w:rPr>
              <w:t>170</w:t>
            </w:r>
          </w:p>
        </w:tc>
        <w:tc>
          <w:tcPr>
            <w:tcW w:type="dxa" w:w="936"/>
          </w:tcPr>
          <w:p>
            <w:pPr>
              <w:spacing w:line="240" w:lineRule="auto"/>
              <w:jc w:val="right"/>
            </w:pPr>
            <w:r/>
            <w:r>
              <w:rPr>
                <w:rFonts w:ascii="Garamond" w:hAnsi="Garamond"/>
                <w:sz w:val="16"/>
              </w:rPr>
              <w:t>206,041</w:t>
            </w:r>
          </w:p>
        </w:tc>
        <w:tc>
          <w:tcPr>
            <w:tcW w:type="dxa" w:w="936"/>
          </w:tcPr>
          <w:p>
            <w:pPr>
              <w:spacing w:line="240" w:lineRule="auto"/>
              <w:jc w:val="right"/>
            </w:pPr>
            <w:r/>
            <w:r>
              <w:rPr>
                <w:rFonts w:ascii="Garamond" w:hAnsi="Garamond"/>
                <w:sz w:val="16"/>
              </w:rPr>
              <w:t>16,566</w:t>
            </w:r>
          </w:p>
        </w:tc>
        <w:tc>
          <w:tcPr>
            <w:tcW w:type="dxa" w:w="936"/>
          </w:tcPr>
          <w:p>
            <w:pPr>
              <w:spacing w:line="240" w:lineRule="auto"/>
              <w:jc w:val="right"/>
            </w:pPr>
            <w:r/>
            <w:r>
              <w:rPr>
                <w:rFonts w:ascii="Garamond" w:hAnsi="Garamond"/>
                <w:sz w:val="16"/>
              </w:rPr>
              <w:t>8.04%</w:t>
            </w:r>
          </w:p>
        </w:tc>
        <w:tc>
          <w:tcPr>
            <w:tcW w:type="dxa" w:w="936"/>
          </w:tcPr>
          <w:p>
            <w:pPr>
              <w:spacing w:line="240" w:lineRule="auto"/>
              <w:jc w:val="right"/>
            </w:pPr>
            <w:r/>
            <w:r>
              <w:rPr>
                <w:rFonts w:ascii="Garamond" w:hAnsi="Garamond"/>
                <w:sz w:val="16"/>
              </w:rPr>
              <w:t>3,940</w:t>
            </w:r>
          </w:p>
        </w:tc>
        <w:tc>
          <w:tcPr>
            <w:tcW w:type="dxa" w:w="936"/>
          </w:tcPr>
          <w:p>
            <w:pPr>
              <w:spacing w:line="240" w:lineRule="auto"/>
              <w:jc w:val="right"/>
            </w:pPr>
            <w:r/>
            <w:r>
              <w:rPr>
                <w:rFonts w:ascii="Garamond" w:hAnsi="Garamond"/>
                <w:sz w:val="16"/>
              </w:rPr>
              <w:t>1.91%</w:t>
            </w:r>
          </w:p>
        </w:tc>
        <w:tc>
          <w:tcPr>
            <w:tcW w:type="dxa" w:w="936"/>
          </w:tcPr>
          <w:p>
            <w:pPr>
              <w:spacing w:line="240" w:lineRule="auto"/>
            </w:pPr>
            <w:r/>
          </w:p>
        </w:tc>
        <w:tc>
          <w:tcPr>
            <w:tcW w:type="dxa" w:w="936"/>
          </w:tcPr>
          <w:p>
            <w:pPr>
              <w:spacing w:line="240" w:lineRule="auto"/>
            </w:pPr>
            <w:r/>
          </w:p>
        </w:tc>
        <w:tc>
          <w:tcPr>
            <w:tcW w:type="dxa" w:w="936"/>
          </w:tcPr>
          <w:p>
            <w:pPr>
              <w:spacing w:line="240" w:lineRule="auto"/>
            </w:pPr>
            <w:r/>
          </w:p>
        </w:tc>
      </w:tr>
    </w:tbl>
    <w:p>
      <w:pPr>
        <w:spacing w:after="0"/>
      </w:pP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Definition</w:t>
            </w:r>
          </w:p>
        </w:tc>
        <w:tc>
          <w:tcPr>
            <w:tcW w:type="dxa" w:w="3120"/>
            <w:tcBorders>
              <w:bottom w:val="single" w:sz="4" w:color="000000"/>
            </w:tcBorders>
          </w:tcPr>
          <w:p>
            <w:pPr>
              <w:spacing w:line="240" w:lineRule="auto"/>
            </w:pPr>
            <w:r>
              <w:rPr>
                <w:b/>
              </w:rPr>
            </w:r>
            <w:r>
              <w:rPr>
                <w:rFonts w:ascii="Garamond" w:hAnsi="Garamond"/>
                <w:b/>
                <w:sz w:val="18"/>
              </w:rPr>
              <w:t>Ratio, burdened to county</w:t>
            </w:r>
          </w:p>
        </w:tc>
        <w:tc>
          <w:tcPr>
            <w:tcW w:type="dxa" w:w="3120"/>
            <w:tcBorders>
              <w:bottom w:val="single" w:sz="4" w:color="000000"/>
            </w:tcBorders>
          </w:tcPr>
          <w:p>
            <w:pPr>
              <w:spacing w:line="240" w:lineRule="auto"/>
            </w:pPr>
            <w:r>
              <w:rPr>
                <w:b/>
              </w:rPr>
            </w:r>
            <w:r>
              <w:rPr>
                <w:rFonts w:ascii="Garamond" w:hAnsi="Garamond"/>
                <w:b/>
                <w:sz w:val="18"/>
              </w:rPr>
              <w:t>Ratio, burdened to non-burdened</w:t>
            </w:r>
          </w:p>
        </w:tc>
      </w:tr>
      <w:tr>
        <w:tc>
          <w:tcPr>
            <w:tcW w:type="dxa" w:w="3120"/>
          </w:tcPr>
          <w:p>
            <w:pPr>
              <w:spacing w:line="240" w:lineRule="auto"/>
            </w:pPr>
            <w:r/>
            <w:r>
              <w:rPr>
                <w:rFonts w:ascii="Garamond" w:hAnsi="Garamond"/>
                <w:sz w:val="18"/>
              </w:rPr>
              <w:t>Entity-owned (16,567)</w:t>
            </w:r>
          </w:p>
        </w:tc>
        <w:tc>
          <w:tcPr>
            <w:tcW w:type="dxa" w:w="3120"/>
          </w:tcPr>
          <w:p>
            <w:pPr>
              <w:spacing w:line="240" w:lineRule="auto"/>
              <w:jc w:val="right"/>
            </w:pPr>
            <w:r/>
            <w:r>
              <w:rPr>
                <w:rFonts w:ascii="Garamond" w:hAnsi="Garamond"/>
                <w:sz w:val="18"/>
              </w:rPr>
              <w:t>1.23</w:t>
            </w:r>
          </w:p>
        </w:tc>
        <w:tc>
          <w:tcPr>
            <w:tcW w:type="dxa" w:w="3120"/>
          </w:tcPr>
          <w:p>
            <w:pPr>
              <w:spacing w:line="240" w:lineRule="auto"/>
              <w:jc w:val="right"/>
            </w:pPr>
            <w:r/>
            <w:r>
              <w:rPr>
                <w:rFonts w:ascii="Garamond" w:hAnsi="Garamond"/>
                <w:sz w:val="18"/>
              </w:rPr>
              <w:t>1.37</w:t>
            </w:r>
          </w:p>
        </w:tc>
      </w:tr>
      <w:tr>
        <w:tc>
          <w:tcPr>
            <w:tcW w:type="dxa" w:w="3120"/>
          </w:tcPr>
          <w:p>
            <w:pPr>
              <w:spacing w:line="240" w:lineRule="auto"/>
            </w:pPr>
            <w:r/>
            <w:r>
              <w:rPr>
                <w:rFonts w:ascii="Garamond" w:hAnsi="Garamond"/>
                <w:sz w:val="18"/>
              </w:rPr>
              <w:t>Named operators (3,940)</w:t>
            </w:r>
          </w:p>
        </w:tc>
        <w:tc>
          <w:tcPr>
            <w:tcW w:type="dxa" w:w="3120"/>
          </w:tcPr>
          <w:p>
            <w:pPr>
              <w:spacing w:line="240" w:lineRule="auto"/>
              <w:jc w:val="right"/>
            </w:pPr>
            <w:r/>
            <w:r>
              <w:rPr>
                <w:rFonts w:ascii="Garamond" w:hAnsi="Garamond"/>
                <w:sz w:val="18"/>
              </w:rPr>
              <w:t>0.88</w:t>
            </w:r>
          </w:p>
        </w:tc>
        <w:tc>
          <w:tcPr>
            <w:tcW w:type="dxa" w:w="3120"/>
          </w:tcPr>
          <w:p>
            <w:pPr>
              <w:spacing w:line="240" w:lineRule="auto"/>
              <w:jc w:val="right"/>
            </w:pPr>
            <w:r/>
            <w:r>
              <w:rPr>
                <w:rFonts w:ascii="Garamond" w:hAnsi="Garamond"/>
                <w:sz w:val="18"/>
              </w:rPr>
              <w:t>0.83</w:t>
            </w:r>
          </w:p>
        </w:tc>
      </w:tr>
    </w:tbl>
    <w:p>
      <w:pPr>
        <w:spacing w:after="0"/>
      </w:pPr>
    </w:p>
    <w:p>
      <w:pPr>
        <w:spacing w:line="240" w:lineRule="auto" w:before="0" w:after="120"/>
      </w:pPr>
      <w:r>
        <w:rPr>
          <w:rFonts w:ascii="Garamond" w:hAnsi="Garamond"/>
          <w:i/>
          <w:sz w:val="19"/>
        </w:rPr>
        <w:t>Notes: Source: framework parcels joined to 2020 census tracts and to the American Community Survey 2020 to 2024 five-year profiles, https://api.census.gov/data/2024/acs/acs5. A tract is burdened when adverse to the county's median tract on at least three of four measures (poverty above 12.1 percent, renter cost burden above 50.9 percent, renter share above 45.9 percent, median household income below $75,976). Four tracts drop for lacking framework parcels or survey values. The per-tract table is published in the online data appendix.</w:t>
      </w:r>
    </w:p>
    <w:p>
      <w:pPr>
        <w:pStyle w:val="Heading2"/>
      </w:pPr>
      <w:r>
        <w:t>Table A6. Tract Characteristics by Entity Concentration, Welch Two-Sample t-Tests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Variable</w:t>
            </w:r>
          </w:p>
        </w:tc>
        <w:tc>
          <w:tcPr>
            <w:tcW w:type="dxa" w:w="2340"/>
            <w:tcBorders>
              <w:bottom w:val="single" w:sz="4" w:color="000000"/>
            </w:tcBorders>
          </w:tcPr>
          <w:p>
            <w:pPr>
              <w:spacing w:line="240" w:lineRule="auto"/>
            </w:pPr>
            <w:r>
              <w:rPr>
                <w:b/>
              </w:rPr>
            </w:r>
            <w:r>
              <w:rPr>
                <w:rFonts w:ascii="Garamond" w:hAnsi="Garamond"/>
                <w:b/>
                <w:sz w:val="18"/>
              </w:rPr>
              <w:t>High concentration (entity share 10% or more, N = 50)</w:t>
            </w:r>
          </w:p>
        </w:tc>
        <w:tc>
          <w:tcPr>
            <w:tcW w:type="dxa" w:w="2340"/>
            <w:tcBorders>
              <w:bottom w:val="single" w:sz="4" w:color="000000"/>
            </w:tcBorders>
          </w:tcPr>
          <w:p>
            <w:pPr>
              <w:spacing w:line="240" w:lineRule="auto"/>
            </w:pPr>
            <w:r>
              <w:rPr>
                <w:b/>
              </w:rPr>
            </w:r>
            <w:r>
              <w:rPr>
                <w:rFonts w:ascii="Garamond" w:hAnsi="Garamond"/>
                <w:b/>
                <w:sz w:val="18"/>
              </w:rPr>
              <w:t>Low (N = 120)</w:t>
            </w:r>
          </w:p>
        </w:tc>
        <w:tc>
          <w:tcPr>
            <w:tcW w:type="dxa" w:w="2340"/>
            <w:tcBorders>
              <w:bottom w:val="single" w:sz="4" w:color="000000"/>
            </w:tcBorders>
          </w:tcPr>
          <w:p>
            <w:pPr>
              <w:spacing w:line="240" w:lineRule="auto"/>
            </w:pPr>
            <w:r>
              <w:rPr>
                <w:b/>
              </w:rPr>
            </w:r>
            <w:r>
              <w:rPr>
                <w:rFonts w:ascii="Garamond" w:hAnsi="Garamond"/>
                <w:b/>
                <w:sz w:val="18"/>
              </w:rPr>
              <w:t>Significant at p &lt; 0.05</w:t>
            </w:r>
          </w:p>
        </w:tc>
      </w:tr>
      <w:tr>
        <w:tc>
          <w:tcPr>
            <w:tcW w:type="dxa" w:w="2340"/>
          </w:tcPr>
          <w:p>
            <w:pPr>
              <w:spacing w:line="240" w:lineRule="auto"/>
            </w:pPr>
            <w:r/>
            <w:r>
              <w:rPr>
                <w:rFonts w:ascii="Garamond" w:hAnsi="Garamond"/>
                <w:sz w:val="18"/>
              </w:rPr>
              <w:t>Percent white</w:t>
            </w:r>
          </w:p>
        </w:tc>
        <w:tc>
          <w:tcPr>
            <w:tcW w:type="dxa" w:w="2340"/>
          </w:tcPr>
          <w:p>
            <w:pPr>
              <w:spacing w:line="240" w:lineRule="auto"/>
              <w:jc w:val="right"/>
            </w:pPr>
            <w:r/>
            <w:r>
              <w:rPr>
                <w:rFonts w:ascii="Garamond" w:hAnsi="Garamond"/>
                <w:sz w:val="18"/>
              </w:rPr>
              <w:t>44.1</w:t>
            </w:r>
          </w:p>
        </w:tc>
        <w:tc>
          <w:tcPr>
            <w:tcW w:type="dxa" w:w="2340"/>
          </w:tcPr>
          <w:p>
            <w:pPr>
              <w:spacing w:line="240" w:lineRule="auto"/>
              <w:jc w:val="right"/>
            </w:pPr>
            <w:r/>
            <w:r>
              <w:rPr>
                <w:rFonts w:ascii="Garamond" w:hAnsi="Garamond"/>
                <w:sz w:val="18"/>
              </w:rPr>
              <w:t>62.1</w:t>
            </w:r>
          </w:p>
        </w:tc>
        <w:tc>
          <w:tcPr>
            <w:tcW w:type="dxa" w:w="2340"/>
          </w:tcPr>
          <w:p>
            <w:pPr>
              <w:spacing w:line="240" w:lineRule="auto"/>
            </w:pPr>
            <w:r/>
            <w:r>
              <w:rPr>
                <w:rFonts w:ascii="Garamond" w:hAnsi="Garamond"/>
                <w:sz w:val="18"/>
              </w:rPr>
              <w:t>yes</w:t>
            </w:r>
          </w:p>
        </w:tc>
      </w:tr>
      <w:tr>
        <w:tc>
          <w:tcPr>
            <w:tcW w:type="dxa" w:w="2340"/>
          </w:tcPr>
          <w:p>
            <w:pPr>
              <w:spacing w:line="240" w:lineRule="auto"/>
            </w:pPr>
            <w:r/>
            <w:r>
              <w:rPr>
                <w:rFonts w:ascii="Garamond" w:hAnsi="Garamond"/>
                <w:sz w:val="18"/>
              </w:rPr>
              <w:t>Percent Black</w:t>
            </w:r>
          </w:p>
        </w:tc>
        <w:tc>
          <w:tcPr>
            <w:tcW w:type="dxa" w:w="2340"/>
          </w:tcPr>
          <w:p>
            <w:pPr>
              <w:spacing w:line="240" w:lineRule="auto"/>
              <w:jc w:val="right"/>
            </w:pPr>
            <w:r/>
            <w:r>
              <w:rPr>
                <w:rFonts w:ascii="Garamond" w:hAnsi="Garamond"/>
                <w:sz w:val="18"/>
              </w:rPr>
              <w:t>37.8</w:t>
            </w:r>
          </w:p>
        </w:tc>
        <w:tc>
          <w:tcPr>
            <w:tcW w:type="dxa" w:w="2340"/>
          </w:tcPr>
          <w:p>
            <w:pPr>
              <w:spacing w:line="240" w:lineRule="auto"/>
              <w:jc w:val="right"/>
            </w:pPr>
            <w:r/>
            <w:r>
              <w:rPr>
                <w:rFonts w:ascii="Garamond" w:hAnsi="Garamond"/>
                <w:sz w:val="18"/>
              </w:rPr>
              <w:t>17.9</w:t>
            </w:r>
          </w:p>
        </w:tc>
        <w:tc>
          <w:tcPr>
            <w:tcW w:type="dxa" w:w="2340"/>
          </w:tcPr>
          <w:p>
            <w:pPr>
              <w:spacing w:line="240" w:lineRule="auto"/>
            </w:pPr>
            <w:r/>
            <w:r>
              <w:rPr>
                <w:rFonts w:ascii="Garamond" w:hAnsi="Garamond"/>
                <w:sz w:val="18"/>
              </w:rPr>
              <w:t>yes</w:t>
            </w:r>
          </w:p>
        </w:tc>
      </w:tr>
      <w:tr>
        <w:tc>
          <w:tcPr>
            <w:tcW w:type="dxa" w:w="2340"/>
          </w:tcPr>
          <w:p>
            <w:pPr>
              <w:spacing w:line="240" w:lineRule="auto"/>
            </w:pPr>
            <w:r/>
            <w:r>
              <w:rPr>
                <w:rFonts w:ascii="Garamond" w:hAnsi="Garamond"/>
                <w:sz w:val="18"/>
              </w:rPr>
              <w:t>Percent Hispanic</w:t>
            </w:r>
          </w:p>
        </w:tc>
        <w:tc>
          <w:tcPr>
            <w:tcW w:type="dxa" w:w="2340"/>
          </w:tcPr>
          <w:p>
            <w:pPr>
              <w:spacing w:line="240" w:lineRule="auto"/>
              <w:jc w:val="right"/>
            </w:pPr>
            <w:r/>
            <w:r>
              <w:rPr>
                <w:rFonts w:ascii="Garamond" w:hAnsi="Garamond"/>
                <w:sz w:val="18"/>
              </w:rPr>
              <w:t>11.8</w:t>
            </w:r>
          </w:p>
        </w:tc>
        <w:tc>
          <w:tcPr>
            <w:tcW w:type="dxa" w:w="2340"/>
          </w:tcPr>
          <w:p>
            <w:pPr>
              <w:spacing w:line="240" w:lineRule="auto"/>
              <w:jc w:val="right"/>
            </w:pPr>
            <w:r/>
            <w:r>
              <w:rPr>
                <w:rFonts w:ascii="Garamond" w:hAnsi="Garamond"/>
                <w:sz w:val="18"/>
              </w:rPr>
              <w:t>14.1</w:t>
            </w:r>
          </w:p>
        </w:tc>
        <w:tc>
          <w:tcPr>
            <w:tcW w:type="dxa" w:w="2340"/>
          </w:tcPr>
          <w:p>
            <w:pPr>
              <w:spacing w:line="240" w:lineRule="auto"/>
            </w:pPr>
            <w:r/>
            <w:r>
              <w:rPr>
                <w:rFonts w:ascii="Garamond" w:hAnsi="Garamond"/>
                <w:sz w:val="18"/>
              </w:rPr>
              <w:t>no</w:t>
            </w:r>
          </w:p>
        </w:tc>
      </w:tr>
      <w:tr>
        <w:tc>
          <w:tcPr>
            <w:tcW w:type="dxa" w:w="2340"/>
          </w:tcPr>
          <w:p>
            <w:pPr>
              <w:spacing w:line="240" w:lineRule="auto"/>
            </w:pPr>
            <w:r/>
            <w:r>
              <w:rPr>
                <w:rFonts w:ascii="Garamond" w:hAnsi="Garamond"/>
                <w:sz w:val="18"/>
              </w:rPr>
              <w:t>Median household income</w:t>
            </w:r>
          </w:p>
        </w:tc>
        <w:tc>
          <w:tcPr>
            <w:tcW w:type="dxa" w:w="2340"/>
          </w:tcPr>
          <w:p>
            <w:pPr>
              <w:spacing w:line="240" w:lineRule="auto"/>
              <w:jc w:val="right"/>
            </w:pPr>
            <w:r/>
            <w:r>
              <w:rPr>
                <w:rFonts w:ascii="Garamond" w:hAnsi="Garamond"/>
                <w:sz w:val="18"/>
              </w:rPr>
              <w:t>$70,640</w:t>
            </w:r>
          </w:p>
        </w:tc>
        <w:tc>
          <w:tcPr>
            <w:tcW w:type="dxa" w:w="2340"/>
          </w:tcPr>
          <w:p>
            <w:pPr>
              <w:spacing w:line="240" w:lineRule="auto"/>
              <w:jc w:val="right"/>
            </w:pPr>
            <w:r/>
            <w:r>
              <w:rPr>
                <w:rFonts w:ascii="Garamond" w:hAnsi="Garamond"/>
                <w:sz w:val="18"/>
              </w:rPr>
              <w:t>$92,212</w:t>
            </w:r>
          </w:p>
        </w:tc>
        <w:tc>
          <w:tcPr>
            <w:tcW w:type="dxa" w:w="2340"/>
          </w:tcPr>
          <w:p>
            <w:pPr>
              <w:spacing w:line="240" w:lineRule="auto"/>
            </w:pPr>
            <w:r/>
            <w:r>
              <w:rPr>
                <w:rFonts w:ascii="Garamond" w:hAnsi="Garamond"/>
                <w:sz w:val="18"/>
              </w:rPr>
              <w:t>yes</w:t>
            </w:r>
          </w:p>
        </w:tc>
      </w:tr>
      <w:tr>
        <w:tc>
          <w:tcPr>
            <w:tcW w:type="dxa" w:w="2340"/>
          </w:tcPr>
          <w:p>
            <w:pPr>
              <w:spacing w:line="240" w:lineRule="auto"/>
            </w:pPr>
            <w:r/>
            <w:r>
              <w:rPr>
                <w:rFonts w:ascii="Garamond" w:hAnsi="Garamond"/>
                <w:sz w:val="18"/>
              </w:rPr>
              <w:t>Percent below poverty</w:t>
            </w:r>
          </w:p>
        </w:tc>
        <w:tc>
          <w:tcPr>
            <w:tcW w:type="dxa" w:w="2340"/>
          </w:tcPr>
          <w:p>
            <w:pPr>
              <w:spacing w:line="240" w:lineRule="auto"/>
              <w:jc w:val="right"/>
            </w:pPr>
            <w:r/>
            <w:r>
              <w:rPr>
                <w:rFonts w:ascii="Garamond" w:hAnsi="Garamond"/>
                <w:sz w:val="18"/>
              </w:rPr>
              <w:t>19.0</w:t>
            </w:r>
          </w:p>
        </w:tc>
        <w:tc>
          <w:tcPr>
            <w:tcW w:type="dxa" w:w="2340"/>
          </w:tcPr>
          <w:p>
            <w:pPr>
              <w:spacing w:line="240" w:lineRule="auto"/>
              <w:jc w:val="right"/>
            </w:pPr>
            <w:r/>
            <w:r>
              <w:rPr>
                <w:rFonts w:ascii="Garamond" w:hAnsi="Garamond"/>
                <w:sz w:val="18"/>
              </w:rPr>
              <w:t>11.5</w:t>
            </w:r>
          </w:p>
        </w:tc>
        <w:tc>
          <w:tcPr>
            <w:tcW w:type="dxa" w:w="2340"/>
          </w:tcPr>
          <w:p>
            <w:pPr>
              <w:spacing w:line="240" w:lineRule="auto"/>
            </w:pPr>
            <w:r/>
            <w:r>
              <w:rPr>
                <w:rFonts w:ascii="Garamond" w:hAnsi="Garamond"/>
                <w:sz w:val="18"/>
              </w:rPr>
              <w:t>yes</w:t>
            </w:r>
          </w:p>
        </w:tc>
      </w:tr>
      <w:tr>
        <w:tc>
          <w:tcPr>
            <w:tcW w:type="dxa" w:w="2340"/>
          </w:tcPr>
          <w:p>
            <w:pPr>
              <w:spacing w:line="240" w:lineRule="auto"/>
            </w:pPr>
            <w:r/>
            <w:r>
              <w:rPr>
                <w:rFonts w:ascii="Garamond" w:hAnsi="Garamond"/>
                <w:sz w:val="18"/>
              </w:rPr>
              <w:t>Percent renter</w:t>
            </w:r>
          </w:p>
        </w:tc>
        <w:tc>
          <w:tcPr>
            <w:tcW w:type="dxa" w:w="2340"/>
          </w:tcPr>
          <w:p>
            <w:pPr>
              <w:spacing w:line="240" w:lineRule="auto"/>
              <w:jc w:val="right"/>
            </w:pPr>
            <w:r/>
            <w:r>
              <w:rPr>
                <w:rFonts w:ascii="Garamond" w:hAnsi="Garamond"/>
                <w:sz w:val="18"/>
              </w:rPr>
              <w:t>59.8</w:t>
            </w:r>
          </w:p>
        </w:tc>
        <w:tc>
          <w:tcPr>
            <w:tcW w:type="dxa" w:w="2340"/>
          </w:tcPr>
          <w:p>
            <w:pPr>
              <w:spacing w:line="240" w:lineRule="auto"/>
              <w:jc w:val="right"/>
            </w:pPr>
            <w:r/>
            <w:r>
              <w:rPr>
                <w:rFonts w:ascii="Garamond" w:hAnsi="Garamond"/>
                <w:sz w:val="18"/>
              </w:rPr>
              <w:t>40.3</w:t>
            </w:r>
          </w:p>
        </w:tc>
        <w:tc>
          <w:tcPr>
            <w:tcW w:type="dxa" w:w="2340"/>
          </w:tcPr>
          <w:p>
            <w:pPr>
              <w:spacing w:line="240" w:lineRule="auto"/>
            </w:pPr>
            <w:r/>
            <w:r>
              <w:rPr>
                <w:rFonts w:ascii="Garamond" w:hAnsi="Garamond"/>
                <w:sz w:val="18"/>
              </w:rPr>
              <w:t>yes</w:t>
            </w:r>
          </w:p>
        </w:tc>
      </w:tr>
      <w:tr>
        <w:tc>
          <w:tcPr>
            <w:tcW w:type="dxa" w:w="2340"/>
          </w:tcPr>
          <w:p>
            <w:pPr>
              <w:spacing w:line="240" w:lineRule="auto"/>
            </w:pPr>
            <w:r/>
            <w:r>
              <w:rPr>
                <w:rFonts w:ascii="Garamond" w:hAnsi="Garamond"/>
                <w:sz w:val="18"/>
              </w:rPr>
              <w:t>Renter cost burden</w:t>
            </w:r>
          </w:p>
        </w:tc>
        <w:tc>
          <w:tcPr>
            <w:tcW w:type="dxa" w:w="2340"/>
          </w:tcPr>
          <w:p>
            <w:pPr>
              <w:spacing w:line="240" w:lineRule="auto"/>
              <w:jc w:val="right"/>
            </w:pPr>
            <w:r/>
            <w:r>
              <w:rPr>
                <w:rFonts w:ascii="Garamond" w:hAnsi="Garamond"/>
                <w:sz w:val="18"/>
              </w:rPr>
              <w:t>50.2</w:t>
            </w:r>
          </w:p>
        </w:tc>
        <w:tc>
          <w:tcPr>
            <w:tcW w:type="dxa" w:w="2340"/>
          </w:tcPr>
          <w:p>
            <w:pPr>
              <w:spacing w:line="240" w:lineRule="auto"/>
              <w:jc w:val="right"/>
            </w:pPr>
            <w:r/>
            <w:r>
              <w:rPr>
                <w:rFonts w:ascii="Garamond" w:hAnsi="Garamond"/>
                <w:sz w:val="18"/>
              </w:rPr>
              <w:t>47.0</w:t>
            </w:r>
          </w:p>
        </w:tc>
        <w:tc>
          <w:tcPr>
            <w:tcW w:type="dxa" w:w="2340"/>
          </w:tcPr>
          <w:p>
            <w:pPr>
              <w:spacing w:line="240" w:lineRule="auto"/>
            </w:pPr>
            <w:r/>
            <w:r>
              <w:rPr>
                <w:rFonts w:ascii="Garamond" w:hAnsi="Garamond"/>
                <w:sz w:val="18"/>
              </w:rPr>
              <w:t>no</w:t>
            </w:r>
          </w:p>
        </w:tc>
      </w:tr>
      <w:tr>
        <w:tc>
          <w:tcPr>
            <w:tcW w:type="dxa" w:w="2340"/>
          </w:tcPr>
          <w:p>
            <w:pPr>
              <w:spacing w:line="240" w:lineRule="auto"/>
            </w:pPr>
            <w:r/>
            <w:r>
              <w:rPr>
                <w:rFonts w:ascii="Garamond" w:hAnsi="Garamond"/>
                <w:sz w:val="18"/>
              </w:rPr>
              <w:t>Median home value</w:t>
            </w:r>
          </w:p>
        </w:tc>
        <w:tc>
          <w:tcPr>
            <w:tcW w:type="dxa" w:w="2340"/>
          </w:tcPr>
          <w:p>
            <w:pPr>
              <w:spacing w:line="240" w:lineRule="auto"/>
              <w:jc w:val="right"/>
            </w:pPr>
            <w:r/>
            <w:r>
              <w:rPr>
                <w:rFonts w:ascii="Garamond" w:hAnsi="Garamond"/>
                <w:sz w:val="18"/>
              </w:rPr>
              <w:t>$449,323</w:t>
            </w:r>
          </w:p>
        </w:tc>
        <w:tc>
          <w:tcPr>
            <w:tcW w:type="dxa" w:w="2340"/>
          </w:tcPr>
          <w:p>
            <w:pPr>
              <w:spacing w:line="240" w:lineRule="auto"/>
              <w:jc w:val="right"/>
            </w:pPr>
            <w:r/>
            <w:r>
              <w:rPr>
                <w:rFonts w:ascii="Garamond" w:hAnsi="Garamond"/>
                <w:sz w:val="18"/>
              </w:rPr>
              <w:t>$501,491</w:t>
            </w:r>
          </w:p>
        </w:tc>
        <w:tc>
          <w:tcPr>
            <w:tcW w:type="dxa" w:w="2340"/>
          </w:tcPr>
          <w:p>
            <w:pPr>
              <w:spacing w:line="240" w:lineRule="auto"/>
            </w:pPr>
            <w:r/>
            <w:r>
              <w:rPr>
                <w:rFonts w:ascii="Garamond" w:hAnsi="Garamond"/>
                <w:sz w:val="18"/>
              </w:rPr>
              <w:t>no</w:t>
            </w:r>
          </w:p>
        </w:tc>
      </w:tr>
      <w:tr>
        <w:tc>
          <w:tcPr>
            <w:tcW w:type="dxa" w:w="2340"/>
          </w:tcPr>
          <w:p>
            <w:pPr>
              <w:spacing w:line="240" w:lineRule="auto"/>
            </w:pPr>
            <w:r/>
            <w:r>
              <w:rPr>
                <w:rFonts w:ascii="Garamond" w:hAnsi="Garamond"/>
                <w:sz w:val="18"/>
              </w:rPr>
              <w:t>Median gross rent</w:t>
            </w:r>
          </w:p>
        </w:tc>
        <w:tc>
          <w:tcPr>
            <w:tcW w:type="dxa" w:w="2340"/>
          </w:tcPr>
          <w:p>
            <w:pPr>
              <w:spacing w:line="240" w:lineRule="auto"/>
              <w:jc w:val="right"/>
            </w:pPr>
            <w:r/>
            <w:r>
              <w:rPr>
                <w:rFonts w:ascii="Garamond" w:hAnsi="Garamond"/>
                <w:sz w:val="18"/>
              </w:rPr>
              <w:t>$1,546</w:t>
            </w:r>
          </w:p>
        </w:tc>
        <w:tc>
          <w:tcPr>
            <w:tcW w:type="dxa" w:w="2340"/>
          </w:tcPr>
          <w:p>
            <w:pPr>
              <w:spacing w:line="240" w:lineRule="auto"/>
              <w:jc w:val="right"/>
            </w:pPr>
            <w:r/>
            <w:r>
              <w:rPr>
                <w:rFonts w:ascii="Garamond" w:hAnsi="Garamond"/>
                <w:sz w:val="18"/>
              </w:rPr>
              <w:t>$1,682</w:t>
            </w:r>
          </w:p>
        </w:tc>
        <w:tc>
          <w:tcPr>
            <w:tcW w:type="dxa" w:w="2340"/>
          </w:tcPr>
          <w:p>
            <w:pPr>
              <w:spacing w:line="240" w:lineRule="auto"/>
            </w:pPr>
            <w:r/>
            <w:r>
              <w:rPr>
                <w:rFonts w:ascii="Garamond" w:hAnsi="Garamond"/>
                <w:sz w:val="18"/>
              </w:rPr>
              <w:t>no</w:t>
            </w:r>
          </w:p>
        </w:tc>
      </w:tr>
      <w:tr>
        <w:tc>
          <w:tcPr>
            <w:tcW w:type="dxa" w:w="2340"/>
          </w:tcPr>
          <w:p>
            <w:pPr>
              <w:spacing w:line="240" w:lineRule="auto"/>
            </w:pPr>
            <w:r/>
            <w:r>
              <w:rPr>
                <w:rFonts w:ascii="Garamond" w:hAnsi="Garamond"/>
                <w:sz w:val="18"/>
              </w:rPr>
              <w:t>Median year built</w:t>
            </w:r>
          </w:p>
        </w:tc>
        <w:tc>
          <w:tcPr>
            <w:tcW w:type="dxa" w:w="2340"/>
          </w:tcPr>
          <w:p>
            <w:pPr>
              <w:spacing w:line="240" w:lineRule="auto"/>
              <w:jc w:val="right"/>
            </w:pPr>
            <w:r/>
            <w:r>
              <w:rPr>
                <w:rFonts w:ascii="Garamond" w:hAnsi="Garamond"/>
                <w:sz w:val="18"/>
              </w:rPr>
              <w:t>1993</w:t>
            </w:r>
          </w:p>
        </w:tc>
        <w:tc>
          <w:tcPr>
            <w:tcW w:type="dxa" w:w="2340"/>
          </w:tcPr>
          <w:p>
            <w:pPr>
              <w:spacing w:line="240" w:lineRule="auto"/>
              <w:jc w:val="right"/>
            </w:pPr>
            <w:r/>
            <w:r>
              <w:rPr>
                <w:rFonts w:ascii="Garamond" w:hAnsi="Garamond"/>
                <w:sz w:val="18"/>
              </w:rPr>
              <w:t>1979</w:t>
            </w:r>
          </w:p>
        </w:tc>
        <w:tc>
          <w:tcPr>
            <w:tcW w:type="dxa" w:w="2340"/>
          </w:tcPr>
          <w:p>
            <w:pPr>
              <w:spacing w:line="240" w:lineRule="auto"/>
            </w:pPr>
            <w:r/>
            <w:r>
              <w:rPr>
                <w:rFonts w:ascii="Garamond" w:hAnsi="Garamond"/>
                <w:sz w:val="18"/>
              </w:rPr>
              <w:t>yes</w:t>
            </w:r>
          </w:p>
        </w:tc>
      </w:tr>
    </w:tbl>
    <w:p>
      <w:pPr>
        <w:spacing w:after="0"/>
      </w:pPr>
    </w:p>
    <w:p>
      <w:pPr>
        <w:spacing w:line="240" w:lineRule="auto" w:before="0" w:after="120"/>
      </w:pPr>
      <w:r>
        <w:rPr>
          <w:rFonts w:ascii="Garamond" w:hAnsi="Garamond"/>
          <w:i/>
          <w:sz w:val="19"/>
        </w:rPr>
        <w:t>Notes: Source: as Table A5. Variable set follows Chilton, Silverman, Chaudhry, and Wang (2018), Table 3, with renter cost burden added. Chilton found the trusts' tracts whiter, richer, and newer; the 2026 run reverses race and income and preserves newness.</w:t>
      </w:r>
    </w:p>
    <w:p>
      <w:pPr>
        <w:pStyle w:val="Heading2"/>
      </w:pPr>
      <w:r>
        <w:t>Table A7. The Twenty Tracts with the Highest Entity Share of Framework Parcels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851"/>
        <w:gridCol w:w="851"/>
        <w:gridCol w:w="851"/>
        <w:gridCol w:w="851"/>
        <w:gridCol w:w="851"/>
        <w:gridCol w:w="851"/>
        <w:gridCol w:w="851"/>
        <w:gridCol w:w="851"/>
        <w:gridCol w:w="851"/>
        <w:gridCol w:w="851"/>
        <w:gridCol w:w="851"/>
      </w:tblGrid>
      <w:tr>
        <w:tc>
          <w:tcPr>
            <w:tcW w:type="dxa" w:w="851"/>
            <w:tcBorders>
              <w:bottom w:val="single" w:sz="4" w:color="000000"/>
            </w:tcBorders>
          </w:tcPr>
          <w:p>
            <w:pPr>
              <w:spacing w:line="240" w:lineRule="auto"/>
            </w:pPr>
            <w:r>
              <w:rPr>
                <w:b/>
              </w:rPr>
            </w:r>
            <w:r>
              <w:rPr>
                <w:rFonts w:ascii="Garamond" w:hAnsi="Garamond"/>
                <w:b/>
                <w:sz w:val="16"/>
              </w:rPr>
              <w:t>Tract</w:t>
            </w:r>
          </w:p>
        </w:tc>
        <w:tc>
          <w:tcPr>
            <w:tcW w:type="dxa" w:w="851"/>
            <w:tcBorders>
              <w:bottom w:val="single" w:sz="4" w:color="000000"/>
            </w:tcBorders>
          </w:tcPr>
          <w:p>
            <w:pPr>
              <w:spacing w:line="240" w:lineRule="auto"/>
            </w:pPr>
            <w:r>
              <w:rPr>
                <w:b/>
              </w:rPr>
            </w:r>
            <w:r>
              <w:rPr>
                <w:rFonts w:ascii="Garamond" w:hAnsi="Garamond"/>
                <w:b/>
                <w:sz w:val="16"/>
              </w:rPr>
              <w:t>Framework parcels</w:t>
            </w:r>
          </w:p>
        </w:tc>
        <w:tc>
          <w:tcPr>
            <w:tcW w:type="dxa" w:w="851"/>
            <w:tcBorders>
              <w:bottom w:val="single" w:sz="4" w:color="000000"/>
            </w:tcBorders>
          </w:tcPr>
          <w:p>
            <w:pPr>
              <w:spacing w:line="240" w:lineRule="auto"/>
            </w:pPr>
            <w:r>
              <w:rPr>
                <w:b/>
              </w:rPr>
            </w:r>
            <w:r>
              <w:rPr>
                <w:rFonts w:ascii="Garamond" w:hAnsi="Garamond"/>
                <w:b/>
                <w:sz w:val="16"/>
              </w:rPr>
              <w:t>Entity-owned</w:t>
            </w:r>
          </w:p>
        </w:tc>
        <w:tc>
          <w:tcPr>
            <w:tcW w:type="dxa" w:w="851"/>
            <w:tcBorders>
              <w:bottom w:val="single" w:sz="4" w:color="000000"/>
            </w:tcBorders>
          </w:tcPr>
          <w:p>
            <w:pPr>
              <w:spacing w:line="240" w:lineRule="auto"/>
            </w:pPr>
            <w:r>
              <w:rPr>
                <w:b/>
              </w:rPr>
            </w:r>
            <w:r>
              <w:rPr>
                <w:rFonts w:ascii="Garamond" w:hAnsi="Garamond"/>
                <w:b/>
                <w:sz w:val="16"/>
              </w:rPr>
              <w:t>Entity share</w:t>
            </w:r>
          </w:p>
        </w:tc>
        <w:tc>
          <w:tcPr>
            <w:tcW w:type="dxa" w:w="851"/>
            <w:tcBorders>
              <w:bottom w:val="single" w:sz="4" w:color="000000"/>
            </w:tcBorders>
          </w:tcPr>
          <w:p>
            <w:pPr>
              <w:spacing w:line="240" w:lineRule="auto"/>
            </w:pPr>
            <w:r>
              <w:rPr>
                <w:b/>
              </w:rPr>
            </w:r>
            <w:r>
              <w:rPr>
                <w:rFonts w:ascii="Garamond" w:hAnsi="Garamond"/>
                <w:b/>
                <w:sz w:val="16"/>
              </w:rPr>
              <w:t>Named-operator</w:t>
            </w:r>
          </w:p>
        </w:tc>
        <w:tc>
          <w:tcPr>
            <w:tcW w:type="dxa" w:w="851"/>
            <w:tcBorders>
              <w:bottom w:val="single" w:sz="4" w:color="000000"/>
            </w:tcBorders>
          </w:tcPr>
          <w:p>
            <w:pPr>
              <w:spacing w:line="240" w:lineRule="auto"/>
            </w:pPr>
            <w:r>
              <w:rPr>
                <w:b/>
              </w:rPr>
            </w:r>
            <w:r>
              <w:rPr>
                <w:rFonts w:ascii="Garamond" w:hAnsi="Garamond"/>
                <w:b/>
                <w:sz w:val="16"/>
              </w:rPr>
              <w:t>Named share</w:t>
            </w:r>
          </w:p>
        </w:tc>
        <w:tc>
          <w:tcPr>
            <w:tcW w:type="dxa" w:w="851"/>
            <w:tcBorders>
              <w:bottom w:val="single" w:sz="4" w:color="000000"/>
            </w:tcBorders>
          </w:tcPr>
          <w:p>
            <w:pPr>
              <w:spacing w:line="240" w:lineRule="auto"/>
            </w:pPr>
            <w:r>
              <w:rPr>
                <w:b/>
              </w:rPr>
            </w:r>
            <w:r>
              <w:rPr>
                <w:rFonts w:ascii="Garamond" w:hAnsi="Garamond"/>
                <w:b/>
                <w:sz w:val="16"/>
              </w:rPr>
              <w:t>Median income</w:t>
            </w:r>
          </w:p>
        </w:tc>
        <w:tc>
          <w:tcPr>
            <w:tcW w:type="dxa" w:w="851"/>
            <w:tcBorders>
              <w:bottom w:val="single" w:sz="4" w:color="000000"/>
            </w:tcBorders>
          </w:tcPr>
          <w:p>
            <w:pPr>
              <w:spacing w:line="240" w:lineRule="auto"/>
            </w:pPr>
            <w:r>
              <w:rPr>
                <w:b/>
              </w:rPr>
            </w:r>
            <w:r>
              <w:rPr>
                <w:rFonts w:ascii="Garamond" w:hAnsi="Garamond"/>
                <w:b/>
                <w:sz w:val="16"/>
              </w:rPr>
              <w:t>Poverty</w:t>
            </w:r>
          </w:p>
        </w:tc>
        <w:tc>
          <w:tcPr>
            <w:tcW w:type="dxa" w:w="851"/>
            <w:tcBorders>
              <w:bottom w:val="single" w:sz="4" w:color="000000"/>
            </w:tcBorders>
          </w:tcPr>
          <w:p>
            <w:pPr>
              <w:spacing w:line="240" w:lineRule="auto"/>
            </w:pPr>
            <w:r>
              <w:rPr>
                <w:b/>
              </w:rPr>
            </w:r>
            <w:r>
              <w:rPr>
                <w:rFonts w:ascii="Garamond" w:hAnsi="Garamond"/>
                <w:b/>
                <w:sz w:val="16"/>
              </w:rPr>
              <w:t>Renter share</w:t>
            </w:r>
          </w:p>
        </w:tc>
        <w:tc>
          <w:tcPr>
            <w:tcW w:type="dxa" w:w="851"/>
            <w:tcBorders>
              <w:bottom w:val="single" w:sz="4" w:color="000000"/>
            </w:tcBorders>
          </w:tcPr>
          <w:p>
            <w:pPr>
              <w:spacing w:line="240" w:lineRule="auto"/>
            </w:pPr>
            <w:r>
              <w:rPr>
                <w:b/>
              </w:rPr>
            </w:r>
            <w:r>
              <w:rPr>
                <w:rFonts w:ascii="Garamond" w:hAnsi="Garamond"/>
                <w:b/>
                <w:sz w:val="16"/>
              </w:rPr>
              <w:t>Percent Black</w:t>
            </w:r>
          </w:p>
        </w:tc>
        <w:tc>
          <w:tcPr>
            <w:tcW w:type="dxa" w:w="851"/>
            <w:tcBorders>
              <w:bottom w:val="single" w:sz="4" w:color="000000"/>
            </w:tcBorders>
          </w:tcPr>
          <w:p>
            <w:pPr>
              <w:spacing w:line="240" w:lineRule="auto"/>
            </w:pPr>
            <w:r>
              <w:rPr>
                <w:b/>
              </w:rPr>
            </w:r>
            <w:r>
              <w:rPr>
                <w:rFonts w:ascii="Garamond" w:hAnsi="Garamond"/>
                <w:b/>
                <w:sz w:val="16"/>
              </w:rPr>
              <w:t>Median year built</w:t>
            </w:r>
          </w:p>
        </w:tc>
      </w:tr>
      <w:tr>
        <w:tc>
          <w:tcPr>
            <w:tcW w:type="dxa" w:w="851"/>
          </w:tcPr>
          <w:p>
            <w:pPr>
              <w:spacing w:line="240" w:lineRule="auto"/>
            </w:pPr>
            <w:r/>
            <w:r>
              <w:rPr>
                <w:rFonts w:ascii="Garamond" w:hAnsi="Garamond"/>
                <w:sz w:val="16"/>
              </w:rPr>
              <w:t>142.00</w:t>
            </w:r>
          </w:p>
        </w:tc>
        <w:tc>
          <w:tcPr>
            <w:tcW w:type="dxa" w:w="851"/>
          </w:tcPr>
          <w:p>
            <w:pPr>
              <w:spacing w:line="240" w:lineRule="auto"/>
              <w:jc w:val="right"/>
            </w:pPr>
            <w:r/>
            <w:r>
              <w:rPr>
                <w:rFonts w:ascii="Garamond" w:hAnsi="Garamond"/>
                <w:sz w:val="16"/>
              </w:rPr>
              <w:t>273</w:t>
            </w:r>
          </w:p>
        </w:tc>
        <w:tc>
          <w:tcPr>
            <w:tcW w:type="dxa" w:w="851"/>
          </w:tcPr>
          <w:p>
            <w:pPr>
              <w:spacing w:line="240" w:lineRule="auto"/>
              <w:jc w:val="right"/>
            </w:pPr>
            <w:r/>
            <w:r>
              <w:rPr>
                <w:rFonts w:ascii="Garamond" w:hAnsi="Garamond"/>
                <w:sz w:val="16"/>
              </w:rPr>
              <w:t>91</w:t>
            </w:r>
          </w:p>
        </w:tc>
        <w:tc>
          <w:tcPr>
            <w:tcW w:type="dxa" w:w="851"/>
          </w:tcPr>
          <w:p>
            <w:pPr>
              <w:spacing w:line="240" w:lineRule="auto"/>
              <w:jc w:val="right"/>
            </w:pPr>
            <w:r/>
            <w:r>
              <w:rPr>
                <w:rFonts w:ascii="Garamond" w:hAnsi="Garamond"/>
                <w:sz w:val="16"/>
              </w:rPr>
              <w:t>33.3%</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0.0%</w:t>
            </w:r>
          </w:p>
        </w:tc>
        <w:tc>
          <w:tcPr>
            <w:tcW w:type="dxa" w:w="851"/>
          </w:tcPr>
          <w:p>
            <w:pPr>
              <w:spacing w:line="240" w:lineRule="auto"/>
              <w:jc w:val="right"/>
            </w:pPr>
            <w:r/>
            <w:r>
              <w:rPr>
                <w:rFonts w:ascii="Garamond" w:hAnsi="Garamond"/>
                <w:sz w:val="16"/>
              </w:rPr>
              <w:t>$16,538</w:t>
            </w:r>
          </w:p>
        </w:tc>
        <w:tc>
          <w:tcPr>
            <w:tcW w:type="dxa" w:w="851"/>
          </w:tcPr>
          <w:p>
            <w:pPr>
              <w:spacing w:line="240" w:lineRule="auto"/>
              <w:jc w:val="right"/>
            </w:pPr>
            <w:r/>
            <w:r>
              <w:rPr>
                <w:rFonts w:ascii="Garamond" w:hAnsi="Garamond"/>
                <w:sz w:val="16"/>
              </w:rPr>
              <w:t>53.6%</w:t>
            </w:r>
          </w:p>
        </w:tc>
        <w:tc>
          <w:tcPr>
            <w:tcW w:type="dxa" w:w="851"/>
          </w:tcPr>
          <w:p>
            <w:pPr>
              <w:spacing w:line="240" w:lineRule="auto"/>
              <w:jc w:val="right"/>
            </w:pPr>
            <w:r/>
            <w:r>
              <w:rPr>
                <w:rFonts w:ascii="Garamond" w:hAnsi="Garamond"/>
                <w:sz w:val="16"/>
              </w:rPr>
              <w:t>81.5%</w:t>
            </w:r>
          </w:p>
        </w:tc>
        <w:tc>
          <w:tcPr>
            <w:tcW w:type="dxa" w:w="851"/>
          </w:tcPr>
          <w:p>
            <w:pPr>
              <w:spacing w:line="240" w:lineRule="auto"/>
              <w:jc w:val="right"/>
            </w:pPr>
            <w:r/>
            <w:r>
              <w:rPr>
                <w:rFonts w:ascii="Garamond" w:hAnsi="Garamond"/>
                <w:sz w:val="16"/>
              </w:rPr>
              <w:t>68.0%</w:t>
            </w:r>
          </w:p>
        </w:tc>
        <w:tc>
          <w:tcPr>
            <w:tcW w:type="dxa" w:w="851"/>
          </w:tcPr>
          <w:p>
            <w:pPr>
              <w:spacing w:line="240" w:lineRule="auto"/>
              <w:jc w:val="right"/>
            </w:pPr>
            <w:r/>
            <w:r>
              <w:rPr>
                <w:rFonts w:ascii="Garamond" w:hAnsi="Garamond"/>
                <w:sz w:val="16"/>
              </w:rPr>
              <w:t>1986</w:t>
            </w:r>
          </w:p>
        </w:tc>
      </w:tr>
      <w:tr>
        <w:tc>
          <w:tcPr>
            <w:tcW w:type="dxa" w:w="851"/>
          </w:tcPr>
          <w:p>
            <w:pPr>
              <w:spacing w:line="240" w:lineRule="auto"/>
            </w:pPr>
            <w:r/>
            <w:r>
              <w:rPr>
                <w:rFonts w:ascii="Garamond" w:hAnsi="Garamond"/>
                <w:sz w:val="16"/>
              </w:rPr>
              <w:t>143.00</w:t>
            </w:r>
          </w:p>
        </w:tc>
        <w:tc>
          <w:tcPr>
            <w:tcW w:type="dxa" w:w="851"/>
          </w:tcPr>
          <w:p>
            <w:pPr>
              <w:spacing w:line="240" w:lineRule="auto"/>
              <w:jc w:val="right"/>
            </w:pPr>
            <w:r/>
            <w:r>
              <w:rPr>
                <w:rFonts w:ascii="Garamond" w:hAnsi="Garamond"/>
                <w:sz w:val="16"/>
              </w:rPr>
              <w:t>888</w:t>
            </w:r>
          </w:p>
        </w:tc>
        <w:tc>
          <w:tcPr>
            <w:tcW w:type="dxa" w:w="851"/>
          </w:tcPr>
          <w:p>
            <w:pPr>
              <w:spacing w:line="240" w:lineRule="auto"/>
              <w:jc w:val="right"/>
            </w:pPr>
            <w:r/>
            <w:r>
              <w:rPr>
                <w:rFonts w:ascii="Garamond" w:hAnsi="Garamond"/>
                <w:sz w:val="16"/>
              </w:rPr>
              <w:t>242</w:t>
            </w:r>
          </w:p>
        </w:tc>
        <w:tc>
          <w:tcPr>
            <w:tcW w:type="dxa" w:w="851"/>
          </w:tcPr>
          <w:p>
            <w:pPr>
              <w:spacing w:line="240" w:lineRule="auto"/>
              <w:jc w:val="right"/>
            </w:pPr>
            <w:r/>
            <w:r>
              <w:rPr>
                <w:rFonts w:ascii="Garamond" w:hAnsi="Garamond"/>
                <w:sz w:val="16"/>
              </w:rPr>
              <w:t>27.3%</w:t>
            </w:r>
          </w:p>
        </w:tc>
        <w:tc>
          <w:tcPr>
            <w:tcW w:type="dxa" w:w="851"/>
          </w:tcPr>
          <w:p>
            <w:pPr>
              <w:spacing w:line="240" w:lineRule="auto"/>
              <w:jc w:val="right"/>
            </w:pPr>
            <w:r/>
            <w:r>
              <w:rPr>
                <w:rFonts w:ascii="Garamond" w:hAnsi="Garamond"/>
                <w:sz w:val="16"/>
              </w:rPr>
              <w:t>12</w:t>
            </w:r>
          </w:p>
        </w:tc>
        <w:tc>
          <w:tcPr>
            <w:tcW w:type="dxa" w:w="851"/>
          </w:tcPr>
          <w:p>
            <w:pPr>
              <w:spacing w:line="240" w:lineRule="auto"/>
              <w:jc w:val="right"/>
            </w:pPr>
            <w:r/>
            <w:r>
              <w:rPr>
                <w:rFonts w:ascii="Garamond" w:hAnsi="Garamond"/>
                <w:sz w:val="16"/>
              </w:rPr>
              <w:t>1.4%</w:t>
            </w:r>
          </w:p>
        </w:tc>
        <w:tc>
          <w:tcPr>
            <w:tcW w:type="dxa" w:w="851"/>
          </w:tcPr>
          <w:p>
            <w:pPr>
              <w:spacing w:line="240" w:lineRule="auto"/>
              <w:jc w:val="right"/>
            </w:pPr>
            <w:r/>
            <w:r>
              <w:rPr>
                <w:rFonts w:ascii="Garamond" w:hAnsi="Garamond"/>
                <w:sz w:val="16"/>
              </w:rPr>
              <w:t>$65,907</w:t>
            </w:r>
          </w:p>
        </w:tc>
        <w:tc>
          <w:tcPr>
            <w:tcW w:type="dxa" w:w="851"/>
          </w:tcPr>
          <w:p>
            <w:pPr>
              <w:spacing w:line="240" w:lineRule="auto"/>
              <w:jc w:val="right"/>
            </w:pPr>
            <w:r/>
            <w:r>
              <w:rPr>
                <w:rFonts w:ascii="Garamond" w:hAnsi="Garamond"/>
                <w:sz w:val="16"/>
              </w:rPr>
              <w:t>17.8%</w:t>
            </w:r>
          </w:p>
        </w:tc>
        <w:tc>
          <w:tcPr>
            <w:tcW w:type="dxa" w:w="851"/>
          </w:tcPr>
          <w:p>
            <w:pPr>
              <w:spacing w:line="240" w:lineRule="auto"/>
              <w:jc w:val="right"/>
            </w:pPr>
            <w:r/>
            <w:r>
              <w:rPr>
                <w:rFonts w:ascii="Garamond" w:hAnsi="Garamond"/>
                <w:sz w:val="16"/>
              </w:rPr>
              <w:t>58.1%</w:t>
            </w:r>
          </w:p>
        </w:tc>
        <w:tc>
          <w:tcPr>
            <w:tcW w:type="dxa" w:w="851"/>
          </w:tcPr>
          <w:p>
            <w:pPr>
              <w:spacing w:line="240" w:lineRule="auto"/>
              <w:jc w:val="right"/>
            </w:pPr>
            <w:r/>
            <w:r>
              <w:rPr>
                <w:rFonts w:ascii="Garamond" w:hAnsi="Garamond"/>
                <w:sz w:val="16"/>
              </w:rPr>
              <w:t>76.1%</w:t>
            </w:r>
          </w:p>
        </w:tc>
        <w:tc>
          <w:tcPr>
            <w:tcW w:type="dxa" w:w="851"/>
          </w:tcPr>
          <w:p>
            <w:pPr>
              <w:spacing w:line="240" w:lineRule="auto"/>
              <w:jc w:val="right"/>
            </w:pPr>
            <w:r/>
            <w:r>
              <w:rPr>
                <w:rFonts w:ascii="Garamond" w:hAnsi="Garamond"/>
                <w:sz w:val="16"/>
              </w:rPr>
              <w:t>1974</w:t>
            </w:r>
          </w:p>
        </w:tc>
      </w:tr>
      <w:tr>
        <w:tc>
          <w:tcPr>
            <w:tcW w:type="dxa" w:w="851"/>
          </w:tcPr>
          <w:p>
            <w:pPr>
              <w:spacing w:line="240" w:lineRule="auto"/>
            </w:pPr>
            <w:r/>
            <w:r>
              <w:rPr>
                <w:rFonts w:ascii="Garamond" w:hAnsi="Garamond"/>
                <w:sz w:val="16"/>
              </w:rPr>
              <w:t>191.18</w:t>
            </w:r>
          </w:p>
        </w:tc>
        <w:tc>
          <w:tcPr>
            <w:tcW w:type="dxa" w:w="851"/>
          </w:tcPr>
          <w:p>
            <w:pPr>
              <w:spacing w:line="240" w:lineRule="auto"/>
              <w:jc w:val="right"/>
            </w:pPr>
            <w:r/>
            <w:r>
              <w:rPr>
                <w:rFonts w:ascii="Garamond" w:hAnsi="Garamond"/>
                <w:sz w:val="16"/>
              </w:rPr>
              <w:t>770</w:t>
            </w:r>
          </w:p>
        </w:tc>
        <w:tc>
          <w:tcPr>
            <w:tcW w:type="dxa" w:w="851"/>
          </w:tcPr>
          <w:p>
            <w:pPr>
              <w:spacing w:line="240" w:lineRule="auto"/>
              <w:jc w:val="right"/>
            </w:pPr>
            <w:r/>
            <w:r>
              <w:rPr>
                <w:rFonts w:ascii="Garamond" w:hAnsi="Garamond"/>
                <w:sz w:val="16"/>
              </w:rPr>
              <w:t>194</w:t>
            </w:r>
          </w:p>
        </w:tc>
        <w:tc>
          <w:tcPr>
            <w:tcW w:type="dxa" w:w="851"/>
          </w:tcPr>
          <w:p>
            <w:pPr>
              <w:spacing w:line="240" w:lineRule="auto"/>
              <w:jc w:val="right"/>
            </w:pPr>
            <w:r/>
            <w:r>
              <w:rPr>
                <w:rFonts w:ascii="Garamond" w:hAnsi="Garamond"/>
                <w:sz w:val="16"/>
              </w:rPr>
              <w:t>25.2%</w:t>
            </w:r>
          </w:p>
        </w:tc>
        <w:tc>
          <w:tcPr>
            <w:tcW w:type="dxa" w:w="851"/>
          </w:tcPr>
          <w:p>
            <w:pPr>
              <w:spacing w:line="240" w:lineRule="auto"/>
              <w:jc w:val="right"/>
            </w:pPr>
            <w:r/>
            <w:r>
              <w:rPr>
                <w:rFonts w:ascii="Garamond" w:hAnsi="Garamond"/>
                <w:sz w:val="16"/>
              </w:rPr>
              <w:t>30</w:t>
            </w:r>
          </w:p>
        </w:tc>
        <w:tc>
          <w:tcPr>
            <w:tcW w:type="dxa" w:w="851"/>
          </w:tcPr>
          <w:p>
            <w:pPr>
              <w:spacing w:line="240" w:lineRule="auto"/>
              <w:jc w:val="right"/>
            </w:pPr>
            <w:r/>
            <w:r>
              <w:rPr>
                <w:rFonts w:ascii="Garamond" w:hAnsi="Garamond"/>
                <w:sz w:val="16"/>
              </w:rPr>
              <w:t>3.9%</w:t>
            </w:r>
          </w:p>
        </w:tc>
        <w:tc>
          <w:tcPr>
            <w:tcW w:type="dxa" w:w="851"/>
          </w:tcPr>
          <w:p>
            <w:pPr>
              <w:spacing w:line="240" w:lineRule="auto"/>
              <w:jc w:val="right"/>
            </w:pPr>
            <w:r/>
            <w:r>
              <w:rPr>
                <w:rFonts w:ascii="Garamond" w:hAnsi="Garamond"/>
                <w:sz w:val="16"/>
              </w:rPr>
              <w:t>$56,696</w:t>
            </w:r>
          </w:p>
        </w:tc>
        <w:tc>
          <w:tcPr>
            <w:tcW w:type="dxa" w:w="851"/>
          </w:tcPr>
          <w:p>
            <w:pPr>
              <w:spacing w:line="240" w:lineRule="auto"/>
              <w:jc w:val="right"/>
            </w:pPr>
            <w:r/>
            <w:r>
              <w:rPr>
                <w:rFonts w:ascii="Garamond" w:hAnsi="Garamond"/>
                <w:sz w:val="16"/>
              </w:rPr>
              <w:t>16.1%</w:t>
            </w:r>
          </w:p>
        </w:tc>
        <w:tc>
          <w:tcPr>
            <w:tcW w:type="dxa" w:w="851"/>
          </w:tcPr>
          <w:p>
            <w:pPr>
              <w:spacing w:line="240" w:lineRule="auto"/>
              <w:jc w:val="right"/>
            </w:pPr>
            <w:r/>
            <w:r>
              <w:rPr>
                <w:rFonts w:ascii="Garamond" w:hAnsi="Garamond"/>
                <w:sz w:val="16"/>
              </w:rPr>
              <w:t>78.7%</w:t>
            </w:r>
          </w:p>
        </w:tc>
        <w:tc>
          <w:tcPr>
            <w:tcW w:type="dxa" w:w="851"/>
          </w:tcPr>
          <w:p>
            <w:pPr>
              <w:spacing w:line="240" w:lineRule="auto"/>
              <w:jc w:val="right"/>
            </w:pPr>
            <w:r/>
            <w:r>
              <w:rPr>
                <w:rFonts w:ascii="Garamond" w:hAnsi="Garamond"/>
                <w:sz w:val="16"/>
              </w:rPr>
              <w:t>39.0%</w:t>
            </w:r>
          </w:p>
        </w:tc>
        <w:tc>
          <w:tcPr>
            <w:tcW w:type="dxa" w:w="851"/>
          </w:tcPr>
          <w:p>
            <w:pPr>
              <w:spacing w:line="240" w:lineRule="auto"/>
              <w:jc w:val="right"/>
            </w:pPr>
            <w:r/>
            <w:r>
              <w:rPr>
                <w:rFonts w:ascii="Garamond" w:hAnsi="Garamond"/>
                <w:sz w:val="16"/>
              </w:rPr>
              <w:t>1987</w:t>
            </w:r>
          </w:p>
        </w:tc>
      </w:tr>
      <w:tr>
        <w:tc>
          <w:tcPr>
            <w:tcW w:type="dxa" w:w="851"/>
          </w:tcPr>
          <w:p>
            <w:pPr>
              <w:spacing w:line="240" w:lineRule="auto"/>
            </w:pPr>
            <w:r/>
            <w:r>
              <w:rPr>
                <w:rFonts w:ascii="Garamond" w:hAnsi="Garamond"/>
                <w:sz w:val="16"/>
              </w:rPr>
              <w:t>162.00</w:t>
            </w:r>
          </w:p>
        </w:tc>
        <w:tc>
          <w:tcPr>
            <w:tcW w:type="dxa" w:w="851"/>
          </w:tcPr>
          <w:p>
            <w:pPr>
              <w:spacing w:line="240" w:lineRule="auto"/>
              <w:jc w:val="right"/>
            </w:pPr>
            <w:r/>
            <w:r>
              <w:rPr>
                <w:rFonts w:ascii="Garamond" w:hAnsi="Garamond"/>
                <w:sz w:val="16"/>
              </w:rPr>
              <w:t>847</w:t>
            </w:r>
          </w:p>
        </w:tc>
        <w:tc>
          <w:tcPr>
            <w:tcW w:type="dxa" w:w="851"/>
          </w:tcPr>
          <w:p>
            <w:pPr>
              <w:spacing w:line="240" w:lineRule="auto"/>
              <w:jc w:val="right"/>
            </w:pPr>
            <w:r/>
            <w:r>
              <w:rPr>
                <w:rFonts w:ascii="Garamond" w:hAnsi="Garamond"/>
                <w:sz w:val="16"/>
              </w:rPr>
              <w:t>201</w:t>
            </w:r>
          </w:p>
        </w:tc>
        <w:tc>
          <w:tcPr>
            <w:tcW w:type="dxa" w:w="851"/>
          </w:tcPr>
          <w:p>
            <w:pPr>
              <w:spacing w:line="240" w:lineRule="auto"/>
              <w:jc w:val="right"/>
            </w:pPr>
            <w:r/>
            <w:r>
              <w:rPr>
                <w:rFonts w:ascii="Garamond" w:hAnsi="Garamond"/>
                <w:sz w:val="16"/>
              </w:rPr>
              <w:t>23.7%</w:t>
            </w:r>
          </w:p>
        </w:tc>
        <w:tc>
          <w:tcPr>
            <w:tcW w:type="dxa" w:w="851"/>
          </w:tcPr>
          <w:p>
            <w:pPr>
              <w:spacing w:line="240" w:lineRule="auto"/>
              <w:jc w:val="right"/>
            </w:pPr>
            <w:r/>
            <w:r>
              <w:rPr>
                <w:rFonts w:ascii="Garamond" w:hAnsi="Garamond"/>
                <w:sz w:val="16"/>
              </w:rPr>
              <w:t>1</w:t>
            </w:r>
          </w:p>
        </w:tc>
        <w:tc>
          <w:tcPr>
            <w:tcW w:type="dxa" w:w="851"/>
          </w:tcPr>
          <w:p>
            <w:pPr>
              <w:spacing w:line="240" w:lineRule="auto"/>
              <w:jc w:val="right"/>
            </w:pPr>
            <w:r/>
            <w:r>
              <w:rPr>
                <w:rFonts w:ascii="Garamond" w:hAnsi="Garamond"/>
                <w:sz w:val="16"/>
              </w:rPr>
              <w:t>0.1%</w:t>
            </w:r>
          </w:p>
        </w:tc>
        <w:tc>
          <w:tcPr>
            <w:tcW w:type="dxa" w:w="851"/>
          </w:tcPr>
          <w:p>
            <w:pPr>
              <w:spacing w:line="240" w:lineRule="auto"/>
              <w:jc w:val="right"/>
            </w:pPr>
            <w:r/>
            <w:r>
              <w:rPr>
                <w:rFonts w:ascii="Garamond" w:hAnsi="Garamond"/>
                <w:sz w:val="16"/>
              </w:rPr>
              <w:t>$41,144</w:t>
            </w:r>
          </w:p>
        </w:tc>
        <w:tc>
          <w:tcPr>
            <w:tcW w:type="dxa" w:w="851"/>
          </w:tcPr>
          <w:p>
            <w:pPr>
              <w:spacing w:line="240" w:lineRule="auto"/>
              <w:jc w:val="right"/>
            </w:pPr>
            <w:r/>
            <w:r>
              <w:rPr>
                <w:rFonts w:ascii="Garamond" w:hAnsi="Garamond"/>
                <w:sz w:val="16"/>
              </w:rPr>
              <w:t>36.7%</w:t>
            </w:r>
          </w:p>
        </w:tc>
        <w:tc>
          <w:tcPr>
            <w:tcW w:type="dxa" w:w="851"/>
          </w:tcPr>
          <w:p>
            <w:pPr>
              <w:spacing w:line="240" w:lineRule="auto"/>
              <w:jc w:val="right"/>
            </w:pPr>
            <w:r/>
            <w:r>
              <w:rPr>
                <w:rFonts w:ascii="Garamond" w:hAnsi="Garamond"/>
                <w:sz w:val="16"/>
              </w:rPr>
              <w:t>59.9%</w:t>
            </w:r>
          </w:p>
        </w:tc>
        <w:tc>
          <w:tcPr>
            <w:tcW w:type="dxa" w:w="851"/>
          </w:tcPr>
          <w:p>
            <w:pPr>
              <w:spacing w:line="240" w:lineRule="auto"/>
              <w:jc w:val="right"/>
            </w:pPr>
            <w:r/>
            <w:r>
              <w:rPr>
                <w:rFonts w:ascii="Garamond" w:hAnsi="Garamond"/>
                <w:sz w:val="16"/>
              </w:rPr>
              <w:t>42.9%</w:t>
            </w:r>
          </w:p>
        </w:tc>
        <w:tc>
          <w:tcPr>
            <w:tcW w:type="dxa" w:w="851"/>
          </w:tcPr>
          <w:p>
            <w:pPr>
              <w:spacing w:line="240" w:lineRule="auto"/>
              <w:jc w:val="right"/>
            </w:pPr>
            <w:r/>
            <w:r>
              <w:rPr>
                <w:rFonts w:ascii="Garamond" w:hAnsi="Garamond"/>
                <w:sz w:val="16"/>
              </w:rPr>
              <w:t>1998</w:t>
            </w:r>
          </w:p>
        </w:tc>
      </w:tr>
      <w:tr>
        <w:tc>
          <w:tcPr>
            <w:tcW w:type="dxa" w:w="851"/>
          </w:tcPr>
          <w:p>
            <w:pPr>
              <w:spacing w:line="240" w:lineRule="auto"/>
            </w:pPr>
            <w:r/>
            <w:r>
              <w:rPr>
                <w:rFonts w:ascii="Garamond" w:hAnsi="Garamond"/>
                <w:sz w:val="16"/>
              </w:rPr>
              <w:t>163.00</w:t>
            </w:r>
          </w:p>
        </w:tc>
        <w:tc>
          <w:tcPr>
            <w:tcW w:type="dxa" w:w="851"/>
          </w:tcPr>
          <w:p>
            <w:pPr>
              <w:spacing w:line="240" w:lineRule="auto"/>
              <w:jc w:val="right"/>
            </w:pPr>
            <w:r/>
            <w:r>
              <w:rPr>
                <w:rFonts w:ascii="Garamond" w:hAnsi="Garamond"/>
                <w:sz w:val="16"/>
              </w:rPr>
              <w:t>706</w:t>
            </w:r>
          </w:p>
        </w:tc>
        <w:tc>
          <w:tcPr>
            <w:tcW w:type="dxa" w:w="851"/>
          </w:tcPr>
          <w:p>
            <w:pPr>
              <w:spacing w:line="240" w:lineRule="auto"/>
              <w:jc w:val="right"/>
            </w:pPr>
            <w:r/>
            <w:r>
              <w:rPr>
                <w:rFonts w:ascii="Garamond" w:hAnsi="Garamond"/>
                <w:sz w:val="16"/>
              </w:rPr>
              <w:t>164</w:t>
            </w:r>
          </w:p>
        </w:tc>
        <w:tc>
          <w:tcPr>
            <w:tcW w:type="dxa" w:w="851"/>
          </w:tcPr>
          <w:p>
            <w:pPr>
              <w:spacing w:line="240" w:lineRule="auto"/>
              <w:jc w:val="right"/>
            </w:pPr>
            <w:r/>
            <w:r>
              <w:rPr>
                <w:rFonts w:ascii="Garamond" w:hAnsi="Garamond"/>
                <w:sz w:val="16"/>
              </w:rPr>
              <w:t>23.2%</w:t>
            </w:r>
          </w:p>
        </w:tc>
        <w:tc>
          <w:tcPr>
            <w:tcW w:type="dxa" w:w="851"/>
          </w:tcPr>
          <w:p>
            <w:pPr>
              <w:spacing w:line="240" w:lineRule="auto"/>
              <w:jc w:val="right"/>
            </w:pPr>
            <w:r/>
            <w:r>
              <w:rPr>
                <w:rFonts w:ascii="Garamond" w:hAnsi="Garamond"/>
                <w:sz w:val="16"/>
              </w:rPr>
              <w:t>3</w:t>
            </w:r>
          </w:p>
        </w:tc>
        <w:tc>
          <w:tcPr>
            <w:tcW w:type="dxa" w:w="851"/>
          </w:tcPr>
          <w:p>
            <w:pPr>
              <w:spacing w:line="240" w:lineRule="auto"/>
              <w:jc w:val="right"/>
            </w:pPr>
            <w:r/>
            <w:r>
              <w:rPr>
                <w:rFonts w:ascii="Garamond" w:hAnsi="Garamond"/>
                <w:sz w:val="16"/>
              </w:rPr>
              <w:t>0.4%</w:t>
            </w:r>
          </w:p>
        </w:tc>
        <w:tc>
          <w:tcPr>
            <w:tcW w:type="dxa" w:w="851"/>
          </w:tcPr>
          <w:p>
            <w:pPr>
              <w:spacing w:line="240" w:lineRule="auto"/>
              <w:jc w:val="right"/>
            </w:pPr>
            <w:r/>
            <w:r>
              <w:rPr>
                <w:rFonts w:ascii="Garamond" w:hAnsi="Garamond"/>
                <w:sz w:val="16"/>
              </w:rPr>
              <w:t>$106,058</w:t>
            </w:r>
          </w:p>
        </w:tc>
        <w:tc>
          <w:tcPr>
            <w:tcW w:type="dxa" w:w="851"/>
          </w:tcPr>
          <w:p>
            <w:pPr>
              <w:spacing w:line="240" w:lineRule="auto"/>
              <w:jc w:val="right"/>
            </w:pPr>
            <w:r/>
            <w:r>
              <w:rPr>
                <w:rFonts w:ascii="Garamond" w:hAnsi="Garamond"/>
                <w:sz w:val="16"/>
              </w:rPr>
              <w:t>14.9%</w:t>
            </w:r>
          </w:p>
        </w:tc>
        <w:tc>
          <w:tcPr>
            <w:tcW w:type="dxa" w:w="851"/>
          </w:tcPr>
          <w:p>
            <w:pPr>
              <w:spacing w:line="240" w:lineRule="auto"/>
              <w:jc w:val="right"/>
            </w:pPr>
            <w:r/>
            <w:r>
              <w:rPr>
                <w:rFonts w:ascii="Garamond" w:hAnsi="Garamond"/>
                <w:sz w:val="16"/>
              </w:rPr>
              <w:t>70.1%</w:t>
            </w:r>
          </w:p>
        </w:tc>
        <w:tc>
          <w:tcPr>
            <w:tcW w:type="dxa" w:w="851"/>
          </w:tcPr>
          <w:p>
            <w:pPr>
              <w:spacing w:line="240" w:lineRule="auto"/>
              <w:jc w:val="right"/>
            </w:pPr>
            <w:r/>
            <w:r>
              <w:rPr>
                <w:rFonts w:ascii="Garamond" w:hAnsi="Garamond"/>
                <w:sz w:val="16"/>
              </w:rPr>
              <w:t>22.4%</w:t>
            </w:r>
          </w:p>
        </w:tc>
        <w:tc>
          <w:tcPr>
            <w:tcW w:type="dxa" w:w="851"/>
          </w:tcPr>
          <w:p>
            <w:pPr>
              <w:spacing w:line="240" w:lineRule="auto"/>
              <w:jc w:val="right"/>
            </w:pPr>
            <w:r/>
            <w:r>
              <w:rPr>
                <w:rFonts w:ascii="Garamond" w:hAnsi="Garamond"/>
                <w:sz w:val="16"/>
              </w:rPr>
              <w:t>2003</w:t>
            </w:r>
          </w:p>
        </w:tc>
      </w:tr>
      <w:tr>
        <w:tc>
          <w:tcPr>
            <w:tcW w:type="dxa" w:w="851"/>
          </w:tcPr>
          <w:p>
            <w:pPr>
              <w:spacing w:line="240" w:lineRule="auto"/>
            </w:pPr>
            <w:r/>
            <w:r>
              <w:rPr>
                <w:rFonts w:ascii="Garamond" w:hAnsi="Garamond"/>
                <w:sz w:val="16"/>
              </w:rPr>
              <w:t>156.28</w:t>
            </w:r>
          </w:p>
        </w:tc>
        <w:tc>
          <w:tcPr>
            <w:tcW w:type="dxa" w:w="851"/>
          </w:tcPr>
          <w:p>
            <w:pPr>
              <w:spacing w:line="240" w:lineRule="auto"/>
              <w:jc w:val="right"/>
            </w:pPr>
            <w:r/>
            <w:r>
              <w:rPr>
                <w:rFonts w:ascii="Garamond" w:hAnsi="Garamond"/>
                <w:sz w:val="16"/>
              </w:rPr>
              <w:t>512</w:t>
            </w:r>
          </w:p>
        </w:tc>
        <w:tc>
          <w:tcPr>
            <w:tcW w:type="dxa" w:w="851"/>
          </w:tcPr>
          <w:p>
            <w:pPr>
              <w:spacing w:line="240" w:lineRule="auto"/>
              <w:jc w:val="right"/>
            </w:pPr>
            <w:r/>
            <w:r>
              <w:rPr>
                <w:rFonts w:ascii="Garamond" w:hAnsi="Garamond"/>
                <w:sz w:val="16"/>
              </w:rPr>
              <w:t>117</w:t>
            </w:r>
          </w:p>
        </w:tc>
        <w:tc>
          <w:tcPr>
            <w:tcW w:type="dxa" w:w="851"/>
          </w:tcPr>
          <w:p>
            <w:pPr>
              <w:spacing w:line="240" w:lineRule="auto"/>
              <w:jc w:val="right"/>
            </w:pPr>
            <w:r/>
            <w:r>
              <w:rPr>
                <w:rFonts w:ascii="Garamond" w:hAnsi="Garamond"/>
                <w:sz w:val="16"/>
              </w:rPr>
              <w:t>22.9%</w:t>
            </w:r>
          </w:p>
        </w:tc>
        <w:tc>
          <w:tcPr>
            <w:tcW w:type="dxa" w:w="851"/>
          </w:tcPr>
          <w:p>
            <w:pPr>
              <w:spacing w:line="240" w:lineRule="auto"/>
              <w:jc w:val="right"/>
            </w:pPr>
            <w:r/>
            <w:r>
              <w:rPr>
                <w:rFonts w:ascii="Garamond" w:hAnsi="Garamond"/>
                <w:sz w:val="16"/>
              </w:rPr>
              <w:t>2</w:t>
            </w:r>
          </w:p>
        </w:tc>
        <w:tc>
          <w:tcPr>
            <w:tcW w:type="dxa" w:w="851"/>
          </w:tcPr>
          <w:p>
            <w:pPr>
              <w:spacing w:line="240" w:lineRule="auto"/>
              <w:jc w:val="right"/>
            </w:pPr>
            <w:r/>
            <w:r>
              <w:rPr>
                <w:rFonts w:ascii="Garamond" w:hAnsi="Garamond"/>
                <w:sz w:val="16"/>
              </w:rPr>
              <w:t>0.4%</w:t>
            </w:r>
          </w:p>
        </w:tc>
        <w:tc>
          <w:tcPr>
            <w:tcW w:type="dxa" w:w="851"/>
          </w:tcPr>
          <w:p>
            <w:pPr>
              <w:spacing w:line="240" w:lineRule="auto"/>
              <w:jc w:val="right"/>
            </w:pPr>
            <w:r/>
            <w:r>
              <w:rPr>
                <w:rFonts w:ascii="Garamond" w:hAnsi="Garamond"/>
                <w:sz w:val="16"/>
              </w:rPr>
              <w:t>$70,919</w:t>
            </w:r>
          </w:p>
        </w:tc>
        <w:tc>
          <w:tcPr>
            <w:tcW w:type="dxa" w:w="851"/>
          </w:tcPr>
          <w:p>
            <w:pPr>
              <w:spacing w:line="240" w:lineRule="auto"/>
              <w:jc w:val="right"/>
            </w:pPr>
            <w:r/>
            <w:r>
              <w:rPr>
                <w:rFonts w:ascii="Garamond" w:hAnsi="Garamond"/>
                <w:sz w:val="16"/>
              </w:rPr>
              <w:t>26.7%</w:t>
            </w:r>
          </w:p>
        </w:tc>
        <w:tc>
          <w:tcPr>
            <w:tcW w:type="dxa" w:w="851"/>
          </w:tcPr>
          <w:p>
            <w:pPr>
              <w:spacing w:line="240" w:lineRule="auto"/>
              <w:jc w:val="right"/>
            </w:pPr>
            <w:r/>
            <w:r>
              <w:rPr>
                <w:rFonts w:ascii="Garamond" w:hAnsi="Garamond"/>
                <w:sz w:val="16"/>
              </w:rPr>
              <w:t>75.7%</w:t>
            </w:r>
          </w:p>
        </w:tc>
        <w:tc>
          <w:tcPr>
            <w:tcW w:type="dxa" w:w="851"/>
          </w:tcPr>
          <w:p>
            <w:pPr>
              <w:spacing w:line="240" w:lineRule="auto"/>
              <w:jc w:val="right"/>
            </w:pPr>
            <w:r/>
            <w:r>
              <w:rPr>
                <w:rFonts w:ascii="Garamond" w:hAnsi="Garamond"/>
                <w:sz w:val="16"/>
              </w:rPr>
              <w:t>65.6%</w:t>
            </w:r>
          </w:p>
        </w:tc>
        <w:tc>
          <w:tcPr>
            <w:tcW w:type="dxa" w:w="851"/>
          </w:tcPr>
          <w:p>
            <w:pPr>
              <w:spacing w:line="240" w:lineRule="auto"/>
              <w:jc w:val="right"/>
            </w:pPr>
            <w:r/>
            <w:r>
              <w:rPr>
                <w:rFonts w:ascii="Garamond" w:hAnsi="Garamond"/>
                <w:sz w:val="16"/>
              </w:rPr>
              <w:t>1999</w:t>
            </w:r>
          </w:p>
        </w:tc>
      </w:tr>
      <w:tr>
        <w:tc>
          <w:tcPr>
            <w:tcW w:type="dxa" w:w="851"/>
          </w:tcPr>
          <w:p>
            <w:pPr>
              <w:spacing w:line="240" w:lineRule="auto"/>
            </w:pPr>
            <w:r/>
            <w:r>
              <w:rPr>
                <w:rFonts w:ascii="Garamond" w:hAnsi="Garamond"/>
                <w:sz w:val="16"/>
              </w:rPr>
              <w:t>136.00</w:t>
            </w:r>
          </w:p>
        </w:tc>
        <w:tc>
          <w:tcPr>
            <w:tcW w:type="dxa" w:w="851"/>
          </w:tcPr>
          <w:p>
            <w:pPr>
              <w:spacing w:line="240" w:lineRule="auto"/>
              <w:jc w:val="right"/>
            </w:pPr>
            <w:r/>
            <w:r>
              <w:rPr>
                <w:rFonts w:ascii="Garamond" w:hAnsi="Garamond"/>
                <w:sz w:val="16"/>
              </w:rPr>
              <w:t>807</w:t>
            </w:r>
          </w:p>
        </w:tc>
        <w:tc>
          <w:tcPr>
            <w:tcW w:type="dxa" w:w="851"/>
          </w:tcPr>
          <w:p>
            <w:pPr>
              <w:spacing w:line="240" w:lineRule="auto"/>
              <w:jc w:val="right"/>
            </w:pPr>
            <w:r/>
            <w:r>
              <w:rPr>
                <w:rFonts w:ascii="Garamond" w:hAnsi="Garamond"/>
                <w:sz w:val="16"/>
              </w:rPr>
              <w:t>175</w:t>
            </w:r>
          </w:p>
        </w:tc>
        <w:tc>
          <w:tcPr>
            <w:tcW w:type="dxa" w:w="851"/>
          </w:tcPr>
          <w:p>
            <w:pPr>
              <w:spacing w:line="240" w:lineRule="auto"/>
              <w:jc w:val="right"/>
            </w:pPr>
            <w:r/>
            <w:r>
              <w:rPr>
                <w:rFonts w:ascii="Garamond" w:hAnsi="Garamond"/>
                <w:sz w:val="16"/>
              </w:rPr>
              <w:t>21.7%</w:t>
            </w:r>
          </w:p>
        </w:tc>
        <w:tc>
          <w:tcPr>
            <w:tcW w:type="dxa" w:w="851"/>
          </w:tcPr>
          <w:p>
            <w:pPr>
              <w:spacing w:line="240" w:lineRule="auto"/>
              <w:jc w:val="right"/>
            </w:pPr>
            <w:r/>
            <w:r>
              <w:rPr>
                <w:rFonts w:ascii="Garamond" w:hAnsi="Garamond"/>
                <w:sz w:val="16"/>
              </w:rPr>
              <w:t>2</w:t>
            </w:r>
          </w:p>
        </w:tc>
        <w:tc>
          <w:tcPr>
            <w:tcW w:type="dxa" w:w="851"/>
          </w:tcPr>
          <w:p>
            <w:pPr>
              <w:spacing w:line="240" w:lineRule="auto"/>
              <w:jc w:val="right"/>
            </w:pPr>
            <w:r/>
            <w:r>
              <w:rPr>
                <w:rFonts w:ascii="Garamond" w:hAnsi="Garamond"/>
                <w:sz w:val="16"/>
              </w:rPr>
              <w:t>0.2%</w:t>
            </w:r>
          </w:p>
        </w:tc>
        <w:tc>
          <w:tcPr>
            <w:tcW w:type="dxa" w:w="851"/>
          </w:tcPr>
          <w:p>
            <w:pPr>
              <w:spacing w:line="240" w:lineRule="auto"/>
              <w:jc w:val="right"/>
            </w:pPr>
            <w:r/>
            <w:r>
              <w:rPr>
                <w:rFonts w:ascii="Garamond" w:hAnsi="Garamond"/>
                <w:sz w:val="16"/>
              </w:rPr>
              <w:t>$45,629</w:t>
            </w:r>
          </w:p>
        </w:tc>
        <w:tc>
          <w:tcPr>
            <w:tcW w:type="dxa" w:w="851"/>
          </w:tcPr>
          <w:p>
            <w:pPr>
              <w:spacing w:line="240" w:lineRule="auto"/>
              <w:jc w:val="right"/>
            </w:pPr>
            <w:r/>
            <w:r>
              <w:rPr>
                <w:rFonts w:ascii="Garamond" w:hAnsi="Garamond"/>
                <w:sz w:val="16"/>
              </w:rPr>
              <w:t>16.1%</w:t>
            </w:r>
          </w:p>
        </w:tc>
        <w:tc>
          <w:tcPr>
            <w:tcW w:type="dxa" w:w="851"/>
          </w:tcPr>
          <w:p>
            <w:pPr>
              <w:spacing w:line="240" w:lineRule="auto"/>
              <w:jc w:val="right"/>
            </w:pPr>
            <w:r/>
            <w:r>
              <w:rPr>
                <w:rFonts w:ascii="Garamond" w:hAnsi="Garamond"/>
                <w:sz w:val="16"/>
              </w:rPr>
              <w:t>72.2%</w:t>
            </w:r>
          </w:p>
        </w:tc>
        <w:tc>
          <w:tcPr>
            <w:tcW w:type="dxa" w:w="851"/>
          </w:tcPr>
          <w:p>
            <w:pPr>
              <w:spacing w:line="240" w:lineRule="auto"/>
              <w:jc w:val="right"/>
            </w:pPr>
            <w:r/>
            <w:r>
              <w:rPr>
                <w:rFonts w:ascii="Garamond" w:hAnsi="Garamond"/>
                <w:sz w:val="16"/>
              </w:rPr>
              <w:t>77.0%</w:t>
            </w:r>
          </w:p>
        </w:tc>
        <w:tc>
          <w:tcPr>
            <w:tcW w:type="dxa" w:w="851"/>
          </w:tcPr>
          <w:p>
            <w:pPr>
              <w:spacing w:line="240" w:lineRule="auto"/>
              <w:jc w:val="right"/>
            </w:pPr>
            <w:r/>
            <w:r>
              <w:rPr>
                <w:rFonts w:ascii="Garamond" w:hAnsi="Garamond"/>
                <w:sz w:val="16"/>
              </w:rPr>
              <w:t>1988</w:t>
            </w:r>
          </w:p>
        </w:tc>
      </w:tr>
      <w:tr>
        <w:tc>
          <w:tcPr>
            <w:tcW w:type="dxa" w:w="851"/>
          </w:tcPr>
          <w:p>
            <w:pPr>
              <w:spacing w:line="240" w:lineRule="auto"/>
            </w:pPr>
            <w:r/>
            <w:r>
              <w:rPr>
                <w:rFonts w:ascii="Garamond" w:hAnsi="Garamond"/>
                <w:sz w:val="16"/>
              </w:rPr>
              <w:t>166.00</w:t>
            </w:r>
          </w:p>
        </w:tc>
        <w:tc>
          <w:tcPr>
            <w:tcW w:type="dxa" w:w="851"/>
          </w:tcPr>
          <w:p>
            <w:pPr>
              <w:spacing w:line="240" w:lineRule="auto"/>
              <w:jc w:val="right"/>
            </w:pPr>
            <w:r/>
            <w:r>
              <w:rPr>
                <w:rFonts w:ascii="Garamond" w:hAnsi="Garamond"/>
                <w:sz w:val="16"/>
              </w:rPr>
              <w:t>330</w:t>
            </w:r>
          </w:p>
        </w:tc>
        <w:tc>
          <w:tcPr>
            <w:tcW w:type="dxa" w:w="851"/>
          </w:tcPr>
          <w:p>
            <w:pPr>
              <w:spacing w:line="240" w:lineRule="auto"/>
              <w:jc w:val="right"/>
            </w:pPr>
            <w:r/>
            <w:r>
              <w:rPr>
                <w:rFonts w:ascii="Garamond" w:hAnsi="Garamond"/>
                <w:sz w:val="16"/>
              </w:rPr>
              <w:t>69</w:t>
            </w:r>
          </w:p>
        </w:tc>
        <w:tc>
          <w:tcPr>
            <w:tcW w:type="dxa" w:w="851"/>
          </w:tcPr>
          <w:p>
            <w:pPr>
              <w:spacing w:line="240" w:lineRule="auto"/>
              <w:jc w:val="right"/>
            </w:pPr>
            <w:r/>
            <w:r>
              <w:rPr>
                <w:rFonts w:ascii="Garamond" w:hAnsi="Garamond"/>
                <w:sz w:val="16"/>
              </w:rPr>
              <w:t>20.9%</w:t>
            </w:r>
          </w:p>
        </w:tc>
        <w:tc>
          <w:tcPr>
            <w:tcW w:type="dxa" w:w="851"/>
          </w:tcPr>
          <w:p>
            <w:pPr>
              <w:spacing w:line="240" w:lineRule="auto"/>
              <w:jc w:val="right"/>
            </w:pPr>
            <w:r/>
            <w:r>
              <w:rPr>
                <w:rFonts w:ascii="Garamond" w:hAnsi="Garamond"/>
                <w:sz w:val="16"/>
              </w:rPr>
              <w:t>1</w:t>
            </w:r>
          </w:p>
        </w:tc>
        <w:tc>
          <w:tcPr>
            <w:tcW w:type="dxa" w:w="851"/>
          </w:tcPr>
          <w:p>
            <w:pPr>
              <w:spacing w:line="240" w:lineRule="auto"/>
              <w:jc w:val="right"/>
            </w:pPr>
            <w:r/>
            <w:r>
              <w:rPr>
                <w:rFonts w:ascii="Garamond" w:hAnsi="Garamond"/>
                <w:sz w:val="16"/>
              </w:rPr>
              <w:t>0.3%</w:t>
            </w:r>
          </w:p>
        </w:tc>
        <w:tc>
          <w:tcPr>
            <w:tcW w:type="dxa" w:w="851"/>
          </w:tcPr>
          <w:p>
            <w:pPr>
              <w:spacing w:line="240" w:lineRule="auto"/>
              <w:jc w:val="right"/>
            </w:pPr>
            <w:r/>
            <w:r>
              <w:rPr>
                <w:rFonts w:ascii="Garamond" w:hAnsi="Garamond"/>
                <w:sz w:val="16"/>
              </w:rPr>
              <w:t>$60,894</w:t>
            </w:r>
          </w:p>
        </w:tc>
        <w:tc>
          <w:tcPr>
            <w:tcW w:type="dxa" w:w="851"/>
          </w:tcPr>
          <w:p>
            <w:pPr>
              <w:spacing w:line="240" w:lineRule="auto"/>
              <w:jc w:val="right"/>
            </w:pPr>
            <w:r/>
            <w:r>
              <w:rPr>
                <w:rFonts w:ascii="Garamond" w:hAnsi="Garamond"/>
                <w:sz w:val="16"/>
              </w:rPr>
              <w:t>22.8%</w:t>
            </w:r>
          </w:p>
        </w:tc>
        <w:tc>
          <w:tcPr>
            <w:tcW w:type="dxa" w:w="851"/>
          </w:tcPr>
          <w:p>
            <w:pPr>
              <w:spacing w:line="240" w:lineRule="auto"/>
              <w:jc w:val="right"/>
            </w:pPr>
            <w:r/>
            <w:r>
              <w:rPr>
                <w:rFonts w:ascii="Garamond" w:hAnsi="Garamond"/>
                <w:sz w:val="16"/>
              </w:rPr>
              <w:t>79.1%</w:t>
            </w:r>
          </w:p>
        </w:tc>
        <w:tc>
          <w:tcPr>
            <w:tcW w:type="dxa" w:w="851"/>
          </w:tcPr>
          <w:p>
            <w:pPr>
              <w:spacing w:line="240" w:lineRule="auto"/>
              <w:jc w:val="right"/>
            </w:pPr>
            <w:r/>
            <w:r>
              <w:rPr>
                <w:rFonts w:ascii="Garamond" w:hAnsi="Garamond"/>
                <w:sz w:val="16"/>
              </w:rPr>
              <w:t>15.8%</w:t>
            </w:r>
          </w:p>
        </w:tc>
        <w:tc>
          <w:tcPr>
            <w:tcW w:type="dxa" w:w="851"/>
          </w:tcPr>
          <w:p>
            <w:pPr>
              <w:spacing w:line="240" w:lineRule="auto"/>
              <w:jc w:val="right"/>
            </w:pPr>
            <w:r/>
            <w:r>
              <w:rPr>
                <w:rFonts w:ascii="Garamond" w:hAnsi="Garamond"/>
                <w:sz w:val="16"/>
              </w:rPr>
              <w:t>2002</w:t>
            </w:r>
          </w:p>
        </w:tc>
      </w:tr>
      <w:tr>
        <w:tc>
          <w:tcPr>
            <w:tcW w:type="dxa" w:w="851"/>
          </w:tcPr>
          <w:p>
            <w:pPr>
              <w:spacing w:line="240" w:lineRule="auto"/>
            </w:pPr>
            <w:r/>
            <w:r>
              <w:rPr>
                <w:rFonts w:ascii="Garamond" w:hAnsi="Garamond"/>
                <w:sz w:val="16"/>
              </w:rPr>
              <w:t>119.00</w:t>
            </w:r>
          </w:p>
        </w:tc>
        <w:tc>
          <w:tcPr>
            <w:tcW w:type="dxa" w:w="851"/>
          </w:tcPr>
          <w:p>
            <w:pPr>
              <w:spacing w:line="240" w:lineRule="auto"/>
              <w:jc w:val="right"/>
            </w:pPr>
            <w:r/>
            <w:r>
              <w:rPr>
                <w:rFonts w:ascii="Garamond" w:hAnsi="Garamond"/>
                <w:sz w:val="16"/>
              </w:rPr>
              <w:t>616</w:t>
            </w:r>
          </w:p>
        </w:tc>
        <w:tc>
          <w:tcPr>
            <w:tcW w:type="dxa" w:w="851"/>
          </w:tcPr>
          <w:p>
            <w:pPr>
              <w:spacing w:line="240" w:lineRule="auto"/>
              <w:jc w:val="right"/>
            </w:pPr>
            <w:r/>
            <w:r>
              <w:rPr>
                <w:rFonts w:ascii="Garamond" w:hAnsi="Garamond"/>
                <w:sz w:val="16"/>
              </w:rPr>
              <w:t>126</w:t>
            </w:r>
          </w:p>
        </w:tc>
        <w:tc>
          <w:tcPr>
            <w:tcW w:type="dxa" w:w="851"/>
          </w:tcPr>
          <w:p>
            <w:pPr>
              <w:spacing w:line="240" w:lineRule="auto"/>
              <w:jc w:val="right"/>
            </w:pPr>
            <w:r/>
            <w:r>
              <w:rPr>
                <w:rFonts w:ascii="Garamond" w:hAnsi="Garamond"/>
                <w:sz w:val="16"/>
              </w:rPr>
              <w:t>20.5%</w:t>
            </w:r>
          </w:p>
        </w:tc>
        <w:tc>
          <w:tcPr>
            <w:tcW w:type="dxa" w:w="851"/>
          </w:tcPr>
          <w:p>
            <w:pPr>
              <w:spacing w:line="240" w:lineRule="auto"/>
              <w:jc w:val="right"/>
            </w:pPr>
            <w:r/>
            <w:r>
              <w:rPr>
                <w:rFonts w:ascii="Garamond" w:hAnsi="Garamond"/>
                <w:sz w:val="16"/>
              </w:rPr>
              <w:t>1</w:t>
            </w:r>
          </w:p>
        </w:tc>
        <w:tc>
          <w:tcPr>
            <w:tcW w:type="dxa" w:w="851"/>
          </w:tcPr>
          <w:p>
            <w:pPr>
              <w:spacing w:line="240" w:lineRule="auto"/>
              <w:jc w:val="right"/>
            </w:pPr>
            <w:r/>
            <w:r>
              <w:rPr>
                <w:rFonts w:ascii="Garamond" w:hAnsi="Garamond"/>
                <w:sz w:val="16"/>
              </w:rPr>
              <w:t>0.2%</w:t>
            </w:r>
          </w:p>
        </w:tc>
        <w:tc>
          <w:tcPr>
            <w:tcW w:type="dxa" w:w="851"/>
          </w:tcPr>
          <w:p>
            <w:pPr>
              <w:spacing w:line="240" w:lineRule="auto"/>
              <w:jc w:val="right"/>
            </w:pPr>
            <w:r/>
            <w:r>
              <w:rPr>
                <w:rFonts w:ascii="Garamond" w:hAnsi="Garamond"/>
                <w:sz w:val="16"/>
              </w:rPr>
              <w:t>$76,088</w:t>
            </w:r>
          </w:p>
        </w:tc>
        <w:tc>
          <w:tcPr>
            <w:tcW w:type="dxa" w:w="851"/>
          </w:tcPr>
          <w:p>
            <w:pPr>
              <w:spacing w:line="240" w:lineRule="auto"/>
              <w:jc w:val="right"/>
            </w:pPr>
            <w:r/>
            <w:r>
              <w:rPr>
                <w:rFonts w:ascii="Garamond" w:hAnsi="Garamond"/>
                <w:sz w:val="16"/>
              </w:rPr>
              <w:t>28.1%</w:t>
            </w:r>
          </w:p>
        </w:tc>
        <w:tc>
          <w:tcPr>
            <w:tcW w:type="dxa" w:w="851"/>
          </w:tcPr>
          <w:p>
            <w:pPr>
              <w:spacing w:line="240" w:lineRule="auto"/>
              <w:jc w:val="right"/>
            </w:pPr>
            <w:r/>
            <w:r>
              <w:rPr>
                <w:rFonts w:ascii="Garamond" w:hAnsi="Garamond"/>
                <w:sz w:val="16"/>
              </w:rPr>
              <w:t>78.7%</w:t>
            </w:r>
          </w:p>
        </w:tc>
        <w:tc>
          <w:tcPr>
            <w:tcW w:type="dxa" w:w="851"/>
          </w:tcPr>
          <w:p>
            <w:pPr>
              <w:spacing w:line="240" w:lineRule="auto"/>
              <w:jc w:val="right"/>
            </w:pPr>
            <w:r/>
            <w:r>
              <w:rPr>
                <w:rFonts w:ascii="Garamond" w:hAnsi="Garamond"/>
                <w:sz w:val="16"/>
              </w:rPr>
              <w:t>47.7%</w:t>
            </w:r>
          </w:p>
        </w:tc>
        <w:tc>
          <w:tcPr>
            <w:tcW w:type="dxa" w:w="851"/>
          </w:tcPr>
          <w:p>
            <w:pPr>
              <w:spacing w:line="240" w:lineRule="auto"/>
              <w:jc w:val="right"/>
            </w:pPr>
            <w:r/>
            <w:r>
              <w:rPr>
                <w:rFonts w:ascii="Garamond" w:hAnsi="Garamond"/>
                <w:sz w:val="16"/>
              </w:rPr>
              <w:t>2010</w:t>
            </w:r>
          </w:p>
        </w:tc>
      </w:tr>
      <w:tr>
        <w:tc>
          <w:tcPr>
            <w:tcW w:type="dxa" w:w="851"/>
          </w:tcPr>
          <w:p>
            <w:pPr>
              <w:spacing w:line="240" w:lineRule="auto"/>
            </w:pPr>
            <w:r/>
            <w:r>
              <w:rPr>
                <w:rFonts w:ascii="Garamond" w:hAnsi="Garamond"/>
                <w:sz w:val="16"/>
              </w:rPr>
              <w:t>137.02</w:t>
            </w:r>
          </w:p>
        </w:tc>
        <w:tc>
          <w:tcPr>
            <w:tcW w:type="dxa" w:w="851"/>
          </w:tcPr>
          <w:p>
            <w:pPr>
              <w:spacing w:line="240" w:lineRule="auto"/>
              <w:jc w:val="right"/>
            </w:pPr>
            <w:r/>
            <w:r>
              <w:rPr>
                <w:rFonts w:ascii="Garamond" w:hAnsi="Garamond"/>
                <w:sz w:val="16"/>
              </w:rPr>
              <w:t>332</w:t>
            </w:r>
          </w:p>
        </w:tc>
        <w:tc>
          <w:tcPr>
            <w:tcW w:type="dxa" w:w="851"/>
          </w:tcPr>
          <w:p>
            <w:pPr>
              <w:spacing w:line="240" w:lineRule="auto"/>
              <w:jc w:val="right"/>
            </w:pPr>
            <w:r/>
            <w:r>
              <w:rPr>
                <w:rFonts w:ascii="Garamond" w:hAnsi="Garamond"/>
                <w:sz w:val="16"/>
              </w:rPr>
              <w:t>66</w:t>
            </w:r>
          </w:p>
        </w:tc>
        <w:tc>
          <w:tcPr>
            <w:tcW w:type="dxa" w:w="851"/>
          </w:tcPr>
          <w:p>
            <w:pPr>
              <w:spacing w:line="240" w:lineRule="auto"/>
              <w:jc w:val="right"/>
            </w:pPr>
            <w:r/>
            <w:r>
              <w:rPr>
                <w:rFonts w:ascii="Garamond" w:hAnsi="Garamond"/>
                <w:sz w:val="16"/>
              </w:rPr>
              <w:t>19.9%</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0.0%</w:t>
            </w:r>
          </w:p>
        </w:tc>
        <w:tc>
          <w:tcPr>
            <w:tcW w:type="dxa" w:w="851"/>
          </w:tcPr>
          <w:p>
            <w:pPr>
              <w:spacing w:line="240" w:lineRule="auto"/>
              <w:jc w:val="right"/>
            </w:pPr>
            <w:r/>
            <w:r>
              <w:rPr>
                <w:rFonts w:ascii="Garamond" w:hAnsi="Garamond"/>
                <w:sz w:val="16"/>
              </w:rPr>
              <w:t>$61,053</w:t>
            </w:r>
          </w:p>
        </w:tc>
        <w:tc>
          <w:tcPr>
            <w:tcW w:type="dxa" w:w="851"/>
          </w:tcPr>
          <w:p>
            <w:pPr>
              <w:spacing w:line="240" w:lineRule="auto"/>
              <w:jc w:val="right"/>
            </w:pPr>
            <w:r/>
            <w:r>
              <w:rPr>
                <w:rFonts w:ascii="Garamond" w:hAnsi="Garamond"/>
                <w:sz w:val="16"/>
              </w:rPr>
              <w:t>19.2%</w:t>
            </w:r>
          </w:p>
        </w:tc>
        <w:tc>
          <w:tcPr>
            <w:tcW w:type="dxa" w:w="851"/>
          </w:tcPr>
          <w:p>
            <w:pPr>
              <w:spacing w:line="240" w:lineRule="auto"/>
              <w:jc w:val="right"/>
            </w:pPr>
            <w:r/>
            <w:r>
              <w:rPr>
                <w:rFonts w:ascii="Garamond" w:hAnsi="Garamond"/>
                <w:sz w:val="16"/>
              </w:rPr>
              <w:t>87.2%</w:t>
            </w:r>
          </w:p>
        </w:tc>
        <w:tc>
          <w:tcPr>
            <w:tcW w:type="dxa" w:w="851"/>
          </w:tcPr>
          <w:p>
            <w:pPr>
              <w:spacing w:line="240" w:lineRule="auto"/>
              <w:jc w:val="right"/>
            </w:pPr>
            <w:r/>
            <w:r>
              <w:rPr>
                <w:rFonts w:ascii="Garamond" w:hAnsi="Garamond"/>
                <w:sz w:val="16"/>
              </w:rPr>
              <w:t>52.3%</w:t>
            </w:r>
          </w:p>
        </w:tc>
        <w:tc>
          <w:tcPr>
            <w:tcW w:type="dxa" w:w="851"/>
          </w:tcPr>
          <w:p>
            <w:pPr>
              <w:spacing w:line="240" w:lineRule="auto"/>
              <w:jc w:val="right"/>
            </w:pPr>
            <w:r/>
            <w:r>
              <w:rPr>
                <w:rFonts w:ascii="Garamond" w:hAnsi="Garamond"/>
                <w:sz w:val="16"/>
              </w:rPr>
              <w:t>2014</w:t>
            </w:r>
          </w:p>
        </w:tc>
      </w:tr>
      <w:tr>
        <w:tc>
          <w:tcPr>
            <w:tcW w:type="dxa" w:w="851"/>
          </w:tcPr>
          <w:p>
            <w:pPr>
              <w:spacing w:line="240" w:lineRule="auto"/>
            </w:pPr>
            <w:r/>
            <w:r>
              <w:rPr>
                <w:rFonts w:ascii="Garamond" w:hAnsi="Garamond"/>
                <w:sz w:val="16"/>
              </w:rPr>
              <w:t>156.34</w:t>
            </w:r>
          </w:p>
        </w:tc>
        <w:tc>
          <w:tcPr>
            <w:tcW w:type="dxa" w:w="851"/>
          </w:tcPr>
          <w:p>
            <w:pPr>
              <w:spacing w:line="240" w:lineRule="auto"/>
              <w:jc w:val="right"/>
            </w:pPr>
            <w:r/>
            <w:r>
              <w:rPr>
                <w:rFonts w:ascii="Garamond" w:hAnsi="Garamond"/>
                <w:sz w:val="16"/>
              </w:rPr>
              <w:t>4,672</w:t>
            </w:r>
          </w:p>
        </w:tc>
        <w:tc>
          <w:tcPr>
            <w:tcW w:type="dxa" w:w="851"/>
          </w:tcPr>
          <w:p>
            <w:pPr>
              <w:spacing w:line="240" w:lineRule="auto"/>
              <w:jc w:val="right"/>
            </w:pPr>
            <w:r/>
            <w:r>
              <w:rPr>
                <w:rFonts w:ascii="Garamond" w:hAnsi="Garamond"/>
                <w:sz w:val="16"/>
              </w:rPr>
              <w:t>899</w:t>
            </w:r>
          </w:p>
        </w:tc>
        <w:tc>
          <w:tcPr>
            <w:tcW w:type="dxa" w:w="851"/>
          </w:tcPr>
          <w:p>
            <w:pPr>
              <w:spacing w:line="240" w:lineRule="auto"/>
              <w:jc w:val="right"/>
            </w:pPr>
            <w:r/>
            <w:r>
              <w:rPr>
                <w:rFonts w:ascii="Garamond" w:hAnsi="Garamond"/>
                <w:sz w:val="16"/>
              </w:rPr>
              <w:t>19.2%</w:t>
            </w:r>
          </w:p>
        </w:tc>
        <w:tc>
          <w:tcPr>
            <w:tcW w:type="dxa" w:w="851"/>
          </w:tcPr>
          <w:p>
            <w:pPr>
              <w:spacing w:line="240" w:lineRule="auto"/>
              <w:jc w:val="right"/>
            </w:pPr>
            <w:r/>
            <w:r>
              <w:rPr>
                <w:rFonts w:ascii="Garamond" w:hAnsi="Garamond"/>
                <w:sz w:val="16"/>
              </w:rPr>
              <w:t>496</w:t>
            </w:r>
          </w:p>
        </w:tc>
        <w:tc>
          <w:tcPr>
            <w:tcW w:type="dxa" w:w="851"/>
          </w:tcPr>
          <w:p>
            <w:pPr>
              <w:spacing w:line="240" w:lineRule="auto"/>
              <w:jc w:val="right"/>
            </w:pPr>
            <w:r/>
            <w:r>
              <w:rPr>
                <w:rFonts w:ascii="Garamond" w:hAnsi="Garamond"/>
                <w:sz w:val="16"/>
              </w:rPr>
              <w:t>10.6%</w:t>
            </w:r>
          </w:p>
        </w:tc>
        <w:tc>
          <w:tcPr>
            <w:tcW w:type="dxa" w:w="851"/>
          </w:tcPr>
          <w:p>
            <w:pPr>
              <w:spacing w:line="240" w:lineRule="auto"/>
              <w:jc w:val="right"/>
            </w:pPr>
            <w:r/>
            <w:r>
              <w:rPr>
                <w:rFonts w:ascii="Garamond" w:hAnsi="Garamond"/>
                <w:sz w:val="16"/>
              </w:rPr>
              <w:t>$82,371</w:t>
            </w:r>
          </w:p>
        </w:tc>
        <w:tc>
          <w:tcPr>
            <w:tcW w:type="dxa" w:w="851"/>
          </w:tcPr>
          <w:p>
            <w:pPr>
              <w:spacing w:line="240" w:lineRule="auto"/>
              <w:jc w:val="right"/>
            </w:pPr>
            <w:r/>
            <w:r>
              <w:rPr>
                <w:rFonts w:ascii="Garamond" w:hAnsi="Garamond"/>
                <w:sz w:val="16"/>
              </w:rPr>
              <w:t>15.7%</w:t>
            </w:r>
          </w:p>
        </w:tc>
        <w:tc>
          <w:tcPr>
            <w:tcW w:type="dxa" w:w="851"/>
          </w:tcPr>
          <w:p>
            <w:pPr>
              <w:spacing w:line="240" w:lineRule="auto"/>
              <w:jc w:val="right"/>
            </w:pPr>
            <w:r/>
            <w:r>
              <w:rPr>
                <w:rFonts w:ascii="Garamond" w:hAnsi="Garamond"/>
                <w:sz w:val="16"/>
              </w:rPr>
              <w:t>31.7%</w:t>
            </w:r>
          </w:p>
        </w:tc>
        <w:tc>
          <w:tcPr>
            <w:tcW w:type="dxa" w:w="851"/>
          </w:tcPr>
          <w:p>
            <w:pPr>
              <w:spacing w:line="240" w:lineRule="auto"/>
              <w:jc w:val="right"/>
            </w:pPr>
            <w:r/>
            <w:r>
              <w:rPr>
                <w:rFonts w:ascii="Garamond" w:hAnsi="Garamond"/>
                <w:sz w:val="16"/>
              </w:rPr>
              <w:t>35.8%</w:t>
            </w:r>
          </w:p>
        </w:tc>
        <w:tc>
          <w:tcPr>
            <w:tcW w:type="dxa" w:w="851"/>
          </w:tcPr>
          <w:p>
            <w:pPr>
              <w:spacing w:line="240" w:lineRule="auto"/>
              <w:jc w:val="right"/>
            </w:pPr>
            <w:r/>
            <w:r>
              <w:rPr>
                <w:rFonts w:ascii="Garamond" w:hAnsi="Garamond"/>
                <w:sz w:val="16"/>
              </w:rPr>
              <w:t>2009</w:t>
            </w:r>
          </w:p>
        </w:tc>
      </w:tr>
      <w:tr>
        <w:tc>
          <w:tcPr>
            <w:tcW w:type="dxa" w:w="851"/>
          </w:tcPr>
          <w:p>
            <w:pPr>
              <w:spacing w:line="240" w:lineRule="auto"/>
            </w:pPr>
            <w:r/>
            <w:r>
              <w:rPr>
                <w:rFonts w:ascii="Garamond" w:hAnsi="Garamond"/>
                <w:sz w:val="16"/>
              </w:rPr>
              <w:t>161.00</w:t>
            </w:r>
          </w:p>
        </w:tc>
        <w:tc>
          <w:tcPr>
            <w:tcW w:type="dxa" w:w="851"/>
          </w:tcPr>
          <w:p>
            <w:pPr>
              <w:spacing w:line="240" w:lineRule="auto"/>
              <w:jc w:val="right"/>
            </w:pPr>
            <w:r/>
            <w:r>
              <w:rPr>
                <w:rFonts w:ascii="Garamond" w:hAnsi="Garamond"/>
                <w:sz w:val="16"/>
              </w:rPr>
              <w:t>798</w:t>
            </w:r>
          </w:p>
        </w:tc>
        <w:tc>
          <w:tcPr>
            <w:tcW w:type="dxa" w:w="851"/>
          </w:tcPr>
          <w:p>
            <w:pPr>
              <w:spacing w:line="240" w:lineRule="auto"/>
              <w:jc w:val="right"/>
            </w:pPr>
            <w:r/>
            <w:r>
              <w:rPr>
                <w:rFonts w:ascii="Garamond" w:hAnsi="Garamond"/>
                <w:sz w:val="16"/>
              </w:rPr>
              <w:t>152</w:t>
            </w:r>
          </w:p>
        </w:tc>
        <w:tc>
          <w:tcPr>
            <w:tcW w:type="dxa" w:w="851"/>
          </w:tcPr>
          <w:p>
            <w:pPr>
              <w:spacing w:line="240" w:lineRule="auto"/>
              <w:jc w:val="right"/>
            </w:pPr>
            <w:r/>
            <w:r>
              <w:rPr>
                <w:rFonts w:ascii="Garamond" w:hAnsi="Garamond"/>
                <w:sz w:val="16"/>
              </w:rPr>
              <w:t>19.0%</w:t>
            </w:r>
          </w:p>
        </w:tc>
        <w:tc>
          <w:tcPr>
            <w:tcW w:type="dxa" w:w="851"/>
          </w:tcPr>
          <w:p>
            <w:pPr>
              <w:spacing w:line="240" w:lineRule="auto"/>
              <w:jc w:val="right"/>
            </w:pPr>
            <w:r/>
            <w:r>
              <w:rPr>
                <w:rFonts w:ascii="Garamond" w:hAnsi="Garamond"/>
                <w:sz w:val="16"/>
              </w:rPr>
              <w:t>2</w:t>
            </w:r>
          </w:p>
        </w:tc>
        <w:tc>
          <w:tcPr>
            <w:tcW w:type="dxa" w:w="851"/>
          </w:tcPr>
          <w:p>
            <w:pPr>
              <w:spacing w:line="240" w:lineRule="auto"/>
              <w:jc w:val="right"/>
            </w:pPr>
            <w:r/>
            <w:r>
              <w:rPr>
                <w:rFonts w:ascii="Garamond" w:hAnsi="Garamond"/>
                <w:sz w:val="16"/>
              </w:rPr>
              <w:t>0.3%</w:t>
            </w:r>
          </w:p>
        </w:tc>
        <w:tc>
          <w:tcPr>
            <w:tcW w:type="dxa" w:w="851"/>
          </w:tcPr>
          <w:p>
            <w:pPr>
              <w:spacing w:line="240" w:lineRule="auto"/>
              <w:jc w:val="right"/>
            </w:pPr>
            <w:r/>
            <w:r>
              <w:rPr>
                <w:rFonts w:ascii="Garamond" w:hAnsi="Garamond"/>
                <w:sz w:val="16"/>
              </w:rPr>
              <w:t>$77,243</w:t>
            </w:r>
          </w:p>
        </w:tc>
        <w:tc>
          <w:tcPr>
            <w:tcW w:type="dxa" w:w="851"/>
          </w:tcPr>
          <w:p>
            <w:pPr>
              <w:spacing w:line="240" w:lineRule="auto"/>
              <w:jc w:val="right"/>
            </w:pPr>
            <w:r/>
            <w:r>
              <w:rPr>
                <w:rFonts w:ascii="Garamond" w:hAnsi="Garamond"/>
                <w:sz w:val="16"/>
              </w:rPr>
              <w:t>9.4%</w:t>
            </w:r>
          </w:p>
        </w:tc>
        <w:tc>
          <w:tcPr>
            <w:tcW w:type="dxa" w:w="851"/>
          </w:tcPr>
          <w:p>
            <w:pPr>
              <w:spacing w:line="240" w:lineRule="auto"/>
              <w:jc w:val="right"/>
            </w:pPr>
            <w:r/>
            <w:r>
              <w:rPr>
                <w:rFonts w:ascii="Garamond" w:hAnsi="Garamond"/>
                <w:sz w:val="16"/>
              </w:rPr>
              <w:t>65.3%</w:t>
            </w:r>
          </w:p>
        </w:tc>
        <w:tc>
          <w:tcPr>
            <w:tcW w:type="dxa" w:w="851"/>
          </w:tcPr>
          <w:p>
            <w:pPr>
              <w:spacing w:line="240" w:lineRule="auto"/>
              <w:jc w:val="right"/>
            </w:pPr>
            <w:r/>
            <w:r>
              <w:rPr>
                <w:rFonts w:ascii="Garamond" w:hAnsi="Garamond"/>
                <w:sz w:val="16"/>
              </w:rPr>
              <w:t>32.3%</w:t>
            </w:r>
          </w:p>
        </w:tc>
        <w:tc>
          <w:tcPr>
            <w:tcW w:type="dxa" w:w="851"/>
          </w:tcPr>
          <w:p>
            <w:pPr>
              <w:spacing w:line="240" w:lineRule="auto"/>
              <w:jc w:val="right"/>
            </w:pPr>
            <w:r/>
            <w:r>
              <w:rPr>
                <w:rFonts w:ascii="Garamond" w:hAnsi="Garamond"/>
                <w:sz w:val="16"/>
              </w:rPr>
              <w:t>2014</w:t>
            </w:r>
          </w:p>
        </w:tc>
      </w:tr>
      <w:tr>
        <w:tc>
          <w:tcPr>
            <w:tcW w:type="dxa" w:w="851"/>
          </w:tcPr>
          <w:p>
            <w:pPr>
              <w:spacing w:line="240" w:lineRule="auto"/>
            </w:pPr>
            <w:r/>
            <w:r>
              <w:rPr>
                <w:rFonts w:ascii="Garamond" w:hAnsi="Garamond"/>
                <w:sz w:val="16"/>
              </w:rPr>
              <w:t>172.00</w:t>
            </w:r>
          </w:p>
        </w:tc>
        <w:tc>
          <w:tcPr>
            <w:tcW w:type="dxa" w:w="851"/>
          </w:tcPr>
          <w:p>
            <w:pPr>
              <w:spacing w:line="240" w:lineRule="auto"/>
              <w:jc w:val="right"/>
            </w:pPr>
            <w:r/>
            <w:r>
              <w:rPr>
                <w:rFonts w:ascii="Garamond" w:hAnsi="Garamond"/>
                <w:sz w:val="16"/>
              </w:rPr>
              <w:t>710</w:t>
            </w:r>
          </w:p>
        </w:tc>
        <w:tc>
          <w:tcPr>
            <w:tcW w:type="dxa" w:w="851"/>
          </w:tcPr>
          <w:p>
            <w:pPr>
              <w:spacing w:line="240" w:lineRule="auto"/>
              <w:jc w:val="right"/>
            </w:pPr>
            <w:r/>
            <w:r>
              <w:rPr>
                <w:rFonts w:ascii="Garamond" w:hAnsi="Garamond"/>
                <w:sz w:val="16"/>
              </w:rPr>
              <w:t>133</w:t>
            </w:r>
          </w:p>
        </w:tc>
        <w:tc>
          <w:tcPr>
            <w:tcW w:type="dxa" w:w="851"/>
          </w:tcPr>
          <w:p>
            <w:pPr>
              <w:spacing w:line="240" w:lineRule="auto"/>
              <w:jc w:val="right"/>
            </w:pPr>
            <w:r/>
            <w:r>
              <w:rPr>
                <w:rFonts w:ascii="Garamond" w:hAnsi="Garamond"/>
                <w:sz w:val="16"/>
              </w:rPr>
              <w:t>18.7%</w:t>
            </w:r>
          </w:p>
        </w:tc>
        <w:tc>
          <w:tcPr>
            <w:tcW w:type="dxa" w:w="851"/>
          </w:tcPr>
          <w:p>
            <w:pPr>
              <w:spacing w:line="240" w:lineRule="auto"/>
              <w:jc w:val="right"/>
            </w:pPr>
            <w:r/>
            <w:r>
              <w:rPr>
                <w:rFonts w:ascii="Garamond" w:hAnsi="Garamond"/>
                <w:sz w:val="16"/>
              </w:rPr>
              <w:t>1</w:t>
            </w:r>
          </w:p>
        </w:tc>
        <w:tc>
          <w:tcPr>
            <w:tcW w:type="dxa" w:w="851"/>
          </w:tcPr>
          <w:p>
            <w:pPr>
              <w:spacing w:line="240" w:lineRule="auto"/>
              <w:jc w:val="right"/>
            </w:pPr>
            <w:r/>
            <w:r>
              <w:rPr>
                <w:rFonts w:ascii="Garamond" w:hAnsi="Garamond"/>
                <w:sz w:val="16"/>
              </w:rPr>
              <w:t>0.1%</w:t>
            </w:r>
          </w:p>
        </w:tc>
        <w:tc>
          <w:tcPr>
            <w:tcW w:type="dxa" w:w="851"/>
          </w:tcPr>
          <w:p>
            <w:pPr>
              <w:spacing w:line="240" w:lineRule="auto"/>
              <w:jc w:val="right"/>
            </w:pPr>
            <w:r/>
            <w:r>
              <w:rPr>
                <w:rFonts w:ascii="Garamond" w:hAnsi="Garamond"/>
                <w:sz w:val="16"/>
              </w:rPr>
              <w:t>$89,583</w:t>
            </w:r>
          </w:p>
        </w:tc>
        <w:tc>
          <w:tcPr>
            <w:tcW w:type="dxa" w:w="851"/>
          </w:tcPr>
          <w:p>
            <w:pPr>
              <w:spacing w:line="240" w:lineRule="auto"/>
              <w:jc w:val="right"/>
            </w:pPr>
            <w:r/>
            <w:r>
              <w:rPr>
                <w:rFonts w:ascii="Garamond" w:hAnsi="Garamond"/>
                <w:sz w:val="16"/>
              </w:rPr>
              <w:t>7.8%</w:t>
            </w:r>
          </w:p>
        </w:tc>
        <w:tc>
          <w:tcPr>
            <w:tcW w:type="dxa" w:w="851"/>
          </w:tcPr>
          <w:p>
            <w:pPr>
              <w:spacing w:line="240" w:lineRule="auto"/>
              <w:jc w:val="right"/>
            </w:pPr>
            <w:r/>
            <w:r>
              <w:rPr>
                <w:rFonts w:ascii="Garamond" w:hAnsi="Garamond"/>
                <w:sz w:val="16"/>
              </w:rPr>
              <w:t>59.8%</w:t>
            </w:r>
          </w:p>
        </w:tc>
        <w:tc>
          <w:tcPr>
            <w:tcW w:type="dxa" w:w="851"/>
          </w:tcPr>
          <w:p>
            <w:pPr>
              <w:spacing w:line="240" w:lineRule="auto"/>
              <w:jc w:val="right"/>
            </w:pPr>
            <w:r/>
            <w:r>
              <w:rPr>
                <w:rFonts w:ascii="Garamond" w:hAnsi="Garamond"/>
                <w:sz w:val="16"/>
              </w:rPr>
              <w:t>12.2%</w:t>
            </w:r>
          </w:p>
        </w:tc>
        <w:tc>
          <w:tcPr>
            <w:tcW w:type="dxa" w:w="851"/>
          </w:tcPr>
          <w:p>
            <w:pPr>
              <w:spacing w:line="240" w:lineRule="auto"/>
              <w:jc w:val="right"/>
            </w:pPr>
            <w:r/>
            <w:r>
              <w:rPr>
                <w:rFonts w:ascii="Garamond" w:hAnsi="Garamond"/>
                <w:sz w:val="16"/>
              </w:rPr>
              <w:t>2009</w:t>
            </w:r>
          </w:p>
        </w:tc>
      </w:tr>
      <w:tr>
        <w:tc>
          <w:tcPr>
            <w:tcW w:type="dxa" w:w="851"/>
          </w:tcPr>
          <w:p>
            <w:pPr>
              <w:spacing w:line="240" w:lineRule="auto"/>
            </w:pPr>
            <w:r/>
            <w:r>
              <w:rPr>
                <w:rFonts w:ascii="Garamond" w:hAnsi="Garamond"/>
                <w:sz w:val="16"/>
              </w:rPr>
              <w:t>160.00</w:t>
            </w:r>
          </w:p>
        </w:tc>
        <w:tc>
          <w:tcPr>
            <w:tcW w:type="dxa" w:w="851"/>
          </w:tcPr>
          <w:p>
            <w:pPr>
              <w:spacing w:line="240" w:lineRule="auto"/>
              <w:jc w:val="right"/>
            </w:pPr>
            <w:r/>
            <w:r>
              <w:rPr>
                <w:rFonts w:ascii="Garamond" w:hAnsi="Garamond"/>
                <w:sz w:val="16"/>
              </w:rPr>
              <w:t>593</w:t>
            </w:r>
          </w:p>
        </w:tc>
        <w:tc>
          <w:tcPr>
            <w:tcW w:type="dxa" w:w="851"/>
          </w:tcPr>
          <w:p>
            <w:pPr>
              <w:spacing w:line="240" w:lineRule="auto"/>
              <w:jc w:val="right"/>
            </w:pPr>
            <w:r/>
            <w:r>
              <w:rPr>
                <w:rFonts w:ascii="Garamond" w:hAnsi="Garamond"/>
                <w:sz w:val="16"/>
              </w:rPr>
              <w:t>109</w:t>
            </w:r>
          </w:p>
        </w:tc>
        <w:tc>
          <w:tcPr>
            <w:tcW w:type="dxa" w:w="851"/>
          </w:tcPr>
          <w:p>
            <w:pPr>
              <w:spacing w:line="240" w:lineRule="auto"/>
              <w:jc w:val="right"/>
            </w:pPr>
            <w:r/>
            <w:r>
              <w:rPr>
                <w:rFonts w:ascii="Garamond" w:hAnsi="Garamond"/>
                <w:sz w:val="16"/>
              </w:rPr>
              <w:t>18.4%</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0.0%</w:t>
            </w:r>
          </w:p>
        </w:tc>
        <w:tc>
          <w:tcPr>
            <w:tcW w:type="dxa" w:w="851"/>
          </w:tcPr>
          <w:p>
            <w:pPr>
              <w:spacing w:line="240" w:lineRule="auto"/>
              <w:jc w:val="right"/>
            </w:pPr>
            <w:r/>
            <w:r>
              <w:rPr>
                <w:rFonts w:ascii="Garamond" w:hAnsi="Garamond"/>
                <w:sz w:val="16"/>
              </w:rPr>
              <w:t>$32,353</w:t>
            </w:r>
          </w:p>
        </w:tc>
        <w:tc>
          <w:tcPr>
            <w:tcW w:type="dxa" w:w="851"/>
          </w:tcPr>
          <w:p>
            <w:pPr>
              <w:spacing w:line="240" w:lineRule="auto"/>
              <w:jc w:val="right"/>
            </w:pPr>
            <w:r/>
            <w:r>
              <w:rPr>
                <w:rFonts w:ascii="Garamond" w:hAnsi="Garamond"/>
                <w:sz w:val="16"/>
              </w:rPr>
              <w:t>38.6%</w:t>
            </w:r>
          </w:p>
        </w:tc>
        <w:tc>
          <w:tcPr>
            <w:tcW w:type="dxa" w:w="851"/>
          </w:tcPr>
          <w:p>
            <w:pPr>
              <w:spacing w:line="240" w:lineRule="auto"/>
              <w:jc w:val="right"/>
            </w:pPr>
            <w:r/>
            <w:r>
              <w:rPr>
                <w:rFonts w:ascii="Garamond" w:hAnsi="Garamond"/>
                <w:sz w:val="16"/>
              </w:rPr>
              <w:t>70.5%</w:t>
            </w:r>
          </w:p>
        </w:tc>
        <w:tc>
          <w:tcPr>
            <w:tcW w:type="dxa" w:w="851"/>
          </w:tcPr>
          <w:p>
            <w:pPr>
              <w:spacing w:line="240" w:lineRule="auto"/>
              <w:jc w:val="right"/>
            </w:pPr>
            <w:r/>
            <w:r>
              <w:rPr>
                <w:rFonts w:ascii="Garamond" w:hAnsi="Garamond"/>
                <w:sz w:val="16"/>
              </w:rPr>
              <w:t>63.6%</w:t>
            </w:r>
          </w:p>
        </w:tc>
        <w:tc>
          <w:tcPr>
            <w:tcW w:type="dxa" w:w="851"/>
          </w:tcPr>
          <w:p>
            <w:pPr>
              <w:spacing w:line="240" w:lineRule="auto"/>
              <w:jc w:val="right"/>
            </w:pPr>
            <w:r/>
            <w:r>
              <w:rPr>
                <w:rFonts w:ascii="Garamond" w:hAnsi="Garamond"/>
                <w:sz w:val="16"/>
              </w:rPr>
              <w:t>1984</w:t>
            </w:r>
          </w:p>
        </w:tc>
      </w:tr>
      <w:tr>
        <w:tc>
          <w:tcPr>
            <w:tcW w:type="dxa" w:w="851"/>
          </w:tcPr>
          <w:p>
            <w:pPr>
              <w:spacing w:line="240" w:lineRule="auto"/>
            </w:pPr>
            <w:r/>
            <w:r>
              <w:rPr>
                <w:rFonts w:ascii="Garamond" w:hAnsi="Garamond"/>
                <w:sz w:val="16"/>
              </w:rPr>
              <w:t>126.00</w:t>
            </w:r>
          </w:p>
        </w:tc>
        <w:tc>
          <w:tcPr>
            <w:tcW w:type="dxa" w:w="851"/>
          </w:tcPr>
          <w:p>
            <w:pPr>
              <w:spacing w:line="240" w:lineRule="auto"/>
              <w:jc w:val="right"/>
            </w:pPr>
            <w:r/>
            <w:r>
              <w:rPr>
                <w:rFonts w:ascii="Garamond" w:hAnsi="Garamond"/>
                <w:sz w:val="16"/>
              </w:rPr>
              <w:t>638</w:t>
            </w:r>
          </w:p>
        </w:tc>
        <w:tc>
          <w:tcPr>
            <w:tcW w:type="dxa" w:w="851"/>
          </w:tcPr>
          <w:p>
            <w:pPr>
              <w:spacing w:line="240" w:lineRule="auto"/>
              <w:jc w:val="right"/>
            </w:pPr>
            <w:r/>
            <w:r>
              <w:rPr>
                <w:rFonts w:ascii="Garamond" w:hAnsi="Garamond"/>
                <w:sz w:val="16"/>
              </w:rPr>
              <w:t>116</w:t>
            </w:r>
          </w:p>
        </w:tc>
        <w:tc>
          <w:tcPr>
            <w:tcW w:type="dxa" w:w="851"/>
          </w:tcPr>
          <w:p>
            <w:pPr>
              <w:spacing w:line="240" w:lineRule="auto"/>
              <w:jc w:val="right"/>
            </w:pPr>
            <w:r/>
            <w:r>
              <w:rPr>
                <w:rFonts w:ascii="Garamond" w:hAnsi="Garamond"/>
                <w:sz w:val="16"/>
              </w:rPr>
              <w:t>18.2%</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0.0%</w:t>
            </w:r>
          </w:p>
        </w:tc>
        <w:tc>
          <w:tcPr>
            <w:tcW w:type="dxa" w:w="851"/>
          </w:tcPr>
          <w:p>
            <w:pPr>
              <w:spacing w:line="240" w:lineRule="auto"/>
              <w:jc w:val="right"/>
            </w:pPr>
            <w:r/>
            <w:r>
              <w:rPr>
                <w:rFonts w:ascii="Garamond" w:hAnsi="Garamond"/>
                <w:sz w:val="16"/>
              </w:rPr>
              <w:t>$91,364</w:t>
            </w:r>
          </w:p>
        </w:tc>
        <w:tc>
          <w:tcPr>
            <w:tcW w:type="dxa" w:w="851"/>
          </w:tcPr>
          <w:p>
            <w:pPr>
              <w:spacing w:line="240" w:lineRule="auto"/>
              <w:jc w:val="right"/>
            </w:pPr>
            <w:r/>
            <w:r>
              <w:rPr>
                <w:rFonts w:ascii="Garamond" w:hAnsi="Garamond"/>
                <w:sz w:val="16"/>
              </w:rPr>
              <w:t>13.5%</w:t>
            </w:r>
          </w:p>
        </w:tc>
        <w:tc>
          <w:tcPr>
            <w:tcW w:type="dxa" w:w="851"/>
          </w:tcPr>
          <w:p>
            <w:pPr>
              <w:spacing w:line="240" w:lineRule="auto"/>
              <w:jc w:val="right"/>
            </w:pPr>
            <w:r/>
            <w:r>
              <w:rPr>
                <w:rFonts w:ascii="Garamond" w:hAnsi="Garamond"/>
                <w:sz w:val="16"/>
              </w:rPr>
              <w:t>45.4%</w:t>
            </w:r>
          </w:p>
        </w:tc>
        <w:tc>
          <w:tcPr>
            <w:tcW w:type="dxa" w:w="851"/>
          </w:tcPr>
          <w:p>
            <w:pPr>
              <w:spacing w:line="240" w:lineRule="auto"/>
              <w:jc w:val="right"/>
            </w:pPr>
            <w:r/>
            <w:r>
              <w:rPr>
                <w:rFonts w:ascii="Garamond" w:hAnsi="Garamond"/>
                <w:sz w:val="16"/>
              </w:rPr>
              <w:t>43.0%</w:t>
            </w:r>
          </w:p>
        </w:tc>
        <w:tc>
          <w:tcPr>
            <w:tcW w:type="dxa" w:w="851"/>
          </w:tcPr>
          <w:p>
            <w:pPr>
              <w:spacing w:line="240" w:lineRule="auto"/>
              <w:jc w:val="right"/>
            </w:pPr>
            <w:r/>
            <w:r>
              <w:rPr>
                <w:rFonts w:ascii="Garamond" w:hAnsi="Garamond"/>
                <w:sz w:val="16"/>
              </w:rPr>
              <w:t>1960</w:t>
            </w:r>
          </w:p>
        </w:tc>
      </w:tr>
      <w:tr>
        <w:tc>
          <w:tcPr>
            <w:tcW w:type="dxa" w:w="851"/>
          </w:tcPr>
          <w:p>
            <w:pPr>
              <w:spacing w:line="240" w:lineRule="auto"/>
            </w:pPr>
            <w:r/>
            <w:r>
              <w:rPr>
                <w:rFonts w:ascii="Garamond" w:hAnsi="Garamond"/>
                <w:sz w:val="16"/>
              </w:rPr>
              <w:t>156.30</w:t>
            </w:r>
          </w:p>
        </w:tc>
        <w:tc>
          <w:tcPr>
            <w:tcW w:type="dxa" w:w="851"/>
          </w:tcPr>
          <w:p>
            <w:pPr>
              <w:spacing w:line="240" w:lineRule="auto"/>
              <w:jc w:val="right"/>
            </w:pPr>
            <w:r/>
            <w:r>
              <w:rPr>
                <w:rFonts w:ascii="Garamond" w:hAnsi="Garamond"/>
                <w:sz w:val="16"/>
              </w:rPr>
              <w:t>2,204</w:t>
            </w:r>
          </w:p>
        </w:tc>
        <w:tc>
          <w:tcPr>
            <w:tcW w:type="dxa" w:w="851"/>
          </w:tcPr>
          <w:p>
            <w:pPr>
              <w:spacing w:line="240" w:lineRule="auto"/>
              <w:jc w:val="right"/>
            </w:pPr>
            <w:r/>
            <w:r>
              <w:rPr>
                <w:rFonts w:ascii="Garamond" w:hAnsi="Garamond"/>
                <w:sz w:val="16"/>
              </w:rPr>
              <w:t>391</w:t>
            </w:r>
          </w:p>
        </w:tc>
        <w:tc>
          <w:tcPr>
            <w:tcW w:type="dxa" w:w="851"/>
          </w:tcPr>
          <w:p>
            <w:pPr>
              <w:spacing w:line="240" w:lineRule="auto"/>
              <w:jc w:val="right"/>
            </w:pPr>
            <w:r/>
            <w:r>
              <w:rPr>
                <w:rFonts w:ascii="Garamond" w:hAnsi="Garamond"/>
                <w:sz w:val="16"/>
              </w:rPr>
              <w:t>17.7%</w:t>
            </w:r>
          </w:p>
        </w:tc>
        <w:tc>
          <w:tcPr>
            <w:tcW w:type="dxa" w:w="851"/>
          </w:tcPr>
          <w:p>
            <w:pPr>
              <w:spacing w:line="240" w:lineRule="auto"/>
              <w:jc w:val="right"/>
            </w:pPr>
            <w:r/>
            <w:r>
              <w:rPr>
                <w:rFonts w:ascii="Garamond" w:hAnsi="Garamond"/>
                <w:sz w:val="16"/>
              </w:rPr>
              <w:t>297</w:t>
            </w:r>
          </w:p>
        </w:tc>
        <w:tc>
          <w:tcPr>
            <w:tcW w:type="dxa" w:w="851"/>
          </w:tcPr>
          <w:p>
            <w:pPr>
              <w:spacing w:line="240" w:lineRule="auto"/>
              <w:jc w:val="right"/>
            </w:pPr>
            <w:r/>
            <w:r>
              <w:rPr>
                <w:rFonts w:ascii="Garamond" w:hAnsi="Garamond"/>
                <w:sz w:val="16"/>
              </w:rPr>
              <w:t>13.5%</w:t>
            </w:r>
          </w:p>
        </w:tc>
        <w:tc>
          <w:tcPr>
            <w:tcW w:type="dxa" w:w="851"/>
          </w:tcPr>
          <w:p>
            <w:pPr>
              <w:spacing w:line="240" w:lineRule="auto"/>
              <w:jc w:val="right"/>
            </w:pPr>
            <w:r/>
            <w:r>
              <w:rPr>
                <w:rFonts w:ascii="Garamond" w:hAnsi="Garamond"/>
                <w:sz w:val="16"/>
              </w:rPr>
              <w:t>$84,661</w:t>
            </w:r>
          </w:p>
        </w:tc>
        <w:tc>
          <w:tcPr>
            <w:tcW w:type="dxa" w:w="851"/>
          </w:tcPr>
          <w:p>
            <w:pPr>
              <w:spacing w:line="240" w:lineRule="auto"/>
              <w:jc w:val="right"/>
            </w:pPr>
            <w:r/>
            <w:r>
              <w:rPr>
                <w:rFonts w:ascii="Garamond" w:hAnsi="Garamond"/>
                <w:sz w:val="16"/>
              </w:rPr>
              <w:t>5.6%</w:t>
            </w:r>
          </w:p>
        </w:tc>
        <w:tc>
          <w:tcPr>
            <w:tcW w:type="dxa" w:w="851"/>
          </w:tcPr>
          <w:p>
            <w:pPr>
              <w:spacing w:line="240" w:lineRule="auto"/>
              <w:jc w:val="right"/>
            </w:pPr>
            <w:r/>
            <w:r>
              <w:rPr>
                <w:rFonts w:ascii="Garamond" w:hAnsi="Garamond"/>
                <w:sz w:val="16"/>
              </w:rPr>
              <w:t>33.3%</w:t>
            </w:r>
          </w:p>
        </w:tc>
        <w:tc>
          <w:tcPr>
            <w:tcW w:type="dxa" w:w="851"/>
          </w:tcPr>
          <w:p>
            <w:pPr>
              <w:spacing w:line="240" w:lineRule="auto"/>
              <w:jc w:val="right"/>
            </w:pPr>
            <w:r/>
            <w:r>
              <w:rPr>
                <w:rFonts w:ascii="Garamond" w:hAnsi="Garamond"/>
                <w:sz w:val="16"/>
              </w:rPr>
              <w:t>55.6%</w:t>
            </w:r>
          </w:p>
        </w:tc>
        <w:tc>
          <w:tcPr>
            <w:tcW w:type="dxa" w:w="851"/>
          </w:tcPr>
          <w:p>
            <w:pPr>
              <w:spacing w:line="240" w:lineRule="auto"/>
              <w:jc w:val="right"/>
            </w:pPr>
            <w:r/>
            <w:r>
              <w:rPr>
                <w:rFonts w:ascii="Garamond" w:hAnsi="Garamond"/>
                <w:sz w:val="16"/>
              </w:rPr>
              <w:t>2011</w:t>
            </w:r>
          </w:p>
        </w:tc>
      </w:tr>
      <w:tr>
        <w:tc>
          <w:tcPr>
            <w:tcW w:type="dxa" w:w="851"/>
          </w:tcPr>
          <w:p>
            <w:pPr>
              <w:spacing w:line="240" w:lineRule="auto"/>
            </w:pPr>
            <w:r/>
            <w:r>
              <w:rPr>
                <w:rFonts w:ascii="Garamond" w:hAnsi="Garamond"/>
                <w:sz w:val="16"/>
              </w:rPr>
              <w:t>113.00</w:t>
            </w:r>
          </w:p>
        </w:tc>
        <w:tc>
          <w:tcPr>
            <w:tcW w:type="dxa" w:w="851"/>
          </w:tcPr>
          <w:p>
            <w:pPr>
              <w:spacing w:line="240" w:lineRule="auto"/>
              <w:jc w:val="right"/>
            </w:pPr>
            <w:r/>
            <w:r>
              <w:rPr>
                <w:rFonts w:ascii="Garamond" w:hAnsi="Garamond"/>
                <w:sz w:val="16"/>
              </w:rPr>
              <w:t>2,138</w:t>
            </w:r>
          </w:p>
        </w:tc>
        <w:tc>
          <w:tcPr>
            <w:tcW w:type="dxa" w:w="851"/>
          </w:tcPr>
          <w:p>
            <w:pPr>
              <w:spacing w:line="240" w:lineRule="auto"/>
              <w:jc w:val="right"/>
            </w:pPr>
            <w:r/>
            <w:r>
              <w:rPr>
                <w:rFonts w:ascii="Garamond" w:hAnsi="Garamond"/>
                <w:sz w:val="16"/>
              </w:rPr>
              <w:t>365</w:t>
            </w:r>
          </w:p>
        </w:tc>
        <w:tc>
          <w:tcPr>
            <w:tcW w:type="dxa" w:w="851"/>
          </w:tcPr>
          <w:p>
            <w:pPr>
              <w:spacing w:line="240" w:lineRule="auto"/>
              <w:jc w:val="right"/>
            </w:pPr>
            <w:r/>
            <w:r>
              <w:rPr>
                <w:rFonts w:ascii="Garamond" w:hAnsi="Garamond"/>
                <w:sz w:val="16"/>
              </w:rPr>
              <w:t>17.1%</w:t>
            </w:r>
          </w:p>
        </w:tc>
        <w:tc>
          <w:tcPr>
            <w:tcW w:type="dxa" w:w="851"/>
          </w:tcPr>
          <w:p>
            <w:pPr>
              <w:spacing w:line="240" w:lineRule="auto"/>
              <w:jc w:val="right"/>
            </w:pPr>
            <w:r/>
            <w:r>
              <w:rPr>
                <w:rFonts w:ascii="Garamond" w:hAnsi="Garamond"/>
                <w:sz w:val="16"/>
              </w:rPr>
              <w:t>9</w:t>
            </w:r>
          </w:p>
        </w:tc>
        <w:tc>
          <w:tcPr>
            <w:tcW w:type="dxa" w:w="851"/>
          </w:tcPr>
          <w:p>
            <w:pPr>
              <w:spacing w:line="240" w:lineRule="auto"/>
              <w:jc w:val="right"/>
            </w:pPr>
            <w:r/>
            <w:r>
              <w:rPr>
                <w:rFonts w:ascii="Garamond" w:hAnsi="Garamond"/>
                <w:sz w:val="16"/>
              </w:rPr>
              <w:t>0.4%</w:t>
            </w:r>
          </w:p>
        </w:tc>
        <w:tc>
          <w:tcPr>
            <w:tcW w:type="dxa" w:w="851"/>
          </w:tcPr>
          <w:p>
            <w:pPr>
              <w:spacing w:line="240" w:lineRule="auto"/>
              <w:jc w:val="right"/>
            </w:pPr>
            <w:r/>
            <w:r>
              <w:rPr>
                <w:rFonts w:ascii="Garamond" w:hAnsi="Garamond"/>
                <w:sz w:val="16"/>
              </w:rPr>
              <w:t>$73,740</w:t>
            </w:r>
          </w:p>
        </w:tc>
        <w:tc>
          <w:tcPr>
            <w:tcW w:type="dxa" w:w="851"/>
          </w:tcPr>
          <w:p>
            <w:pPr>
              <w:spacing w:line="240" w:lineRule="auto"/>
              <w:jc w:val="right"/>
            </w:pPr>
            <w:r/>
            <w:r>
              <w:rPr>
                <w:rFonts w:ascii="Garamond" w:hAnsi="Garamond"/>
                <w:sz w:val="16"/>
              </w:rPr>
              <w:t>12.5%</w:t>
            </w:r>
          </w:p>
        </w:tc>
        <w:tc>
          <w:tcPr>
            <w:tcW w:type="dxa" w:w="851"/>
          </w:tcPr>
          <w:p>
            <w:pPr>
              <w:spacing w:line="240" w:lineRule="auto"/>
              <w:jc w:val="right"/>
            </w:pPr>
            <w:r/>
            <w:r>
              <w:rPr>
                <w:rFonts w:ascii="Garamond" w:hAnsi="Garamond"/>
                <w:sz w:val="16"/>
              </w:rPr>
              <w:t>47.6%</w:t>
            </w:r>
          </w:p>
        </w:tc>
        <w:tc>
          <w:tcPr>
            <w:tcW w:type="dxa" w:w="851"/>
          </w:tcPr>
          <w:p>
            <w:pPr>
              <w:spacing w:line="240" w:lineRule="auto"/>
              <w:jc w:val="right"/>
            </w:pPr>
            <w:r/>
            <w:r>
              <w:rPr>
                <w:rFonts w:ascii="Garamond" w:hAnsi="Garamond"/>
                <w:sz w:val="16"/>
              </w:rPr>
              <w:t>32.7%</w:t>
            </w:r>
          </w:p>
        </w:tc>
        <w:tc>
          <w:tcPr>
            <w:tcW w:type="dxa" w:w="851"/>
          </w:tcPr>
          <w:p>
            <w:pPr>
              <w:spacing w:line="240" w:lineRule="auto"/>
              <w:jc w:val="right"/>
            </w:pPr>
            <w:r/>
            <w:r>
              <w:rPr>
                <w:rFonts w:ascii="Garamond" w:hAnsi="Garamond"/>
                <w:sz w:val="16"/>
              </w:rPr>
              <w:t>1987</w:t>
            </w:r>
          </w:p>
        </w:tc>
      </w:tr>
      <w:tr>
        <w:tc>
          <w:tcPr>
            <w:tcW w:type="dxa" w:w="851"/>
          </w:tcPr>
          <w:p>
            <w:pPr>
              <w:spacing w:line="240" w:lineRule="auto"/>
            </w:pPr>
            <w:r/>
            <w:r>
              <w:rPr>
                <w:rFonts w:ascii="Garamond" w:hAnsi="Garamond"/>
                <w:sz w:val="16"/>
              </w:rPr>
              <w:t>191.17</w:t>
            </w:r>
          </w:p>
        </w:tc>
        <w:tc>
          <w:tcPr>
            <w:tcW w:type="dxa" w:w="851"/>
          </w:tcPr>
          <w:p>
            <w:pPr>
              <w:spacing w:line="240" w:lineRule="auto"/>
              <w:jc w:val="right"/>
            </w:pPr>
            <w:r/>
            <w:r>
              <w:rPr>
                <w:rFonts w:ascii="Garamond" w:hAnsi="Garamond"/>
                <w:sz w:val="16"/>
              </w:rPr>
              <w:t>1,928</w:t>
            </w:r>
          </w:p>
        </w:tc>
        <w:tc>
          <w:tcPr>
            <w:tcW w:type="dxa" w:w="851"/>
          </w:tcPr>
          <w:p>
            <w:pPr>
              <w:spacing w:line="240" w:lineRule="auto"/>
              <w:jc w:val="right"/>
            </w:pPr>
            <w:r/>
            <w:r>
              <w:rPr>
                <w:rFonts w:ascii="Garamond" w:hAnsi="Garamond"/>
                <w:sz w:val="16"/>
              </w:rPr>
              <w:t>306</w:t>
            </w:r>
          </w:p>
        </w:tc>
        <w:tc>
          <w:tcPr>
            <w:tcW w:type="dxa" w:w="851"/>
          </w:tcPr>
          <w:p>
            <w:pPr>
              <w:spacing w:line="240" w:lineRule="auto"/>
              <w:jc w:val="right"/>
            </w:pPr>
            <w:r/>
            <w:r>
              <w:rPr>
                <w:rFonts w:ascii="Garamond" w:hAnsi="Garamond"/>
                <w:sz w:val="16"/>
              </w:rPr>
              <w:t>15.9%</w:t>
            </w:r>
          </w:p>
        </w:tc>
        <w:tc>
          <w:tcPr>
            <w:tcW w:type="dxa" w:w="851"/>
          </w:tcPr>
          <w:p>
            <w:pPr>
              <w:spacing w:line="240" w:lineRule="auto"/>
              <w:jc w:val="right"/>
            </w:pPr>
            <w:r/>
            <w:r>
              <w:rPr>
                <w:rFonts w:ascii="Garamond" w:hAnsi="Garamond"/>
                <w:sz w:val="16"/>
              </w:rPr>
              <w:t>235</w:t>
            </w:r>
          </w:p>
        </w:tc>
        <w:tc>
          <w:tcPr>
            <w:tcW w:type="dxa" w:w="851"/>
          </w:tcPr>
          <w:p>
            <w:pPr>
              <w:spacing w:line="240" w:lineRule="auto"/>
              <w:jc w:val="right"/>
            </w:pPr>
            <w:r/>
            <w:r>
              <w:rPr>
                <w:rFonts w:ascii="Garamond" w:hAnsi="Garamond"/>
                <w:sz w:val="16"/>
              </w:rPr>
              <w:t>12.2%</w:t>
            </w:r>
          </w:p>
        </w:tc>
        <w:tc>
          <w:tcPr>
            <w:tcW w:type="dxa" w:w="851"/>
          </w:tcPr>
          <w:p>
            <w:pPr>
              <w:spacing w:line="240" w:lineRule="auto"/>
              <w:jc w:val="right"/>
            </w:pPr>
            <w:r/>
            <w:r>
              <w:rPr>
                <w:rFonts w:ascii="Garamond" w:hAnsi="Garamond"/>
                <w:sz w:val="16"/>
              </w:rPr>
              <w:t>$117,546</w:t>
            </w:r>
          </w:p>
        </w:tc>
        <w:tc>
          <w:tcPr>
            <w:tcW w:type="dxa" w:w="851"/>
          </w:tcPr>
          <w:p>
            <w:pPr>
              <w:spacing w:line="240" w:lineRule="auto"/>
              <w:jc w:val="right"/>
            </w:pPr>
            <w:r/>
            <w:r>
              <w:rPr>
                <w:rFonts w:ascii="Garamond" w:hAnsi="Garamond"/>
                <w:sz w:val="16"/>
              </w:rPr>
              <w:t>5.8%</w:t>
            </w:r>
          </w:p>
        </w:tc>
        <w:tc>
          <w:tcPr>
            <w:tcW w:type="dxa" w:w="851"/>
          </w:tcPr>
          <w:p>
            <w:pPr>
              <w:spacing w:line="240" w:lineRule="auto"/>
              <w:jc w:val="right"/>
            </w:pPr>
            <w:r/>
            <w:r>
              <w:rPr>
                <w:rFonts w:ascii="Garamond" w:hAnsi="Garamond"/>
                <w:sz w:val="16"/>
              </w:rPr>
              <w:t>28.5%</w:t>
            </w:r>
          </w:p>
        </w:tc>
        <w:tc>
          <w:tcPr>
            <w:tcW w:type="dxa" w:w="851"/>
          </w:tcPr>
          <w:p>
            <w:pPr>
              <w:spacing w:line="240" w:lineRule="auto"/>
              <w:jc w:val="right"/>
            </w:pPr>
            <w:r/>
            <w:r>
              <w:rPr>
                <w:rFonts w:ascii="Garamond" w:hAnsi="Garamond"/>
                <w:sz w:val="16"/>
              </w:rPr>
              <w:t>31.9%</w:t>
            </w:r>
          </w:p>
        </w:tc>
        <w:tc>
          <w:tcPr>
            <w:tcW w:type="dxa" w:w="851"/>
          </w:tcPr>
          <w:p>
            <w:pPr>
              <w:spacing w:line="240" w:lineRule="auto"/>
              <w:jc w:val="right"/>
            </w:pPr>
            <w:r/>
            <w:r>
              <w:rPr>
                <w:rFonts w:ascii="Garamond" w:hAnsi="Garamond"/>
                <w:sz w:val="16"/>
              </w:rPr>
              <w:t>2007</w:t>
            </w:r>
          </w:p>
        </w:tc>
      </w:tr>
      <w:tr>
        <w:tc>
          <w:tcPr>
            <w:tcW w:type="dxa" w:w="851"/>
          </w:tcPr>
          <w:p>
            <w:pPr>
              <w:spacing w:line="240" w:lineRule="auto"/>
            </w:pPr>
            <w:r/>
            <w:r>
              <w:rPr>
                <w:rFonts w:ascii="Garamond" w:hAnsi="Garamond"/>
                <w:sz w:val="16"/>
              </w:rPr>
              <w:t>156.35</w:t>
            </w:r>
          </w:p>
        </w:tc>
        <w:tc>
          <w:tcPr>
            <w:tcW w:type="dxa" w:w="851"/>
          </w:tcPr>
          <w:p>
            <w:pPr>
              <w:spacing w:line="240" w:lineRule="auto"/>
              <w:jc w:val="right"/>
            </w:pPr>
            <w:r/>
            <w:r>
              <w:rPr>
                <w:rFonts w:ascii="Garamond" w:hAnsi="Garamond"/>
                <w:sz w:val="16"/>
              </w:rPr>
              <w:t>921</w:t>
            </w:r>
          </w:p>
        </w:tc>
        <w:tc>
          <w:tcPr>
            <w:tcW w:type="dxa" w:w="851"/>
          </w:tcPr>
          <w:p>
            <w:pPr>
              <w:spacing w:line="240" w:lineRule="auto"/>
              <w:jc w:val="right"/>
            </w:pPr>
            <w:r/>
            <w:r>
              <w:rPr>
                <w:rFonts w:ascii="Garamond" w:hAnsi="Garamond"/>
                <w:sz w:val="16"/>
              </w:rPr>
              <w:t>138</w:t>
            </w:r>
          </w:p>
        </w:tc>
        <w:tc>
          <w:tcPr>
            <w:tcW w:type="dxa" w:w="851"/>
          </w:tcPr>
          <w:p>
            <w:pPr>
              <w:spacing w:line="240" w:lineRule="auto"/>
              <w:jc w:val="right"/>
            </w:pPr>
            <w:r/>
            <w:r>
              <w:rPr>
                <w:rFonts w:ascii="Garamond" w:hAnsi="Garamond"/>
                <w:sz w:val="16"/>
              </w:rPr>
              <w:t>15.0%</w:t>
            </w:r>
          </w:p>
        </w:tc>
        <w:tc>
          <w:tcPr>
            <w:tcW w:type="dxa" w:w="851"/>
          </w:tcPr>
          <w:p>
            <w:pPr>
              <w:spacing w:line="240" w:lineRule="auto"/>
              <w:jc w:val="right"/>
            </w:pPr>
            <w:r/>
            <w:r>
              <w:rPr>
                <w:rFonts w:ascii="Garamond" w:hAnsi="Garamond"/>
                <w:sz w:val="16"/>
              </w:rPr>
              <w:t>116</w:t>
            </w:r>
          </w:p>
        </w:tc>
        <w:tc>
          <w:tcPr>
            <w:tcW w:type="dxa" w:w="851"/>
          </w:tcPr>
          <w:p>
            <w:pPr>
              <w:spacing w:line="240" w:lineRule="auto"/>
              <w:jc w:val="right"/>
            </w:pPr>
            <w:r/>
            <w:r>
              <w:rPr>
                <w:rFonts w:ascii="Garamond" w:hAnsi="Garamond"/>
                <w:sz w:val="16"/>
              </w:rPr>
              <w:t>12.6%</w:t>
            </w:r>
          </w:p>
        </w:tc>
        <w:tc>
          <w:tcPr>
            <w:tcW w:type="dxa" w:w="851"/>
          </w:tcPr>
          <w:p>
            <w:pPr>
              <w:spacing w:line="240" w:lineRule="auto"/>
              <w:jc w:val="right"/>
            </w:pPr>
            <w:r/>
            <w:r>
              <w:rPr>
                <w:rFonts w:ascii="Garamond" w:hAnsi="Garamond"/>
                <w:sz w:val="16"/>
              </w:rPr>
              <w:t>$116,250</w:t>
            </w:r>
          </w:p>
        </w:tc>
        <w:tc>
          <w:tcPr>
            <w:tcW w:type="dxa" w:w="851"/>
          </w:tcPr>
          <w:p>
            <w:pPr>
              <w:spacing w:line="240" w:lineRule="auto"/>
              <w:jc w:val="right"/>
            </w:pPr>
            <w:r/>
            <w:r>
              <w:rPr>
                <w:rFonts w:ascii="Garamond" w:hAnsi="Garamond"/>
                <w:sz w:val="16"/>
              </w:rPr>
              <w:t>2.5%</w:t>
            </w:r>
          </w:p>
        </w:tc>
        <w:tc>
          <w:tcPr>
            <w:tcW w:type="dxa" w:w="851"/>
          </w:tcPr>
          <w:p>
            <w:pPr>
              <w:spacing w:line="240" w:lineRule="auto"/>
              <w:jc w:val="right"/>
            </w:pPr>
            <w:r/>
            <w:r>
              <w:rPr>
                <w:rFonts w:ascii="Garamond" w:hAnsi="Garamond"/>
                <w:sz w:val="16"/>
              </w:rPr>
              <w:t>10.0%</w:t>
            </w:r>
          </w:p>
        </w:tc>
        <w:tc>
          <w:tcPr>
            <w:tcW w:type="dxa" w:w="851"/>
          </w:tcPr>
          <w:p>
            <w:pPr>
              <w:spacing w:line="240" w:lineRule="auto"/>
              <w:jc w:val="right"/>
            </w:pPr>
            <w:r/>
            <w:r>
              <w:rPr>
                <w:rFonts w:ascii="Garamond" w:hAnsi="Garamond"/>
                <w:sz w:val="16"/>
              </w:rPr>
              <w:t>20.8%</w:t>
            </w:r>
          </w:p>
        </w:tc>
        <w:tc>
          <w:tcPr>
            <w:tcW w:type="dxa" w:w="851"/>
          </w:tcPr>
          <w:p>
            <w:pPr>
              <w:spacing w:line="240" w:lineRule="auto"/>
              <w:jc w:val="right"/>
            </w:pPr>
            <w:r/>
            <w:r>
              <w:rPr>
                <w:rFonts w:ascii="Garamond" w:hAnsi="Garamond"/>
                <w:sz w:val="16"/>
              </w:rPr>
              <w:t>2004</w:t>
            </w:r>
          </w:p>
        </w:tc>
      </w:tr>
      <w:tr>
        <w:tc>
          <w:tcPr>
            <w:tcW w:type="dxa" w:w="851"/>
          </w:tcPr>
          <w:p>
            <w:pPr>
              <w:spacing w:line="240" w:lineRule="auto"/>
            </w:pPr>
            <w:r/>
            <w:r>
              <w:rPr>
                <w:rFonts w:ascii="Garamond" w:hAnsi="Garamond"/>
                <w:sz w:val="16"/>
              </w:rPr>
              <w:t>156.29</w:t>
            </w:r>
          </w:p>
        </w:tc>
        <w:tc>
          <w:tcPr>
            <w:tcW w:type="dxa" w:w="851"/>
          </w:tcPr>
          <w:p>
            <w:pPr>
              <w:spacing w:line="240" w:lineRule="auto"/>
              <w:jc w:val="right"/>
            </w:pPr>
            <w:r/>
            <w:r>
              <w:rPr>
                <w:rFonts w:ascii="Garamond" w:hAnsi="Garamond"/>
                <w:sz w:val="16"/>
              </w:rPr>
              <w:t>656</w:t>
            </w:r>
          </w:p>
        </w:tc>
        <w:tc>
          <w:tcPr>
            <w:tcW w:type="dxa" w:w="851"/>
          </w:tcPr>
          <w:p>
            <w:pPr>
              <w:spacing w:line="240" w:lineRule="auto"/>
              <w:jc w:val="right"/>
            </w:pPr>
            <w:r/>
            <w:r>
              <w:rPr>
                <w:rFonts w:ascii="Garamond" w:hAnsi="Garamond"/>
                <w:sz w:val="16"/>
              </w:rPr>
              <w:t>98</w:t>
            </w:r>
          </w:p>
        </w:tc>
        <w:tc>
          <w:tcPr>
            <w:tcW w:type="dxa" w:w="851"/>
          </w:tcPr>
          <w:p>
            <w:pPr>
              <w:spacing w:line="240" w:lineRule="auto"/>
              <w:jc w:val="right"/>
            </w:pPr>
            <w:r/>
            <w:r>
              <w:rPr>
                <w:rFonts w:ascii="Garamond" w:hAnsi="Garamond"/>
                <w:sz w:val="16"/>
              </w:rPr>
              <w:t>14.9%</w:t>
            </w:r>
          </w:p>
        </w:tc>
        <w:tc>
          <w:tcPr>
            <w:tcW w:type="dxa" w:w="851"/>
          </w:tcPr>
          <w:p>
            <w:pPr>
              <w:spacing w:line="240" w:lineRule="auto"/>
              <w:jc w:val="right"/>
            </w:pPr>
            <w:r/>
            <w:r>
              <w:rPr>
                <w:rFonts w:ascii="Garamond" w:hAnsi="Garamond"/>
                <w:sz w:val="16"/>
              </w:rPr>
              <w:t>77</w:t>
            </w:r>
          </w:p>
        </w:tc>
        <w:tc>
          <w:tcPr>
            <w:tcW w:type="dxa" w:w="851"/>
          </w:tcPr>
          <w:p>
            <w:pPr>
              <w:spacing w:line="240" w:lineRule="auto"/>
              <w:jc w:val="right"/>
            </w:pPr>
            <w:r/>
            <w:r>
              <w:rPr>
                <w:rFonts w:ascii="Garamond" w:hAnsi="Garamond"/>
                <w:sz w:val="16"/>
              </w:rPr>
              <w:t>11.7%</w:t>
            </w:r>
          </w:p>
        </w:tc>
        <w:tc>
          <w:tcPr>
            <w:tcW w:type="dxa" w:w="851"/>
          </w:tcPr>
          <w:p>
            <w:pPr>
              <w:spacing w:line="240" w:lineRule="auto"/>
              <w:jc w:val="right"/>
            </w:pPr>
            <w:r/>
            <w:r>
              <w:rPr>
                <w:rFonts w:ascii="Garamond" w:hAnsi="Garamond"/>
                <w:sz w:val="16"/>
              </w:rPr>
              <w:t>$57,052</w:t>
            </w:r>
          </w:p>
        </w:tc>
        <w:tc>
          <w:tcPr>
            <w:tcW w:type="dxa" w:w="851"/>
          </w:tcPr>
          <w:p>
            <w:pPr>
              <w:spacing w:line="240" w:lineRule="auto"/>
              <w:jc w:val="right"/>
            </w:pPr>
            <w:r/>
            <w:r>
              <w:rPr>
                <w:rFonts w:ascii="Garamond" w:hAnsi="Garamond"/>
                <w:sz w:val="16"/>
              </w:rPr>
              <w:t>13.6%</w:t>
            </w:r>
          </w:p>
        </w:tc>
        <w:tc>
          <w:tcPr>
            <w:tcW w:type="dxa" w:w="851"/>
          </w:tcPr>
          <w:p>
            <w:pPr>
              <w:spacing w:line="240" w:lineRule="auto"/>
              <w:jc w:val="right"/>
            </w:pPr>
            <w:r/>
            <w:r>
              <w:rPr>
                <w:rFonts w:ascii="Garamond" w:hAnsi="Garamond"/>
                <w:sz w:val="16"/>
              </w:rPr>
              <w:t>78.1%</w:t>
            </w:r>
          </w:p>
        </w:tc>
        <w:tc>
          <w:tcPr>
            <w:tcW w:type="dxa" w:w="851"/>
          </w:tcPr>
          <w:p>
            <w:pPr>
              <w:spacing w:line="240" w:lineRule="auto"/>
              <w:jc w:val="right"/>
            </w:pPr>
            <w:r/>
            <w:r>
              <w:rPr>
                <w:rFonts w:ascii="Garamond" w:hAnsi="Garamond"/>
                <w:sz w:val="16"/>
              </w:rPr>
              <w:t>35.6%</w:t>
            </w:r>
          </w:p>
        </w:tc>
        <w:tc>
          <w:tcPr>
            <w:tcW w:type="dxa" w:w="851"/>
          </w:tcPr>
          <w:p>
            <w:pPr>
              <w:spacing w:line="240" w:lineRule="auto"/>
              <w:jc w:val="right"/>
            </w:pPr>
            <w:r/>
            <w:r>
              <w:rPr>
                <w:rFonts w:ascii="Garamond" w:hAnsi="Garamond"/>
                <w:sz w:val="16"/>
              </w:rPr>
              <w:t>2000</w:t>
            </w:r>
          </w:p>
        </w:tc>
      </w:tr>
    </w:tbl>
    <w:p>
      <w:pPr>
        <w:spacing w:after="0"/>
      </w:pPr>
    </w:p>
    <w:p>
      <w:pPr>
        <w:spacing w:line="240" w:lineRule="auto" w:before="0" w:after="120"/>
      </w:pPr>
      <w:r>
        <w:rPr>
          <w:rFonts w:ascii="Garamond" w:hAnsi="Garamond"/>
          <w:i/>
          <w:sz w:val="19"/>
        </w:rPr>
        <w:t>Notes: Source: as Table A5. Tract numbers are 2020 census tracts within Davidson County (state 47, county 037).</w:t>
      </w:r>
    </w:p>
    <w:p>
      <w:pPr>
        <w:pStyle w:val="Heading2"/>
      </w:pPr>
      <w:r>
        <w:t>Table A8. What the Operators Paid and Where Their Homes Sit Relative to Their Tracts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bottom w:val="single" w:sz="4" w:color="000000"/>
            </w:tcBorders>
          </w:tcPr>
          <w:p>
            <w:pPr>
              <w:spacing w:line="240" w:lineRule="auto"/>
            </w:pPr>
            <w:r>
              <w:rPr>
                <w:b/>
              </w:rPr>
            </w:r>
            <w:r>
              <w:rPr>
                <w:rFonts w:ascii="Garamond" w:hAnsi="Garamond"/>
                <w:b/>
                <w:sz w:val="16"/>
              </w:rPr>
              <w:t>Operator</w:t>
            </w:r>
          </w:p>
        </w:tc>
        <w:tc>
          <w:tcPr>
            <w:tcW w:type="dxa" w:w="1337"/>
            <w:tcBorders>
              <w:bottom w:val="single" w:sz="4" w:color="000000"/>
            </w:tcBorders>
          </w:tcPr>
          <w:p>
            <w:pPr>
              <w:spacing w:line="240" w:lineRule="auto"/>
            </w:pPr>
            <w:r>
              <w:rPr>
                <w:b/>
              </w:rPr>
            </w:r>
            <w:r>
              <w:rPr>
                <w:rFonts w:ascii="Garamond" w:hAnsi="Garamond"/>
                <w:b/>
                <w:sz w:val="16"/>
              </w:rPr>
              <w:t>Arm's-length deeds, 2014 to 2025</w:t>
            </w:r>
          </w:p>
        </w:tc>
        <w:tc>
          <w:tcPr>
            <w:tcW w:type="dxa" w:w="1337"/>
            <w:tcBorders>
              <w:bottom w:val="single" w:sz="4" w:color="000000"/>
            </w:tcBorders>
          </w:tcPr>
          <w:p>
            <w:pPr>
              <w:spacing w:line="240" w:lineRule="auto"/>
            </w:pPr>
            <w:r>
              <w:rPr>
                <w:b/>
              </w:rPr>
            </w:r>
            <w:r>
              <w:rPr>
                <w:rFonts w:ascii="Garamond" w:hAnsi="Garamond"/>
                <w:b/>
                <w:sz w:val="16"/>
              </w:rPr>
              <w:t>Median allocated price</w:t>
            </w:r>
          </w:p>
        </w:tc>
        <w:tc>
          <w:tcPr>
            <w:tcW w:type="dxa" w:w="1337"/>
            <w:tcBorders>
              <w:bottom w:val="single" w:sz="4" w:color="000000"/>
            </w:tcBorders>
          </w:tcPr>
          <w:p>
            <w:pPr>
              <w:spacing w:line="240" w:lineRule="auto"/>
            </w:pPr>
            <w:r>
              <w:rPr>
                <w:b/>
              </w:rPr>
            </w:r>
            <w:r>
              <w:rPr>
                <w:rFonts w:ascii="Garamond" w:hAnsi="Garamond"/>
                <w:b/>
                <w:sz w:val="16"/>
              </w:rPr>
              <w:t>Parcels with tract value</w:t>
            </w:r>
          </w:p>
        </w:tc>
        <w:tc>
          <w:tcPr>
            <w:tcW w:type="dxa" w:w="1337"/>
            <w:tcBorders>
              <w:bottom w:val="single" w:sz="4" w:color="000000"/>
            </w:tcBorders>
          </w:tcPr>
          <w:p>
            <w:pPr>
              <w:spacing w:line="240" w:lineRule="auto"/>
            </w:pPr>
            <w:r>
              <w:rPr>
                <w:b/>
              </w:rPr>
            </w:r>
            <w:r>
              <w:rPr>
                <w:rFonts w:ascii="Garamond" w:hAnsi="Garamond"/>
                <w:b/>
                <w:sz w:val="16"/>
              </w:rPr>
              <w:t>Median ratio of county appraisal to tract median home value</w:t>
            </w:r>
          </w:p>
        </w:tc>
        <w:tc>
          <w:tcPr>
            <w:tcW w:type="dxa" w:w="1337"/>
            <w:tcBorders>
              <w:bottom w:val="single" w:sz="4" w:color="000000"/>
            </w:tcBorders>
          </w:tcPr>
          <w:p>
            <w:pPr>
              <w:spacing w:line="240" w:lineRule="auto"/>
            </w:pPr>
            <w:r>
              <w:rPr>
                <w:b/>
              </w:rPr>
            </w:r>
            <w:r>
              <w:rPr>
                <w:rFonts w:ascii="Garamond" w:hAnsi="Garamond"/>
                <w:b/>
                <w:sz w:val="16"/>
              </w:rPr>
              <w:t>Share in owner-majority tracts</w:t>
            </w:r>
          </w:p>
        </w:tc>
        <w:tc>
          <w:tcPr>
            <w:tcW w:type="dxa" w:w="1337"/>
            <w:tcBorders>
              <w:bottom w:val="single" w:sz="4" w:color="000000"/>
            </w:tcBorders>
          </w:tcPr>
          <w:p>
            <w:pPr>
              <w:spacing w:line="240" w:lineRule="auto"/>
            </w:pPr>
            <w:r>
              <w:rPr>
                <w:b/>
              </w:rPr>
            </w:r>
            <w:r>
              <w:rPr>
                <w:rFonts w:ascii="Garamond" w:hAnsi="Garamond"/>
                <w:b/>
                <w:sz w:val="16"/>
              </w:rPr>
              <w:t>Median tract income</w:t>
            </w:r>
          </w:p>
        </w:tc>
      </w:tr>
      <w:tr>
        <w:tc>
          <w:tcPr>
            <w:tcW w:type="dxa" w:w="1337"/>
          </w:tcPr>
          <w:p>
            <w:pPr>
              <w:spacing w:line="240" w:lineRule="auto"/>
            </w:pPr>
            <w:r/>
            <w:r>
              <w:rPr>
                <w:rFonts w:ascii="Garamond" w:hAnsi="Garamond"/>
                <w:sz w:val="16"/>
              </w:rPr>
              <w:t>Progress Residential</w:t>
            </w:r>
          </w:p>
        </w:tc>
        <w:tc>
          <w:tcPr>
            <w:tcW w:type="dxa" w:w="1337"/>
          </w:tcPr>
          <w:p>
            <w:pPr>
              <w:spacing w:line="240" w:lineRule="auto"/>
              <w:jc w:val="right"/>
            </w:pPr>
            <w:r/>
            <w:r>
              <w:rPr>
                <w:rFonts w:ascii="Garamond" w:hAnsi="Garamond"/>
                <w:sz w:val="16"/>
              </w:rPr>
              <w:t>1,271</w:t>
            </w:r>
          </w:p>
        </w:tc>
        <w:tc>
          <w:tcPr>
            <w:tcW w:type="dxa" w:w="1337"/>
          </w:tcPr>
          <w:p>
            <w:pPr>
              <w:spacing w:line="240" w:lineRule="auto"/>
              <w:jc w:val="right"/>
            </w:pPr>
            <w:r/>
            <w:r>
              <w:rPr>
                <w:rFonts w:ascii="Garamond" w:hAnsi="Garamond"/>
                <w:sz w:val="16"/>
              </w:rPr>
              <w:t>$248,978</w:t>
            </w:r>
          </w:p>
        </w:tc>
        <w:tc>
          <w:tcPr>
            <w:tcW w:type="dxa" w:w="1337"/>
          </w:tcPr>
          <w:p>
            <w:pPr>
              <w:spacing w:line="240" w:lineRule="auto"/>
              <w:jc w:val="right"/>
            </w:pPr>
            <w:r/>
            <w:r>
              <w:rPr>
                <w:rFonts w:ascii="Garamond" w:hAnsi="Garamond"/>
                <w:sz w:val="16"/>
              </w:rPr>
              <w:t>1,238</w:t>
            </w:r>
          </w:p>
        </w:tc>
        <w:tc>
          <w:tcPr>
            <w:tcW w:type="dxa" w:w="1337"/>
          </w:tcPr>
          <w:p>
            <w:pPr>
              <w:spacing w:line="240" w:lineRule="auto"/>
              <w:jc w:val="right"/>
            </w:pPr>
            <w:r/>
            <w:r>
              <w:rPr>
                <w:rFonts w:ascii="Garamond" w:hAnsi="Garamond"/>
                <w:sz w:val="16"/>
              </w:rPr>
              <w:t>0.62</w:t>
            </w:r>
          </w:p>
        </w:tc>
        <w:tc>
          <w:tcPr>
            <w:tcW w:type="dxa" w:w="1337"/>
          </w:tcPr>
          <w:p>
            <w:pPr>
              <w:spacing w:line="240" w:lineRule="auto"/>
              <w:jc w:val="right"/>
            </w:pPr>
            <w:r/>
            <w:r>
              <w:rPr>
                <w:rFonts w:ascii="Garamond" w:hAnsi="Garamond"/>
                <w:sz w:val="16"/>
              </w:rPr>
              <w:t>86.1%</w:t>
            </w:r>
          </w:p>
        </w:tc>
        <w:tc>
          <w:tcPr>
            <w:tcW w:type="dxa" w:w="1337"/>
          </w:tcPr>
          <w:p>
            <w:pPr>
              <w:spacing w:line="240" w:lineRule="auto"/>
              <w:jc w:val="right"/>
            </w:pPr>
            <w:r/>
            <w:r>
              <w:rPr>
                <w:rFonts w:ascii="Garamond" w:hAnsi="Garamond"/>
                <w:sz w:val="16"/>
              </w:rPr>
              <w:t>$82,371</w:t>
            </w:r>
          </w:p>
        </w:tc>
      </w:tr>
      <w:tr>
        <w:tc>
          <w:tcPr>
            <w:tcW w:type="dxa" w:w="1337"/>
          </w:tcPr>
          <w:p>
            <w:pPr>
              <w:spacing w:line="240" w:lineRule="auto"/>
            </w:pPr>
            <w:r/>
            <w:r>
              <w:rPr>
                <w:rFonts w:ascii="Garamond" w:hAnsi="Garamond"/>
                <w:sz w:val="16"/>
              </w:rPr>
              <w:t>Amherst Residential</w:t>
            </w:r>
          </w:p>
        </w:tc>
        <w:tc>
          <w:tcPr>
            <w:tcW w:type="dxa" w:w="1337"/>
          </w:tcPr>
          <w:p>
            <w:pPr>
              <w:spacing w:line="240" w:lineRule="auto"/>
              <w:jc w:val="right"/>
            </w:pPr>
            <w:r/>
            <w:r>
              <w:rPr>
                <w:rFonts w:ascii="Garamond" w:hAnsi="Garamond"/>
                <w:sz w:val="16"/>
              </w:rPr>
              <w:t>1,077</w:t>
            </w:r>
          </w:p>
        </w:tc>
        <w:tc>
          <w:tcPr>
            <w:tcW w:type="dxa" w:w="1337"/>
          </w:tcPr>
          <w:p>
            <w:pPr>
              <w:spacing w:line="240" w:lineRule="auto"/>
              <w:jc w:val="right"/>
            </w:pPr>
            <w:r/>
            <w:r>
              <w:rPr>
                <w:rFonts w:ascii="Garamond" w:hAnsi="Garamond"/>
                <w:sz w:val="16"/>
              </w:rPr>
              <w:t>$299,406</w:t>
            </w:r>
          </w:p>
        </w:tc>
        <w:tc>
          <w:tcPr>
            <w:tcW w:type="dxa" w:w="1337"/>
          </w:tcPr>
          <w:p>
            <w:pPr>
              <w:spacing w:line="240" w:lineRule="auto"/>
              <w:jc w:val="right"/>
            </w:pPr>
            <w:r/>
            <w:r>
              <w:rPr>
                <w:rFonts w:ascii="Garamond" w:hAnsi="Garamond"/>
                <w:sz w:val="16"/>
              </w:rPr>
              <w:t>650</w:t>
            </w:r>
          </w:p>
        </w:tc>
        <w:tc>
          <w:tcPr>
            <w:tcW w:type="dxa" w:w="1337"/>
          </w:tcPr>
          <w:p>
            <w:pPr>
              <w:spacing w:line="240" w:lineRule="auto"/>
              <w:jc w:val="right"/>
            </w:pPr>
            <w:r/>
            <w:r>
              <w:rPr>
                <w:rFonts w:ascii="Garamond" w:hAnsi="Garamond"/>
                <w:sz w:val="16"/>
              </w:rPr>
              <w:t>0.73</w:t>
            </w:r>
          </w:p>
        </w:tc>
        <w:tc>
          <w:tcPr>
            <w:tcW w:type="dxa" w:w="1337"/>
          </w:tcPr>
          <w:p>
            <w:pPr>
              <w:spacing w:line="240" w:lineRule="auto"/>
              <w:jc w:val="right"/>
            </w:pPr>
            <w:r/>
            <w:r>
              <w:rPr>
                <w:rFonts w:ascii="Garamond" w:hAnsi="Garamond"/>
                <w:sz w:val="16"/>
              </w:rPr>
              <w:t>80.0%</w:t>
            </w:r>
          </w:p>
        </w:tc>
        <w:tc>
          <w:tcPr>
            <w:tcW w:type="dxa" w:w="1337"/>
          </w:tcPr>
          <w:p>
            <w:pPr>
              <w:spacing w:line="240" w:lineRule="auto"/>
              <w:jc w:val="right"/>
            </w:pPr>
            <w:r/>
            <w:r>
              <w:rPr>
                <w:rFonts w:ascii="Garamond" w:hAnsi="Garamond"/>
                <w:sz w:val="16"/>
              </w:rPr>
              <w:t>$75,769</w:t>
            </w:r>
          </w:p>
        </w:tc>
      </w:tr>
      <w:tr>
        <w:tc>
          <w:tcPr>
            <w:tcW w:type="dxa" w:w="1337"/>
          </w:tcPr>
          <w:p>
            <w:pPr>
              <w:spacing w:line="240" w:lineRule="auto"/>
            </w:pPr>
            <w:r/>
            <w:r>
              <w:rPr>
                <w:rFonts w:ascii="Garamond" w:hAnsi="Garamond"/>
                <w:sz w:val="16"/>
              </w:rPr>
              <w:t>American Homes 4 Rent</w:t>
            </w:r>
          </w:p>
        </w:tc>
        <w:tc>
          <w:tcPr>
            <w:tcW w:type="dxa" w:w="1337"/>
          </w:tcPr>
          <w:p>
            <w:pPr>
              <w:spacing w:line="240" w:lineRule="auto"/>
              <w:jc w:val="right"/>
            </w:pPr>
            <w:r/>
            <w:r>
              <w:rPr>
                <w:rFonts w:ascii="Garamond" w:hAnsi="Garamond"/>
                <w:sz w:val="16"/>
              </w:rPr>
              <w:t>732</w:t>
            </w:r>
          </w:p>
        </w:tc>
        <w:tc>
          <w:tcPr>
            <w:tcW w:type="dxa" w:w="1337"/>
          </w:tcPr>
          <w:p>
            <w:pPr>
              <w:spacing w:line="240" w:lineRule="auto"/>
              <w:jc w:val="right"/>
            </w:pPr>
            <w:r/>
            <w:r>
              <w:rPr>
                <w:rFonts w:ascii="Garamond" w:hAnsi="Garamond"/>
                <w:sz w:val="16"/>
              </w:rPr>
              <w:t>$131,750</w:t>
            </w:r>
          </w:p>
        </w:tc>
        <w:tc>
          <w:tcPr>
            <w:tcW w:type="dxa" w:w="1337"/>
          </w:tcPr>
          <w:p>
            <w:pPr>
              <w:spacing w:line="240" w:lineRule="auto"/>
              <w:jc w:val="right"/>
            </w:pPr>
            <w:r/>
            <w:r>
              <w:rPr>
                <w:rFonts w:ascii="Garamond" w:hAnsi="Garamond"/>
                <w:sz w:val="16"/>
              </w:rPr>
              <w:t>818</w:t>
            </w:r>
          </w:p>
        </w:tc>
        <w:tc>
          <w:tcPr>
            <w:tcW w:type="dxa" w:w="1337"/>
          </w:tcPr>
          <w:p>
            <w:pPr>
              <w:spacing w:line="240" w:lineRule="auto"/>
              <w:jc w:val="right"/>
            </w:pPr>
            <w:r/>
            <w:r>
              <w:rPr>
                <w:rFonts w:ascii="Garamond" w:hAnsi="Garamond"/>
                <w:sz w:val="16"/>
              </w:rPr>
              <w:t>0.51</w:t>
            </w:r>
          </w:p>
        </w:tc>
        <w:tc>
          <w:tcPr>
            <w:tcW w:type="dxa" w:w="1337"/>
          </w:tcPr>
          <w:p>
            <w:pPr>
              <w:spacing w:line="240" w:lineRule="auto"/>
              <w:jc w:val="right"/>
            </w:pPr>
            <w:r/>
            <w:r>
              <w:rPr>
                <w:rFonts w:ascii="Garamond" w:hAnsi="Garamond"/>
                <w:sz w:val="16"/>
              </w:rPr>
              <w:t>91.7%</w:t>
            </w:r>
          </w:p>
        </w:tc>
        <w:tc>
          <w:tcPr>
            <w:tcW w:type="dxa" w:w="1337"/>
          </w:tcPr>
          <w:p>
            <w:pPr>
              <w:spacing w:line="240" w:lineRule="auto"/>
              <w:jc w:val="right"/>
            </w:pPr>
            <w:r/>
            <w:r>
              <w:rPr>
                <w:rFonts w:ascii="Garamond" w:hAnsi="Garamond"/>
                <w:sz w:val="16"/>
              </w:rPr>
              <w:t>$84,661</w:t>
            </w:r>
          </w:p>
        </w:tc>
      </w:tr>
      <w:tr>
        <w:tc>
          <w:tcPr>
            <w:tcW w:type="dxa" w:w="1337"/>
          </w:tcPr>
          <w:p>
            <w:pPr>
              <w:spacing w:line="240" w:lineRule="auto"/>
            </w:pPr>
            <w:r/>
            <w:r>
              <w:rPr>
                <w:rFonts w:ascii="Garamond" w:hAnsi="Garamond"/>
                <w:sz w:val="16"/>
              </w:rPr>
              <w:t>Tricon Residential</w:t>
            </w:r>
          </w:p>
        </w:tc>
        <w:tc>
          <w:tcPr>
            <w:tcW w:type="dxa" w:w="1337"/>
          </w:tcPr>
          <w:p>
            <w:pPr>
              <w:spacing w:line="240" w:lineRule="auto"/>
              <w:jc w:val="right"/>
            </w:pPr>
            <w:r/>
            <w:r>
              <w:rPr>
                <w:rFonts w:ascii="Garamond" w:hAnsi="Garamond"/>
                <w:sz w:val="16"/>
              </w:rPr>
              <w:t>232</w:t>
            </w:r>
          </w:p>
        </w:tc>
        <w:tc>
          <w:tcPr>
            <w:tcW w:type="dxa" w:w="1337"/>
          </w:tcPr>
          <w:p>
            <w:pPr>
              <w:spacing w:line="240" w:lineRule="auto"/>
              <w:jc w:val="right"/>
            </w:pPr>
            <w:r/>
            <w:r>
              <w:rPr>
                <w:rFonts w:ascii="Garamond" w:hAnsi="Garamond"/>
                <w:sz w:val="16"/>
              </w:rPr>
              <w:t>$384,509</w:t>
            </w:r>
          </w:p>
        </w:tc>
        <w:tc>
          <w:tcPr>
            <w:tcW w:type="dxa" w:w="1337"/>
          </w:tcPr>
          <w:p>
            <w:pPr>
              <w:spacing w:line="240" w:lineRule="auto"/>
              <w:jc w:val="right"/>
            </w:pPr>
            <w:r/>
            <w:r>
              <w:rPr>
                <w:rFonts w:ascii="Garamond" w:hAnsi="Garamond"/>
                <w:sz w:val="16"/>
              </w:rPr>
              <w:t>276</w:t>
            </w:r>
          </w:p>
        </w:tc>
        <w:tc>
          <w:tcPr>
            <w:tcW w:type="dxa" w:w="1337"/>
          </w:tcPr>
          <w:p>
            <w:pPr>
              <w:spacing w:line="240" w:lineRule="auto"/>
              <w:jc w:val="right"/>
            </w:pPr>
            <w:r/>
            <w:r>
              <w:rPr>
                <w:rFonts w:ascii="Garamond" w:hAnsi="Garamond"/>
                <w:sz w:val="16"/>
              </w:rPr>
              <w:t>0.70</w:t>
            </w:r>
          </w:p>
        </w:tc>
        <w:tc>
          <w:tcPr>
            <w:tcW w:type="dxa" w:w="1337"/>
          </w:tcPr>
          <w:p>
            <w:pPr>
              <w:spacing w:line="240" w:lineRule="auto"/>
              <w:jc w:val="right"/>
            </w:pPr>
            <w:r/>
            <w:r>
              <w:rPr>
                <w:rFonts w:ascii="Garamond" w:hAnsi="Garamond"/>
                <w:sz w:val="16"/>
              </w:rPr>
              <w:t>87.0%</w:t>
            </w:r>
          </w:p>
        </w:tc>
        <w:tc>
          <w:tcPr>
            <w:tcW w:type="dxa" w:w="1337"/>
          </w:tcPr>
          <w:p>
            <w:pPr>
              <w:spacing w:line="240" w:lineRule="auto"/>
              <w:jc w:val="right"/>
            </w:pPr>
            <w:r/>
            <w:r>
              <w:rPr>
                <w:rFonts w:ascii="Garamond" w:hAnsi="Garamond"/>
                <w:sz w:val="16"/>
              </w:rPr>
              <w:t>$87,105</w:t>
            </w:r>
          </w:p>
        </w:tc>
      </w:tr>
      <w:tr>
        <w:tc>
          <w:tcPr>
            <w:tcW w:type="dxa" w:w="1337"/>
          </w:tcPr>
          <w:p>
            <w:pPr>
              <w:spacing w:line="240" w:lineRule="auto"/>
            </w:pPr>
            <w:r/>
            <w:r>
              <w:rPr>
                <w:rFonts w:ascii="Garamond" w:hAnsi="Garamond"/>
                <w:sz w:val="16"/>
              </w:rPr>
              <w:t>Starwood Capital</w:t>
            </w:r>
          </w:p>
        </w:tc>
        <w:tc>
          <w:tcPr>
            <w:tcW w:type="dxa" w:w="1337"/>
          </w:tcPr>
          <w:p>
            <w:pPr>
              <w:spacing w:line="240" w:lineRule="auto"/>
              <w:jc w:val="right"/>
            </w:pPr>
            <w:r/>
            <w:r>
              <w:rPr>
                <w:rFonts w:ascii="Garamond" w:hAnsi="Garamond"/>
                <w:sz w:val="16"/>
              </w:rPr>
              <w:t>231</w:t>
            </w:r>
          </w:p>
        </w:tc>
        <w:tc>
          <w:tcPr>
            <w:tcW w:type="dxa" w:w="1337"/>
          </w:tcPr>
          <w:p>
            <w:pPr>
              <w:spacing w:line="240" w:lineRule="auto"/>
              <w:jc w:val="right"/>
            </w:pPr>
            <w:r/>
            <w:r>
              <w:rPr>
                <w:rFonts w:ascii="Garamond" w:hAnsi="Garamond"/>
                <w:sz w:val="16"/>
              </w:rPr>
              <w:t>$405,000</w:t>
            </w:r>
          </w:p>
        </w:tc>
        <w:tc>
          <w:tcPr>
            <w:tcW w:type="dxa" w:w="1337"/>
          </w:tcPr>
          <w:p>
            <w:pPr>
              <w:spacing w:line="240" w:lineRule="auto"/>
              <w:jc w:val="right"/>
            </w:pPr>
            <w:r/>
            <w:r>
              <w:rPr>
                <w:rFonts w:ascii="Garamond" w:hAnsi="Garamond"/>
                <w:sz w:val="16"/>
              </w:rPr>
              <w:t>251</w:t>
            </w:r>
          </w:p>
        </w:tc>
        <w:tc>
          <w:tcPr>
            <w:tcW w:type="dxa" w:w="1337"/>
          </w:tcPr>
          <w:p>
            <w:pPr>
              <w:spacing w:line="240" w:lineRule="auto"/>
              <w:jc w:val="right"/>
            </w:pPr>
            <w:r/>
            <w:r>
              <w:rPr>
                <w:rFonts w:ascii="Garamond" w:hAnsi="Garamond"/>
                <w:sz w:val="16"/>
              </w:rPr>
              <w:t>0.79</w:t>
            </w:r>
          </w:p>
        </w:tc>
        <w:tc>
          <w:tcPr>
            <w:tcW w:type="dxa" w:w="1337"/>
          </w:tcPr>
          <w:p>
            <w:pPr>
              <w:spacing w:line="240" w:lineRule="auto"/>
              <w:jc w:val="right"/>
            </w:pPr>
            <w:r/>
            <w:r>
              <w:rPr>
                <w:rFonts w:ascii="Garamond" w:hAnsi="Garamond"/>
                <w:sz w:val="16"/>
              </w:rPr>
              <w:t>82.5%</w:t>
            </w:r>
          </w:p>
        </w:tc>
        <w:tc>
          <w:tcPr>
            <w:tcW w:type="dxa" w:w="1337"/>
          </w:tcPr>
          <w:p>
            <w:pPr>
              <w:spacing w:line="240" w:lineRule="auto"/>
              <w:jc w:val="right"/>
            </w:pPr>
            <w:r/>
            <w:r>
              <w:rPr>
                <w:rFonts w:ascii="Garamond" w:hAnsi="Garamond"/>
                <w:sz w:val="16"/>
              </w:rPr>
              <w:t>$94,514</w:t>
            </w:r>
          </w:p>
        </w:tc>
      </w:tr>
      <w:tr>
        <w:tc>
          <w:tcPr>
            <w:tcW w:type="dxa" w:w="1337"/>
          </w:tcPr>
          <w:p>
            <w:pPr>
              <w:spacing w:line="240" w:lineRule="auto"/>
            </w:pPr>
            <w:r/>
            <w:r>
              <w:rPr>
                <w:rFonts w:ascii="Garamond" w:hAnsi="Garamond"/>
                <w:sz w:val="16"/>
              </w:rPr>
              <w:t>My Community Homes</w:t>
            </w:r>
          </w:p>
        </w:tc>
        <w:tc>
          <w:tcPr>
            <w:tcW w:type="dxa" w:w="1337"/>
          </w:tcPr>
          <w:p>
            <w:pPr>
              <w:spacing w:line="240" w:lineRule="auto"/>
              <w:jc w:val="right"/>
            </w:pPr>
            <w:r/>
            <w:r>
              <w:rPr>
                <w:rFonts w:ascii="Garamond" w:hAnsi="Garamond"/>
                <w:sz w:val="16"/>
              </w:rPr>
              <w:t>101</w:t>
            </w:r>
          </w:p>
        </w:tc>
        <w:tc>
          <w:tcPr>
            <w:tcW w:type="dxa" w:w="1337"/>
          </w:tcPr>
          <w:p>
            <w:pPr>
              <w:spacing w:line="240" w:lineRule="auto"/>
              <w:jc w:val="right"/>
            </w:pPr>
            <w:r/>
            <w:r>
              <w:rPr>
                <w:rFonts w:ascii="Garamond" w:hAnsi="Garamond"/>
                <w:sz w:val="16"/>
              </w:rPr>
              <w:t>$370,000</w:t>
            </w:r>
          </w:p>
        </w:tc>
        <w:tc>
          <w:tcPr>
            <w:tcW w:type="dxa" w:w="1337"/>
          </w:tcPr>
          <w:p>
            <w:pPr>
              <w:spacing w:line="240" w:lineRule="auto"/>
              <w:jc w:val="right"/>
            </w:pPr>
            <w:r/>
            <w:r>
              <w:rPr>
                <w:rFonts w:ascii="Garamond" w:hAnsi="Garamond"/>
                <w:sz w:val="16"/>
              </w:rPr>
              <w:t>99</w:t>
            </w:r>
          </w:p>
        </w:tc>
        <w:tc>
          <w:tcPr>
            <w:tcW w:type="dxa" w:w="1337"/>
          </w:tcPr>
          <w:p>
            <w:pPr>
              <w:spacing w:line="240" w:lineRule="auto"/>
              <w:jc w:val="right"/>
            </w:pPr>
            <w:r/>
            <w:r>
              <w:rPr>
                <w:rFonts w:ascii="Garamond" w:hAnsi="Garamond"/>
                <w:sz w:val="16"/>
              </w:rPr>
              <w:t>0.71</w:t>
            </w:r>
          </w:p>
        </w:tc>
        <w:tc>
          <w:tcPr>
            <w:tcW w:type="dxa" w:w="1337"/>
          </w:tcPr>
          <w:p>
            <w:pPr>
              <w:spacing w:line="240" w:lineRule="auto"/>
              <w:jc w:val="right"/>
            </w:pPr>
            <w:r/>
            <w:r>
              <w:rPr>
                <w:rFonts w:ascii="Garamond" w:hAnsi="Garamond"/>
                <w:sz w:val="16"/>
              </w:rPr>
              <w:t>82.8%</w:t>
            </w:r>
          </w:p>
        </w:tc>
        <w:tc>
          <w:tcPr>
            <w:tcW w:type="dxa" w:w="1337"/>
          </w:tcPr>
          <w:p>
            <w:pPr>
              <w:spacing w:line="240" w:lineRule="auto"/>
              <w:jc w:val="right"/>
            </w:pPr>
            <w:r/>
            <w:r>
              <w:rPr>
                <w:rFonts w:ascii="Garamond" w:hAnsi="Garamond"/>
                <w:sz w:val="16"/>
              </w:rPr>
              <w:t>$75,313</w:t>
            </w:r>
          </w:p>
        </w:tc>
      </w:tr>
      <w:tr>
        <w:tc>
          <w:tcPr>
            <w:tcW w:type="dxa" w:w="1337"/>
          </w:tcPr>
          <w:p>
            <w:pPr>
              <w:spacing w:line="240" w:lineRule="auto"/>
            </w:pPr>
            <w:r/>
            <w:r>
              <w:rPr>
                <w:rFonts w:ascii="Garamond" w:hAnsi="Garamond"/>
                <w:sz w:val="16"/>
              </w:rPr>
              <w:t>FirstKey Homes</w:t>
            </w:r>
          </w:p>
        </w:tc>
        <w:tc>
          <w:tcPr>
            <w:tcW w:type="dxa" w:w="1337"/>
          </w:tcPr>
          <w:p>
            <w:pPr>
              <w:spacing w:line="240" w:lineRule="auto"/>
              <w:jc w:val="right"/>
            </w:pPr>
            <w:r/>
            <w:r>
              <w:rPr>
                <w:rFonts w:ascii="Garamond" w:hAnsi="Garamond"/>
                <w:sz w:val="16"/>
              </w:rPr>
              <w:t>80</w:t>
            </w:r>
          </w:p>
        </w:tc>
        <w:tc>
          <w:tcPr>
            <w:tcW w:type="dxa" w:w="1337"/>
          </w:tcPr>
          <w:p>
            <w:pPr>
              <w:spacing w:line="240" w:lineRule="auto"/>
              <w:jc w:val="right"/>
            </w:pPr>
            <w:r/>
            <w:r>
              <w:rPr>
                <w:rFonts w:ascii="Garamond" w:hAnsi="Garamond"/>
                <w:sz w:val="16"/>
              </w:rPr>
              <w:t>$388,500</w:t>
            </w:r>
          </w:p>
        </w:tc>
        <w:tc>
          <w:tcPr>
            <w:tcW w:type="dxa" w:w="1337"/>
          </w:tcPr>
          <w:p>
            <w:pPr>
              <w:spacing w:line="240" w:lineRule="auto"/>
              <w:jc w:val="right"/>
            </w:pPr>
            <w:r/>
            <w:r>
              <w:rPr>
                <w:rFonts w:ascii="Garamond" w:hAnsi="Garamond"/>
                <w:sz w:val="16"/>
              </w:rPr>
              <w:t>84</w:t>
            </w:r>
          </w:p>
        </w:tc>
        <w:tc>
          <w:tcPr>
            <w:tcW w:type="dxa" w:w="1337"/>
          </w:tcPr>
          <w:p>
            <w:pPr>
              <w:spacing w:line="240" w:lineRule="auto"/>
              <w:jc w:val="right"/>
            </w:pPr>
            <w:r/>
            <w:r>
              <w:rPr>
                <w:rFonts w:ascii="Garamond" w:hAnsi="Garamond"/>
                <w:sz w:val="16"/>
              </w:rPr>
              <w:t>0.77</w:t>
            </w:r>
          </w:p>
        </w:tc>
        <w:tc>
          <w:tcPr>
            <w:tcW w:type="dxa" w:w="1337"/>
          </w:tcPr>
          <w:p>
            <w:pPr>
              <w:spacing w:line="240" w:lineRule="auto"/>
              <w:jc w:val="right"/>
            </w:pPr>
            <w:r/>
            <w:r>
              <w:rPr>
                <w:rFonts w:ascii="Garamond" w:hAnsi="Garamond"/>
                <w:sz w:val="16"/>
              </w:rPr>
              <w:t>85.7%</w:t>
            </w:r>
          </w:p>
        </w:tc>
        <w:tc>
          <w:tcPr>
            <w:tcW w:type="dxa" w:w="1337"/>
          </w:tcPr>
          <w:p>
            <w:pPr>
              <w:spacing w:line="240" w:lineRule="auto"/>
              <w:jc w:val="right"/>
            </w:pPr>
            <w:r/>
            <w:r>
              <w:rPr>
                <w:rFonts w:ascii="Garamond" w:hAnsi="Garamond"/>
                <w:sz w:val="16"/>
              </w:rPr>
              <w:t>$82,371</w:t>
            </w:r>
          </w:p>
        </w:tc>
      </w:tr>
      <w:tr>
        <w:tc>
          <w:tcPr>
            <w:tcW w:type="dxa" w:w="1337"/>
          </w:tcPr>
          <w:p>
            <w:pPr>
              <w:spacing w:line="240" w:lineRule="auto"/>
            </w:pPr>
            <w:r/>
            <w:r>
              <w:rPr>
                <w:rFonts w:ascii="Garamond" w:hAnsi="Garamond"/>
                <w:sz w:val="16"/>
              </w:rPr>
              <w:t>RESICAP</w:t>
            </w:r>
          </w:p>
        </w:tc>
        <w:tc>
          <w:tcPr>
            <w:tcW w:type="dxa" w:w="1337"/>
          </w:tcPr>
          <w:p>
            <w:pPr>
              <w:spacing w:line="240" w:lineRule="auto"/>
              <w:jc w:val="right"/>
            </w:pPr>
            <w:r/>
            <w:r>
              <w:rPr>
                <w:rFonts w:ascii="Garamond" w:hAnsi="Garamond"/>
                <w:sz w:val="16"/>
              </w:rPr>
              <w:t>67</w:t>
            </w:r>
          </w:p>
        </w:tc>
        <w:tc>
          <w:tcPr>
            <w:tcW w:type="dxa" w:w="1337"/>
          </w:tcPr>
          <w:p>
            <w:pPr>
              <w:spacing w:line="240" w:lineRule="auto"/>
              <w:jc w:val="right"/>
            </w:pPr>
            <w:r/>
            <w:r>
              <w:rPr>
                <w:rFonts w:ascii="Garamond" w:hAnsi="Garamond"/>
                <w:sz w:val="16"/>
              </w:rPr>
              <w:t>$340,000</w:t>
            </w:r>
          </w:p>
        </w:tc>
        <w:tc>
          <w:tcPr>
            <w:tcW w:type="dxa" w:w="1337"/>
          </w:tcPr>
          <w:p>
            <w:pPr>
              <w:spacing w:line="240" w:lineRule="auto"/>
              <w:jc w:val="right"/>
            </w:pPr>
            <w:r/>
            <w:r>
              <w:rPr>
                <w:rFonts w:ascii="Garamond" w:hAnsi="Garamond"/>
                <w:sz w:val="16"/>
              </w:rPr>
              <w:t>64</w:t>
            </w:r>
          </w:p>
        </w:tc>
        <w:tc>
          <w:tcPr>
            <w:tcW w:type="dxa" w:w="1337"/>
          </w:tcPr>
          <w:p>
            <w:pPr>
              <w:spacing w:line="240" w:lineRule="auto"/>
              <w:jc w:val="right"/>
            </w:pPr>
            <w:r/>
            <w:r>
              <w:rPr>
                <w:rFonts w:ascii="Garamond" w:hAnsi="Garamond"/>
                <w:sz w:val="16"/>
              </w:rPr>
              <w:t>0.71</w:t>
            </w:r>
          </w:p>
        </w:tc>
        <w:tc>
          <w:tcPr>
            <w:tcW w:type="dxa" w:w="1337"/>
          </w:tcPr>
          <w:p>
            <w:pPr>
              <w:spacing w:line="240" w:lineRule="auto"/>
              <w:jc w:val="right"/>
            </w:pPr>
            <w:r/>
            <w:r>
              <w:rPr>
                <w:rFonts w:ascii="Garamond" w:hAnsi="Garamond"/>
                <w:sz w:val="16"/>
              </w:rPr>
              <w:t>60.9%</w:t>
            </w:r>
          </w:p>
        </w:tc>
        <w:tc>
          <w:tcPr>
            <w:tcW w:type="dxa" w:w="1337"/>
          </w:tcPr>
          <w:p>
            <w:pPr>
              <w:spacing w:line="240" w:lineRule="auto"/>
              <w:jc w:val="right"/>
            </w:pPr>
            <w:r/>
            <w:r>
              <w:rPr>
                <w:rFonts w:ascii="Garamond" w:hAnsi="Garamond"/>
                <w:sz w:val="16"/>
              </w:rPr>
              <w:t>$72,476</w:t>
            </w:r>
          </w:p>
        </w:tc>
      </w:tr>
      <w:tr>
        <w:tc>
          <w:tcPr>
            <w:tcW w:type="dxa" w:w="1337"/>
          </w:tcPr>
          <w:p>
            <w:pPr>
              <w:spacing w:line="240" w:lineRule="auto"/>
            </w:pPr>
            <w:r/>
            <w:r>
              <w:rPr>
                <w:rFonts w:ascii="Garamond" w:hAnsi="Garamond"/>
                <w:sz w:val="16"/>
              </w:rPr>
              <w:t>VineBrook Homes</w:t>
            </w:r>
          </w:p>
        </w:tc>
        <w:tc>
          <w:tcPr>
            <w:tcW w:type="dxa" w:w="1337"/>
          </w:tcPr>
          <w:p>
            <w:pPr>
              <w:spacing w:line="240" w:lineRule="auto"/>
              <w:jc w:val="right"/>
            </w:pPr>
            <w:r/>
            <w:r>
              <w:rPr>
                <w:rFonts w:ascii="Garamond" w:hAnsi="Garamond"/>
                <w:sz w:val="16"/>
              </w:rPr>
              <w:t>60</w:t>
            </w:r>
          </w:p>
        </w:tc>
        <w:tc>
          <w:tcPr>
            <w:tcW w:type="dxa" w:w="1337"/>
          </w:tcPr>
          <w:p>
            <w:pPr>
              <w:spacing w:line="240" w:lineRule="auto"/>
              <w:jc w:val="right"/>
            </w:pPr>
            <w:r/>
            <w:r>
              <w:rPr>
                <w:rFonts w:ascii="Garamond" w:hAnsi="Garamond"/>
                <w:sz w:val="16"/>
              </w:rPr>
              <w:t>$231,132</w:t>
            </w:r>
          </w:p>
        </w:tc>
        <w:tc>
          <w:tcPr>
            <w:tcW w:type="dxa" w:w="1337"/>
          </w:tcPr>
          <w:p>
            <w:pPr>
              <w:spacing w:line="240" w:lineRule="auto"/>
              <w:jc w:val="right"/>
            </w:pPr>
            <w:r/>
            <w:r>
              <w:rPr>
                <w:rFonts w:ascii="Garamond" w:hAnsi="Garamond"/>
                <w:sz w:val="16"/>
              </w:rPr>
              <w:t>59</w:t>
            </w:r>
          </w:p>
        </w:tc>
        <w:tc>
          <w:tcPr>
            <w:tcW w:type="dxa" w:w="1337"/>
          </w:tcPr>
          <w:p>
            <w:pPr>
              <w:spacing w:line="240" w:lineRule="auto"/>
              <w:jc w:val="right"/>
            </w:pPr>
            <w:r/>
            <w:r>
              <w:rPr>
                <w:rFonts w:ascii="Garamond" w:hAnsi="Garamond"/>
                <w:sz w:val="16"/>
              </w:rPr>
              <w:t>1.20</w:t>
            </w:r>
          </w:p>
        </w:tc>
        <w:tc>
          <w:tcPr>
            <w:tcW w:type="dxa" w:w="1337"/>
          </w:tcPr>
          <w:p>
            <w:pPr>
              <w:spacing w:line="240" w:lineRule="auto"/>
              <w:jc w:val="right"/>
            </w:pPr>
            <w:r/>
            <w:r>
              <w:rPr>
                <w:rFonts w:ascii="Garamond" w:hAnsi="Garamond"/>
                <w:sz w:val="16"/>
              </w:rPr>
              <w:t>0.0%</w:t>
            </w:r>
          </w:p>
        </w:tc>
        <w:tc>
          <w:tcPr>
            <w:tcW w:type="dxa" w:w="1337"/>
          </w:tcPr>
          <w:p>
            <w:pPr>
              <w:spacing w:line="240" w:lineRule="auto"/>
              <w:jc w:val="right"/>
            </w:pPr>
            <w:r/>
            <w:r>
              <w:rPr>
                <w:rFonts w:ascii="Garamond" w:hAnsi="Garamond"/>
                <w:sz w:val="16"/>
              </w:rPr>
              <w:t>$57,052</w:t>
            </w:r>
          </w:p>
        </w:tc>
      </w:tr>
      <w:tr>
        <w:tc>
          <w:tcPr>
            <w:tcW w:type="dxa" w:w="1337"/>
          </w:tcPr>
          <w:p>
            <w:pPr>
              <w:spacing w:line="240" w:lineRule="auto"/>
            </w:pPr>
            <w:r/>
            <w:r>
              <w:rPr>
                <w:rFonts w:ascii="Garamond" w:hAnsi="Garamond"/>
                <w:sz w:val="16"/>
              </w:rPr>
              <w:t>Maymont Homes</w:t>
            </w:r>
          </w:p>
        </w:tc>
        <w:tc>
          <w:tcPr>
            <w:tcW w:type="dxa" w:w="1337"/>
          </w:tcPr>
          <w:p>
            <w:pPr>
              <w:spacing w:line="240" w:lineRule="auto"/>
              <w:jc w:val="right"/>
            </w:pPr>
            <w:r/>
            <w:r>
              <w:rPr>
                <w:rFonts w:ascii="Garamond" w:hAnsi="Garamond"/>
                <w:sz w:val="16"/>
              </w:rPr>
              <w:t>43</w:t>
            </w:r>
          </w:p>
        </w:tc>
        <w:tc>
          <w:tcPr>
            <w:tcW w:type="dxa" w:w="1337"/>
          </w:tcPr>
          <w:p>
            <w:pPr>
              <w:spacing w:line="240" w:lineRule="auto"/>
              <w:jc w:val="right"/>
            </w:pPr>
            <w:r/>
            <w:r>
              <w:rPr>
                <w:rFonts w:ascii="Garamond" w:hAnsi="Garamond"/>
                <w:sz w:val="16"/>
              </w:rPr>
              <w:t>$222,003</w:t>
            </w:r>
          </w:p>
        </w:tc>
        <w:tc>
          <w:tcPr>
            <w:tcW w:type="dxa" w:w="1337"/>
          </w:tcPr>
          <w:p>
            <w:pPr>
              <w:spacing w:line="240" w:lineRule="auto"/>
              <w:jc w:val="right"/>
            </w:pPr>
            <w:r/>
            <w:r>
              <w:rPr>
                <w:rFonts w:ascii="Garamond" w:hAnsi="Garamond"/>
                <w:sz w:val="16"/>
              </w:rPr>
              <w:t>104</w:t>
            </w:r>
          </w:p>
        </w:tc>
        <w:tc>
          <w:tcPr>
            <w:tcW w:type="dxa" w:w="1337"/>
          </w:tcPr>
          <w:p>
            <w:pPr>
              <w:spacing w:line="240" w:lineRule="auto"/>
              <w:jc w:val="right"/>
            </w:pPr>
            <w:r/>
            <w:r>
              <w:rPr>
                <w:rFonts w:ascii="Garamond" w:hAnsi="Garamond"/>
                <w:sz w:val="16"/>
              </w:rPr>
              <w:t>0.65</w:t>
            </w:r>
          </w:p>
        </w:tc>
        <w:tc>
          <w:tcPr>
            <w:tcW w:type="dxa" w:w="1337"/>
          </w:tcPr>
          <w:p>
            <w:pPr>
              <w:spacing w:line="240" w:lineRule="auto"/>
              <w:jc w:val="right"/>
            </w:pPr>
            <w:r/>
            <w:r>
              <w:rPr>
                <w:rFonts w:ascii="Garamond" w:hAnsi="Garamond"/>
                <w:sz w:val="16"/>
              </w:rPr>
              <w:t>71.2%</w:t>
            </w:r>
          </w:p>
        </w:tc>
        <w:tc>
          <w:tcPr>
            <w:tcW w:type="dxa" w:w="1337"/>
          </w:tcPr>
          <w:p>
            <w:pPr>
              <w:spacing w:line="240" w:lineRule="auto"/>
              <w:jc w:val="right"/>
            </w:pPr>
            <w:r/>
            <w:r>
              <w:rPr>
                <w:rFonts w:ascii="Garamond" w:hAnsi="Garamond"/>
                <w:sz w:val="16"/>
              </w:rPr>
              <w:t>$76,088</w:t>
            </w:r>
          </w:p>
        </w:tc>
      </w:tr>
      <w:tr>
        <w:tc>
          <w:tcPr>
            <w:tcW w:type="dxa" w:w="1337"/>
          </w:tcPr>
          <w:p>
            <w:pPr>
              <w:spacing w:line="240" w:lineRule="auto"/>
            </w:pPr>
            <w:r/>
            <w:r>
              <w:rPr>
                <w:rFonts w:ascii="Garamond" w:hAnsi="Garamond"/>
                <w:sz w:val="16"/>
              </w:rPr>
              <w:t>Rithm Capital</w:t>
            </w:r>
          </w:p>
        </w:tc>
        <w:tc>
          <w:tcPr>
            <w:tcW w:type="dxa" w:w="1337"/>
          </w:tcPr>
          <w:p>
            <w:pPr>
              <w:spacing w:line="240" w:lineRule="auto"/>
              <w:jc w:val="right"/>
            </w:pPr>
            <w:r/>
            <w:r>
              <w:rPr>
                <w:rFonts w:ascii="Garamond" w:hAnsi="Garamond"/>
                <w:sz w:val="16"/>
              </w:rPr>
              <w:t>35</w:t>
            </w:r>
          </w:p>
        </w:tc>
        <w:tc>
          <w:tcPr>
            <w:tcW w:type="dxa" w:w="1337"/>
          </w:tcPr>
          <w:p>
            <w:pPr>
              <w:spacing w:line="240" w:lineRule="auto"/>
              <w:jc w:val="right"/>
            </w:pPr>
            <w:r/>
            <w:r>
              <w:rPr>
                <w:rFonts w:ascii="Garamond" w:hAnsi="Garamond"/>
                <w:sz w:val="16"/>
              </w:rPr>
              <w:t>$328,500</w:t>
            </w:r>
          </w:p>
        </w:tc>
        <w:tc>
          <w:tcPr>
            <w:tcW w:type="dxa" w:w="1337"/>
          </w:tcPr>
          <w:p>
            <w:pPr>
              <w:spacing w:line="240" w:lineRule="auto"/>
              <w:jc w:val="right"/>
            </w:pPr>
            <w:r/>
            <w:r>
              <w:rPr>
                <w:rFonts w:ascii="Garamond" w:hAnsi="Garamond"/>
                <w:sz w:val="16"/>
              </w:rPr>
              <w:t>52</w:t>
            </w:r>
          </w:p>
        </w:tc>
        <w:tc>
          <w:tcPr>
            <w:tcW w:type="dxa" w:w="1337"/>
          </w:tcPr>
          <w:p>
            <w:pPr>
              <w:spacing w:line="240" w:lineRule="auto"/>
              <w:jc w:val="right"/>
            </w:pPr>
            <w:r/>
            <w:r>
              <w:rPr>
                <w:rFonts w:ascii="Garamond" w:hAnsi="Garamond"/>
                <w:sz w:val="16"/>
              </w:rPr>
              <w:t>0.69</w:t>
            </w:r>
          </w:p>
        </w:tc>
        <w:tc>
          <w:tcPr>
            <w:tcW w:type="dxa" w:w="1337"/>
          </w:tcPr>
          <w:p>
            <w:pPr>
              <w:spacing w:line="240" w:lineRule="auto"/>
              <w:jc w:val="right"/>
            </w:pPr>
            <w:r/>
            <w:r>
              <w:rPr>
                <w:rFonts w:ascii="Garamond" w:hAnsi="Garamond"/>
                <w:sz w:val="16"/>
              </w:rPr>
              <w:t>92.3%</w:t>
            </w:r>
          </w:p>
        </w:tc>
        <w:tc>
          <w:tcPr>
            <w:tcW w:type="dxa" w:w="1337"/>
          </w:tcPr>
          <w:p>
            <w:pPr>
              <w:spacing w:line="240" w:lineRule="auto"/>
              <w:jc w:val="right"/>
            </w:pPr>
            <w:r/>
            <w:r>
              <w:rPr>
                <w:rFonts w:ascii="Garamond" w:hAnsi="Garamond"/>
                <w:sz w:val="16"/>
              </w:rPr>
              <w:t>$76,770</w:t>
            </w:r>
          </w:p>
        </w:tc>
      </w:tr>
      <w:tr>
        <w:tc>
          <w:tcPr>
            <w:tcW w:type="dxa" w:w="1337"/>
          </w:tcPr>
          <w:p>
            <w:pPr>
              <w:spacing w:line="240" w:lineRule="auto"/>
            </w:pPr>
            <w:r/>
            <w:r>
              <w:rPr>
                <w:rFonts w:ascii="Garamond" w:hAnsi="Garamond"/>
                <w:sz w:val="16"/>
              </w:rPr>
              <w:t>All single-family rental operators</w:t>
            </w:r>
          </w:p>
        </w:tc>
        <w:tc>
          <w:tcPr>
            <w:tcW w:type="dxa" w:w="1337"/>
          </w:tcPr>
          <w:p>
            <w:pPr>
              <w:spacing w:line="240" w:lineRule="auto"/>
              <w:jc w:val="right"/>
            </w:pPr>
            <w:r/>
            <w:r>
              <w:rPr>
                <w:rFonts w:ascii="Garamond" w:hAnsi="Garamond"/>
                <w:sz w:val="16"/>
              </w:rPr>
              <w:t>4,067</w:t>
            </w:r>
          </w:p>
        </w:tc>
        <w:tc>
          <w:tcPr>
            <w:tcW w:type="dxa" w:w="1337"/>
          </w:tcPr>
          <w:p>
            <w:pPr>
              <w:spacing w:line="240" w:lineRule="auto"/>
              <w:jc w:val="right"/>
            </w:pPr>
            <w:r/>
            <w:r>
              <w:rPr>
                <w:rFonts w:ascii="Garamond" w:hAnsi="Garamond"/>
                <w:sz w:val="16"/>
              </w:rPr>
              <w:t>$272,395</w:t>
            </w:r>
          </w:p>
        </w:tc>
        <w:tc>
          <w:tcPr>
            <w:tcW w:type="dxa" w:w="1337"/>
          </w:tcPr>
          <w:p>
            <w:pPr>
              <w:spacing w:line="240" w:lineRule="auto"/>
            </w:pPr>
            <w:r/>
          </w:p>
        </w:tc>
        <w:tc>
          <w:tcPr>
            <w:tcW w:type="dxa" w:w="1337"/>
          </w:tcPr>
          <w:p>
            <w:pPr>
              <w:spacing w:line="240" w:lineRule="auto"/>
              <w:jc w:val="right"/>
            </w:pPr>
            <w:r/>
            <w:r>
              <w:rPr>
                <w:rFonts w:ascii="Garamond" w:hAnsi="Garamond"/>
                <w:sz w:val="16"/>
              </w:rPr>
              <w:t>0.65</w:t>
            </w:r>
          </w:p>
        </w:tc>
        <w:tc>
          <w:tcPr>
            <w:tcW w:type="dxa" w:w="1337"/>
          </w:tcPr>
          <w:p>
            <w:pPr>
              <w:spacing w:line="240" w:lineRule="auto"/>
              <w:jc w:val="right"/>
            </w:pPr>
            <w:r/>
            <w:r>
              <w:rPr>
                <w:rFonts w:ascii="Garamond" w:hAnsi="Garamond"/>
                <w:sz w:val="16"/>
              </w:rPr>
              <w:t>83.9%</w:t>
            </w:r>
          </w:p>
        </w:tc>
        <w:tc>
          <w:tcPr>
            <w:tcW w:type="dxa" w:w="1337"/>
          </w:tcPr>
          <w:p>
            <w:pPr>
              <w:spacing w:line="240" w:lineRule="auto"/>
            </w:pPr>
            <w:r/>
          </w:p>
        </w:tc>
      </w:tr>
      <w:tr>
        <w:tc>
          <w:tcPr>
            <w:tcW w:type="dxa" w:w="1337"/>
          </w:tcPr>
          <w:p>
            <w:pPr>
              <w:spacing w:line="240" w:lineRule="auto"/>
            </w:pPr>
            <w:r/>
            <w:r>
              <w:rPr>
                <w:rFonts w:ascii="Garamond" w:hAnsi="Garamond"/>
                <w:sz w:val="16"/>
              </w:rPr>
              <w:t>All arm's-length county sales, 2014 to 2025</w:t>
            </w:r>
          </w:p>
        </w:tc>
        <w:tc>
          <w:tcPr>
            <w:tcW w:type="dxa" w:w="1337"/>
          </w:tcPr>
          <w:p>
            <w:pPr>
              <w:spacing w:line="240" w:lineRule="auto"/>
            </w:pPr>
            <w:r/>
          </w:p>
        </w:tc>
        <w:tc>
          <w:tcPr>
            <w:tcW w:type="dxa" w:w="1337"/>
          </w:tcPr>
          <w:p>
            <w:pPr>
              <w:spacing w:line="240" w:lineRule="auto"/>
              <w:jc w:val="right"/>
            </w:pPr>
            <w:r/>
            <w:r>
              <w:rPr>
                <w:rFonts w:ascii="Garamond" w:hAnsi="Garamond"/>
                <w:sz w:val="16"/>
              </w:rPr>
              <w:t>$285,000</w:t>
            </w:r>
          </w:p>
        </w:tc>
        <w:tc>
          <w:tcPr>
            <w:tcW w:type="dxa" w:w="1337"/>
          </w:tcPr>
          <w:p>
            <w:pPr>
              <w:spacing w:line="240" w:lineRule="auto"/>
            </w:pPr>
            <w:r/>
          </w:p>
        </w:tc>
        <w:tc>
          <w:tcPr>
            <w:tcW w:type="dxa" w:w="1337"/>
          </w:tcPr>
          <w:p>
            <w:pPr>
              <w:spacing w:line="240" w:lineRule="auto"/>
            </w:pPr>
            <w:r/>
          </w:p>
        </w:tc>
        <w:tc>
          <w:tcPr>
            <w:tcW w:type="dxa" w:w="1337"/>
          </w:tcPr>
          <w:p>
            <w:pPr>
              <w:spacing w:line="240" w:lineRule="auto"/>
            </w:pPr>
            <w:r/>
          </w:p>
        </w:tc>
        <w:tc>
          <w:tcPr>
            <w:tcW w:type="dxa" w:w="1337"/>
          </w:tcPr>
          <w:p>
            <w:pPr>
              <w:spacing w:line="240" w:lineRule="auto"/>
            </w:pPr>
            <w:r/>
          </w:p>
        </w:tc>
      </w:tr>
    </w:tbl>
    <w:p>
      <w:pPr>
        <w:spacing w:after="0"/>
      </w:pP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Year</w:t>
            </w:r>
          </w:p>
        </w:tc>
        <w:tc>
          <w:tcPr>
            <w:tcW w:type="dxa" w:w="2340"/>
            <w:tcBorders>
              <w:bottom w:val="single" w:sz="4" w:color="000000"/>
            </w:tcBorders>
          </w:tcPr>
          <w:p>
            <w:pPr>
              <w:spacing w:line="240" w:lineRule="auto"/>
            </w:pPr>
            <w:r>
              <w:rPr>
                <w:b/>
              </w:rPr>
            </w:r>
            <w:r>
              <w:rPr>
                <w:rFonts w:ascii="Garamond" w:hAnsi="Garamond"/>
                <w:b/>
                <w:sz w:val="18"/>
              </w:rPr>
              <w:t>Operators' median price</w:t>
            </w:r>
          </w:p>
        </w:tc>
        <w:tc>
          <w:tcPr>
            <w:tcW w:type="dxa" w:w="2340"/>
            <w:tcBorders>
              <w:bottom w:val="single" w:sz="4" w:color="000000"/>
            </w:tcBorders>
          </w:tcPr>
          <w:p>
            <w:pPr>
              <w:spacing w:line="240" w:lineRule="auto"/>
            </w:pPr>
            <w:r>
              <w:rPr>
                <w:b/>
              </w:rPr>
            </w:r>
            <w:r>
              <w:rPr>
                <w:rFonts w:ascii="Garamond" w:hAnsi="Garamond"/>
                <w:b/>
                <w:sz w:val="18"/>
              </w:rPr>
              <w:t>County median price</w:t>
            </w:r>
          </w:p>
        </w:tc>
        <w:tc>
          <w:tcPr>
            <w:tcW w:type="dxa" w:w="2340"/>
            <w:tcBorders>
              <w:bottom w:val="single" w:sz="4" w:color="000000"/>
            </w:tcBorders>
          </w:tcPr>
          <w:p>
            <w:pPr>
              <w:spacing w:line="240" w:lineRule="auto"/>
            </w:pPr>
            <w:r>
              <w:rPr>
                <w:b/>
              </w:rPr>
            </w:r>
            <w:r>
              <w:rPr>
                <w:rFonts w:ascii="Garamond" w:hAnsi="Garamond"/>
                <w:b/>
                <w:sz w:val="18"/>
              </w:rPr>
              <w:t>Operator deeds</w:t>
            </w:r>
          </w:p>
        </w:tc>
      </w:tr>
      <w:tr>
        <w:tc>
          <w:tcPr>
            <w:tcW w:type="dxa" w:w="2340"/>
          </w:tcPr>
          <w:p>
            <w:pPr>
              <w:spacing w:line="240" w:lineRule="auto"/>
            </w:pPr>
            <w:r/>
            <w:r>
              <w:rPr>
                <w:rFonts w:ascii="Garamond" w:hAnsi="Garamond"/>
                <w:sz w:val="18"/>
              </w:rPr>
              <w:t>2014</w:t>
            </w:r>
          </w:p>
        </w:tc>
        <w:tc>
          <w:tcPr>
            <w:tcW w:type="dxa" w:w="2340"/>
          </w:tcPr>
          <w:p>
            <w:pPr>
              <w:spacing w:line="240" w:lineRule="auto"/>
              <w:jc w:val="right"/>
            </w:pPr>
            <w:r/>
            <w:r>
              <w:rPr>
                <w:rFonts w:ascii="Garamond" w:hAnsi="Garamond"/>
                <w:sz w:val="18"/>
              </w:rPr>
              <w:t>$172,750</w:t>
            </w:r>
          </w:p>
        </w:tc>
        <w:tc>
          <w:tcPr>
            <w:tcW w:type="dxa" w:w="2340"/>
          </w:tcPr>
          <w:p>
            <w:pPr>
              <w:spacing w:line="240" w:lineRule="auto"/>
              <w:jc w:val="right"/>
            </w:pPr>
            <w:r/>
            <w:r>
              <w:rPr>
                <w:rFonts w:ascii="Garamond" w:hAnsi="Garamond"/>
                <w:sz w:val="18"/>
              </w:rPr>
              <w:t>$155,000</w:t>
            </w:r>
          </w:p>
        </w:tc>
        <w:tc>
          <w:tcPr>
            <w:tcW w:type="dxa" w:w="2340"/>
          </w:tcPr>
          <w:p>
            <w:pPr>
              <w:spacing w:line="240" w:lineRule="auto"/>
              <w:jc w:val="right"/>
            </w:pPr>
            <w:r/>
            <w:r>
              <w:rPr>
                <w:rFonts w:ascii="Garamond" w:hAnsi="Garamond"/>
                <w:sz w:val="18"/>
              </w:rPr>
              <w:t>258</w:t>
            </w:r>
          </w:p>
        </w:tc>
      </w:tr>
      <w:tr>
        <w:tc>
          <w:tcPr>
            <w:tcW w:type="dxa" w:w="2340"/>
          </w:tcPr>
          <w:p>
            <w:pPr>
              <w:spacing w:line="240" w:lineRule="auto"/>
            </w:pPr>
            <w:r/>
            <w:r>
              <w:rPr>
                <w:rFonts w:ascii="Garamond" w:hAnsi="Garamond"/>
                <w:sz w:val="18"/>
              </w:rPr>
              <w:t>2015</w:t>
            </w:r>
          </w:p>
        </w:tc>
        <w:tc>
          <w:tcPr>
            <w:tcW w:type="dxa" w:w="2340"/>
          </w:tcPr>
          <w:p>
            <w:pPr>
              <w:spacing w:line="240" w:lineRule="auto"/>
              <w:jc w:val="right"/>
            </w:pPr>
            <w:r/>
            <w:r>
              <w:rPr>
                <w:rFonts w:ascii="Garamond" w:hAnsi="Garamond"/>
                <w:sz w:val="18"/>
              </w:rPr>
              <w:t>$180,500</w:t>
            </w:r>
          </w:p>
        </w:tc>
        <w:tc>
          <w:tcPr>
            <w:tcW w:type="dxa" w:w="2340"/>
          </w:tcPr>
          <w:p>
            <w:pPr>
              <w:spacing w:line="240" w:lineRule="auto"/>
              <w:jc w:val="right"/>
            </w:pPr>
            <w:r/>
            <w:r>
              <w:rPr>
                <w:rFonts w:ascii="Garamond" w:hAnsi="Garamond"/>
                <w:sz w:val="18"/>
              </w:rPr>
              <w:t>$170,000</w:t>
            </w:r>
          </w:p>
        </w:tc>
        <w:tc>
          <w:tcPr>
            <w:tcW w:type="dxa" w:w="2340"/>
          </w:tcPr>
          <w:p>
            <w:pPr>
              <w:spacing w:line="240" w:lineRule="auto"/>
              <w:jc w:val="right"/>
            </w:pPr>
            <w:r/>
            <w:r>
              <w:rPr>
                <w:rFonts w:ascii="Garamond" w:hAnsi="Garamond"/>
                <w:sz w:val="18"/>
              </w:rPr>
              <w:t>158</w:t>
            </w:r>
          </w:p>
        </w:tc>
      </w:tr>
      <w:tr>
        <w:tc>
          <w:tcPr>
            <w:tcW w:type="dxa" w:w="2340"/>
          </w:tcPr>
          <w:p>
            <w:pPr>
              <w:spacing w:line="240" w:lineRule="auto"/>
            </w:pPr>
            <w:r/>
            <w:r>
              <w:rPr>
                <w:rFonts w:ascii="Garamond" w:hAnsi="Garamond"/>
                <w:sz w:val="18"/>
              </w:rPr>
              <w:t>2016</w:t>
            </w:r>
          </w:p>
        </w:tc>
        <w:tc>
          <w:tcPr>
            <w:tcW w:type="dxa" w:w="2340"/>
          </w:tcPr>
          <w:p>
            <w:pPr>
              <w:spacing w:line="240" w:lineRule="auto"/>
              <w:jc w:val="right"/>
            </w:pPr>
            <w:r/>
            <w:r>
              <w:rPr>
                <w:rFonts w:ascii="Garamond" w:hAnsi="Garamond"/>
                <w:sz w:val="18"/>
              </w:rPr>
              <w:t>$200,000</w:t>
            </w:r>
          </w:p>
        </w:tc>
        <w:tc>
          <w:tcPr>
            <w:tcW w:type="dxa" w:w="2340"/>
          </w:tcPr>
          <w:p>
            <w:pPr>
              <w:spacing w:line="240" w:lineRule="auto"/>
              <w:jc w:val="right"/>
            </w:pPr>
            <w:r/>
            <w:r>
              <w:rPr>
                <w:rFonts w:ascii="Garamond" w:hAnsi="Garamond"/>
                <w:sz w:val="18"/>
              </w:rPr>
              <w:t>$200,020</w:t>
            </w:r>
          </w:p>
        </w:tc>
        <w:tc>
          <w:tcPr>
            <w:tcW w:type="dxa" w:w="2340"/>
          </w:tcPr>
          <w:p>
            <w:pPr>
              <w:spacing w:line="240" w:lineRule="auto"/>
              <w:jc w:val="right"/>
            </w:pPr>
            <w:r/>
            <w:r>
              <w:rPr>
                <w:rFonts w:ascii="Garamond" w:hAnsi="Garamond"/>
                <w:sz w:val="18"/>
              </w:rPr>
              <w:t>140</w:t>
            </w:r>
          </w:p>
        </w:tc>
      </w:tr>
      <w:tr>
        <w:tc>
          <w:tcPr>
            <w:tcW w:type="dxa" w:w="2340"/>
          </w:tcPr>
          <w:p>
            <w:pPr>
              <w:spacing w:line="240" w:lineRule="auto"/>
            </w:pPr>
            <w:r/>
            <w:r>
              <w:rPr>
                <w:rFonts w:ascii="Garamond" w:hAnsi="Garamond"/>
                <w:sz w:val="18"/>
              </w:rPr>
              <w:t>2017</w:t>
            </w:r>
          </w:p>
        </w:tc>
        <w:tc>
          <w:tcPr>
            <w:tcW w:type="dxa" w:w="2340"/>
          </w:tcPr>
          <w:p>
            <w:pPr>
              <w:spacing w:line="240" w:lineRule="auto"/>
              <w:jc w:val="right"/>
            </w:pPr>
            <w:r/>
            <w:r>
              <w:rPr>
                <w:rFonts w:ascii="Garamond" w:hAnsi="Garamond"/>
                <w:sz w:val="18"/>
              </w:rPr>
              <w:t>$221,000</w:t>
            </w:r>
          </w:p>
        </w:tc>
        <w:tc>
          <w:tcPr>
            <w:tcW w:type="dxa" w:w="2340"/>
          </w:tcPr>
          <w:p>
            <w:pPr>
              <w:spacing w:line="240" w:lineRule="auto"/>
              <w:jc w:val="right"/>
            </w:pPr>
            <w:r/>
            <w:r>
              <w:rPr>
                <w:rFonts w:ascii="Garamond" w:hAnsi="Garamond"/>
                <w:sz w:val="18"/>
              </w:rPr>
              <w:t>$227,348</w:t>
            </w:r>
          </w:p>
        </w:tc>
        <w:tc>
          <w:tcPr>
            <w:tcW w:type="dxa" w:w="2340"/>
          </w:tcPr>
          <w:p>
            <w:pPr>
              <w:spacing w:line="240" w:lineRule="auto"/>
              <w:jc w:val="right"/>
            </w:pPr>
            <w:r/>
            <w:r>
              <w:rPr>
                <w:rFonts w:ascii="Garamond" w:hAnsi="Garamond"/>
                <w:sz w:val="18"/>
              </w:rPr>
              <w:t>238</w:t>
            </w:r>
          </w:p>
        </w:tc>
      </w:tr>
      <w:tr>
        <w:tc>
          <w:tcPr>
            <w:tcW w:type="dxa" w:w="2340"/>
          </w:tcPr>
          <w:p>
            <w:pPr>
              <w:spacing w:line="240" w:lineRule="auto"/>
            </w:pPr>
            <w:r/>
            <w:r>
              <w:rPr>
                <w:rFonts w:ascii="Garamond" w:hAnsi="Garamond"/>
                <w:sz w:val="18"/>
              </w:rPr>
              <w:t>2018</w:t>
            </w:r>
          </w:p>
        </w:tc>
        <w:tc>
          <w:tcPr>
            <w:tcW w:type="dxa" w:w="2340"/>
          </w:tcPr>
          <w:p>
            <w:pPr>
              <w:spacing w:line="240" w:lineRule="auto"/>
              <w:jc w:val="right"/>
            </w:pPr>
            <w:r/>
            <w:r>
              <w:rPr>
                <w:rFonts w:ascii="Garamond" w:hAnsi="Garamond"/>
                <w:sz w:val="18"/>
              </w:rPr>
              <w:t>$219,560</w:t>
            </w:r>
          </w:p>
        </w:tc>
        <w:tc>
          <w:tcPr>
            <w:tcW w:type="dxa" w:w="2340"/>
          </w:tcPr>
          <w:p>
            <w:pPr>
              <w:spacing w:line="240" w:lineRule="auto"/>
              <w:jc w:val="right"/>
            </w:pPr>
            <w:r/>
            <w:r>
              <w:rPr>
                <w:rFonts w:ascii="Garamond" w:hAnsi="Garamond"/>
                <w:sz w:val="18"/>
              </w:rPr>
              <w:t>$249,000</w:t>
            </w:r>
          </w:p>
        </w:tc>
        <w:tc>
          <w:tcPr>
            <w:tcW w:type="dxa" w:w="2340"/>
          </w:tcPr>
          <w:p>
            <w:pPr>
              <w:spacing w:line="240" w:lineRule="auto"/>
              <w:jc w:val="right"/>
            </w:pPr>
            <w:r/>
            <w:r>
              <w:rPr>
                <w:rFonts w:ascii="Garamond" w:hAnsi="Garamond"/>
                <w:sz w:val="18"/>
              </w:rPr>
              <w:t>392</w:t>
            </w:r>
          </w:p>
        </w:tc>
      </w:tr>
      <w:tr>
        <w:tc>
          <w:tcPr>
            <w:tcW w:type="dxa" w:w="2340"/>
          </w:tcPr>
          <w:p>
            <w:pPr>
              <w:spacing w:line="240" w:lineRule="auto"/>
            </w:pPr>
            <w:r/>
            <w:r>
              <w:rPr>
                <w:rFonts w:ascii="Garamond" w:hAnsi="Garamond"/>
                <w:sz w:val="18"/>
              </w:rPr>
              <w:t>2019</w:t>
            </w:r>
          </w:p>
        </w:tc>
        <w:tc>
          <w:tcPr>
            <w:tcW w:type="dxa" w:w="2340"/>
          </w:tcPr>
          <w:p>
            <w:pPr>
              <w:spacing w:line="240" w:lineRule="auto"/>
              <w:jc w:val="right"/>
            </w:pPr>
            <w:r/>
            <w:r>
              <w:rPr>
                <w:rFonts w:ascii="Garamond" w:hAnsi="Garamond"/>
                <w:sz w:val="18"/>
              </w:rPr>
              <w:t>$222,000</w:t>
            </w:r>
          </w:p>
        </w:tc>
        <w:tc>
          <w:tcPr>
            <w:tcW w:type="dxa" w:w="2340"/>
          </w:tcPr>
          <w:p>
            <w:pPr>
              <w:spacing w:line="240" w:lineRule="auto"/>
              <w:jc w:val="right"/>
            </w:pPr>
            <w:r/>
            <w:r>
              <w:rPr>
                <w:rFonts w:ascii="Garamond" w:hAnsi="Garamond"/>
                <w:sz w:val="18"/>
              </w:rPr>
              <w:t>$265,000</w:t>
            </w:r>
          </w:p>
        </w:tc>
        <w:tc>
          <w:tcPr>
            <w:tcW w:type="dxa" w:w="2340"/>
          </w:tcPr>
          <w:p>
            <w:pPr>
              <w:spacing w:line="240" w:lineRule="auto"/>
              <w:jc w:val="right"/>
            </w:pPr>
            <w:r/>
            <w:r>
              <w:rPr>
                <w:rFonts w:ascii="Garamond" w:hAnsi="Garamond"/>
                <w:sz w:val="18"/>
              </w:rPr>
              <w:t>695</w:t>
            </w:r>
          </w:p>
        </w:tc>
      </w:tr>
      <w:tr>
        <w:tc>
          <w:tcPr>
            <w:tcW w:type="dxa" w:w="2340"/>
          </w:tcPr>
          <w:p>
            <w:pPr>
              <w:spacing w:line="240" w:lineRule="auto"/>
            </w:pPr>
            <w:r/>
            <w:r>
              <w:rPr>
                <w:rFonts w:ascii="Garamond" w:hAnsi="Garamond"/>
                <w:sz w:val="18"/>
              </w:rPr>
              <w:t>2020</w:t>
            </w:r>
          </w:p>
        </w:tc>
        <w:tc>
          <w:tcPr>
            <w:tcW w:type="dxa" w:w="2340"/>
          </w:tcPr>
          <w:p>
            <w:pPr>
              <w:spacing w:line="240" w:lineRule="auto"/>
              <w:jc w:val="right"/>
            </w:pPr>
            <w:r/>
            <w:r>
              <w:rPr>
                <w:rFonts w:ascii="Garamond" w:hAnsi="Garamond"/>
                <w:sz w:val="18"/>
              </w:rPr>
              <w:t>$258,750</w:t>
            </w:r>
          </w:p>
        </w:tc>
        <w:tc>
          <w:tcPr>
            <w:tcW w:type="dxa" w:w="2340"/>
          </w:tcPr>
          <w:p>
            <w:pPr>
              <w:spacing w:line="240" w:lineRule="auto"/>
              <w:jc w:val="right"/>
            </w:pPr>
            <w:r/>
            <w:r>
              <w:rPr>
                <w:rFonts w:ascii="Garamond" w:hAnsi="Garamond"/>
                <w:sz w:val="18"/>
              </w:rPr>
              <w:t>$294,499</w:t>
            </w:r>
          </w:p>
        </w:tc>
        <w:tc>
          <w:tcPr>
            <w:tcW w:type="dxa" w:w="2340"/>
          </w:tcPr>
          <w:p>
            <w:pPr>
              <w:spacing w:line="240" w:lineRule="auto"/>
              <w:jc w:val="right"/>
            </w:pPr>
            <w:r/>
            <w:r>
              <w:rPr>
                <w:rFonts w:ascii="Garamond" w:hAnsi="Garamond"/>
                <w:sz w:val="18"/>
              </w:rPr>
              <w:t>282</w:t>
            </w:r>
          </w:p>
        </w:tc>
      </w:tr>
      <w:tr>
        <w:tc>
          <w:tcPr>
            <w:tcW w:type="dxa" w:w="2340"/>
          </w:tcPr>
          <w:p>
            <w:pPr>
              <w:spacing w:line="240" w:lineRule="auto"/>
            </w:pPr>
            <w:r/>
            <w:r>
              <w:rPr>
                <w:rFonts w:ascii="Garamond" w:hAnsi="Garamond"/>
                <w:sz w:val="18"/>
              </w:rPr>
              <w:t>2021</w:t>
            </w:r>
          </w:p>
        </w:tc>
        <w:tc>
          <w:tcPr>
            <w:tcW w:type="dxa" w:w="2340"/>
          </w:tcPr>
          <w:p>
            <w:pPr>
              <w:spacing w:line="240" w:lineRule="auto"/>
              <w:jc w:val="right"/>
            </w:pPr>
            <w:r/>
            <w:r>
              <w:rPr>
                <w:rFonts w:ascii="Garamond" w:hAnsi="Garamond"/>
                <w:sz w:val="18"/>
              </w:rPr>
              <w:t>$334,219</w:t>
            </w:r>
          </w:p>
        </w:tc>
        <w:tc>
          <w:tcPr>
            <w:tcW w:type="dxa" w:w="2340"/>
          </w:tcPr>
          <w:p>
            <w:pPr>
              <w:spacing w:line="240" w:lineRule="auto"/>
              <w:jc w:val="right"/>
            </w:pPr>
            <w:r/>
            <w:r>
              <w:rPr>
                <w:rFonts w:ascii="Garamond" w:hAnsi="Garamond"/>
                <w:sz w:val="18"/>
              </w:rPr>
              <w:t>$349,900</w:t>
            </w:r>
          </w:p>
        </w:tc>
        <w:tc>
          <w:tcPr>
            <w:tcW w:type="dxa" w:w="2340"/>
          </w:tcPr>
          <w:p>
            <w:pPr>
              <w:spacing w:line="240" w:lineRule="auto"/>
              <w:jc w:val="right"/>
            </w:pPr>
            <w:r/>
            <w:r>
              <w:rPr>
                <w:rFonts w:ascii="Garamond" w:hAnsi="Garamond"/>
                <w:sz w:val="18"/>
              </w:rPr>
              <w:t>933</w:t>
            </w:r>
          </w:p>
        </w:tc>
      </w:tr>
      <w:tr>
        <w:tc>
          <w:tcPr>
            <w:tcW w:type="dxa" w:w="2340"/>
          </w:tcPr>
          <w:p>
            <w:pPr>
              <w:spacing w:line="240" w:lineRule="auto"/>
            </w:pPr>
            <w:r/>
            <w:r>
              <w:rPr>
                <w:rFonts w:ascii="Garamond" w:hAnsi="Garamond"/>
                <w:sz w:val="18"/>
              </w:rPr>
              <w:t>2022</w:t>
            </w:r>
          </w:p>
        </w:tc>
        <w:tc>
          <w:tcPr>
            <w:tcW w:type="dxa" w:w="2340"/>
          </w:tcPr>
          <w:p>
            <w:pPr>
              <w:spacing w:line="240" w:lineRule="auto"/>
              <w:jc w:val="right"/>
            </w:pPr>
            <w:r/>
            <w:r>
              <w:rPr>
                <w:rFonts w:ascii="Garamond" w:hAnsi="Garamond"/>
                <w:sz w:val="18"/>
              </w:rPr>
              <w:t>$376,100</w:t>
            </w:r>
          </w:p>
        </w:tc>
        <w:tc>
          <w:tcPr>
            <w:tcW w:type="dxa" w:w="2340"/>
          </w:tcPr>
          <w:p>
            <w:pPr>
              <w:spacing w:line="240" w:lineRule="auto"/>
              <w:jc w:val="right"/>
            </w:pPr>
            <w:r/>
            <w:r>
              <w:rPr>
                <w:rFonts w:ascii="Garamond" w:hAnsi="Garamond"/>
                <w:sz w:val="18"/>
              </w:rPr>
              <w:t>$410,000</w:t>
            </w:r>
          </w:p>
        </w:tc>
        <w:tc>
          <w:tcPr>
            <w:tcW w:type="dxa" w:w="2340"/>
          </w:tcPr>
          <w:p>
            <w:pPr>
              <w:spacing w:line="240" w:lineRule="auto"/>
              <w:jc w:val="right"/>
            </w:pPr>
            <w:r/>
            <w:r>
              <w:rPr>
                <w:rFonts w:ascii="Garamond" w:hAnsi="Garamond"/>
                <w:sz w:val="18"/>
              </w:rPr>
              <w:t>599</w:t>
            </w:r>
          </w:p>
        </w:tc>
      </w:tr>
      <w:tr>
        <w:tc>
          <w:tcPr>
            <w:tcW w:type="dxa" w:w="2340"/>
          </w:tcPr>
          <w:p>
            <w:pPr>
              <w:spacing w:line="240" w:lineRule="auto"/>
            </w:pPr>
            <w:r/>
            <w:r>
              <w:rPr>
                <w:rFonts w:ascii="Garamond" w:hAnsi="Garamond"/>
                <w:sz w:val="18"/>
              </w:rPr>
              <w:t>2023</w:t>
            </w:r>
          </w:p>
        </w:tc>
        <w:tc>
          <w:tcPr>
            <w:tcW w:type="dxa" w:w="2340"/>
          </w:tcPr>
          <w:p>
            <w:pPr>
              <w:spacing w:line="240" w:lineRule="auto"/>
              <w:jc w:val="right"/>
            </w:pPr>
            <w:r/>
            <w:r>
              <w:rPr>
                <w:rFonts w:ascii="Garamond" w:hAnsi="Garamond"/>
                <w:sz w:val="18"/>
              </w:rPr>
              <w:t>$375,000</w:t>
            </w:r>
          </w:p>
        </w:tc>
        <w:tc>
          <w:tcPr>
            <w:tcW w:type="dxa" w:w="2340"/>
          </w:tcPr>
          <w:p>
            <w:pPr>
              <w:spacing w:line="240" w:lineRule="auto"/>
              <w:jc w:val="right"/>
            </w:pPr>
            <w:r/>
            <w:r>
              <w:rPr>
                <w:rFonts w:ascii="Garamond" w:hAnsi="Garamond"/>
                <w:sz w:val="18"/>
              </w:rPr>
              <w:t>$429,500</w:t>
            </w:r>
          </w:p>
        </w:tc>
        <w:tc>
          <w:tcPr>
            <w:tcW w:type="dxa" w:w="2340"/>
          </w:tcPr>
          <w:p>
            <w:pPr>
              <w:spacing w:line="240" w:lineRule="auto"/>
              <w:jc w:val="right"/>
            </w:pPr>
            <w:r/>
            <w:r>
              <w:rPr>
                <w:rFonts w:ascii="Garamond" w:hAnsi="Garamond"/>
                <w:sz w:val="18"/>
              </w:rPr>
              <w:t>197</w:t>
            </w:r>
          </w:p>
        </w:tc>
      </w:tr>
      <w:tr>
        <w:tc>
          <w:tcPr>
            <w:tcW w:type="dxa" w:w="2340"/>
          </w:tcPr>
          <w:p>
            <w:pPr>
              <w:spacing w:line="240" w:lineRule="auto"/>
            </w:pPr>
            <w:r/>
            <w:r>
              <w:rPr>
                <w:rFonts w:ascii="Garamond" w:hAnsi="Garamond"/>
                <w:sz w:val="18"/>
              </w:rPr>
              <w:t>2024</w:t>
            </w:r>
          </w:p>
        </w:tc>
        <w:tc>
          <w:tcPr>
            <w:tcW w:type="dxa" w:w="2340"/>
          </w:tcPr>
          <w:p>
            <w:pPr>
              <w:spacing w:line="240" w:lineRule="auto"/>
              <w:jc w:val="right"/>
            </w:pPr>
            <w:r/>
            <w:r>
              <w:rPr>
                <w:rFonts w:ascii="Garamond" w:hAnsi="Garamond"/>
                <w:sz w:val="18"/>
              </w:rPr>
              <w:t>$325,000</w:t>
            </w:r>
          </w:p>
        </w:tc>
        <w:tc>
          <w:tcPr>
            <w:tcW w:type="dxa" w:w="2340"/>
          </w:tcPr>
          <w:p>
            <w:pPr>
              <w:spacing w:line="240" w:lineRule="auto"/>
              <w:jc w:val="right"/>
            </w:pPr>
            <w:r/>
            <w:r>
              <w:rPr>
                <w:rFonts w:ascii="Garamond" w:hAnsi="Garamond"/>
                <w:sz w:val="18"/>
              </w:rPr>
              <w:t>$445,000</w:t>
            </w:r>
          </w:p>
        </w:tc>
        <w:tc>
          <w:tcPr>
            <w:tcW w:type="dxa" w:w="2340"/>
          </w:tcPr>
          <w:p>
            <w:pPr>
              <w:spacing w:line="240" w:lineRule="auto"/>
              <w:jc w:val="right"/>
            </w:pPr>
            <w:r/>
            <w:r>
              <w:rPr>
                <w:rFonts w:ascii="Garamond" w:hAnsi="Garamond"/>
                <w:sz w:val="18"/>
              </w:rPr>
              <w:t>67</w:t>
            </w:r>
          </w:p>
        </w:tc>
      </w:tr>
      <w:tr>
        <w:tc>
          <w:tcPr>
            <w:tcW w:type="dxa" w:w="2340"/>
          </w:tcPr>
          <w:p>
            <w:pPr>
              <w:spacing w:line="240" w:lineRule="auto"/>
            </w:pPr>
            <w:r/>
            <w:r>
              <w:rPr>
                <w:rFonts w:ascii="Garamond" w:hAnsi="Garamond"/>
                <w:sz w:val="18"/>
              </w:rPr>
              <w:t>2025</w:t>
            </w:r>
          </w:p>
        </w:tc>
        <w:tc>
          <w:tcPr>
            <w:tcW w:type="dxa" w:w="2340"/>
          </w:tcPr>
          <w:p>
            <w:pPr>
              <w:spacing w:line="240" w:lineRule="auto"/>
              <w:jc w:val="right"/>
            </w:pPr>
            <w:r/>
            <w:r>
              <w:rPr>
                <w:rFonts w:ascii="Garamond" w:hAnsi="Garamond"/>
                <w:sz w:val="18"/>
              </w:rPr>
              <w:t>$231,132</w:t>
            </w:r>
          </w:p>
        </w:tc>
        <w:tc>
          <w:tcPr>
            <w:tcW w:type="dxa" w:w="2340"/>
          </w:tcPr>
          <w:p>
            <w:pPr>
              <w:spacing w:line="240" w:lineRule="auto"/>
              <w:jc w:val="right"/>
            </w:pPr>
            <w:r/>
            <w:r>
              <w:rPr>
                <w:rFonts w:ascii="Garamond" w:hAnsi="Garamond"/>
                <w:sz w:val="18"/>
              </w:rPr>
              <w:t>$448,000</w:t>
            </w:r>
          </w:p>
        </w:tc>
        <w:tc>
          <w:tcPr>
            <w:tcW w:type="dxa" w:w="2340"/>
          </w:tcPr>
          <w:p>
            <w:pPr>
              <w:spacing w:line="240" w:lineRule="auto"/>
              <w:jc w:val="right"/>
            </w:pPr>
            <w:r/>
            <w:r>
              <w:rPr>
                <w:rFonts w:ascii="Garamond" w:hAnsi="Garamond"/>
                <w:sz w:val="18"/>
              </w:rPr>
              <w:t>108</w:t>
            </w:r>
          </w:p>
        </w:tc>
      </w:tr>
    </w:tbl>
    <w:p>
      <w:pPr>
        <w:spacing w:after="0"/>
      </w:pPr>
    </w:p>
    <w:p>
      <w:pPr>
        <w:spacing w:line="240" w:lineRule="auto" w:before="0" w:after="120"/>
      </w:pPr>
      <w:r>
        <w:rPr>
          <w:rFonts w:ascii="Garamond" w:hAnsi="Garamond"/>
          <w:i/>
          <w:sz w:val="19"/>
        </w:rPr>
        <w:t>Notes: Sources: Metro Nashville ParcelHistory ownership register, https://maps.nashville.gov/arcgis2/rest/services/Parcels/ParcelHistory/MapServer/2, arm's-length deeds to crosswalk-attributed grantees with multi-parcel consideration allocated evenly across parcels; county appraisals from Cadastral Layer 4; tract median home value and owner-occupancy from the American Community Survey 2020 to 2024. American Homes 4 Rent's low median reflects its purchases of lots and partially built homes through its development subsidiaries. VineBrook's 2025 figures reflect a single 106-parcel townhome purchase in one renter-majority tract. Operator deed counts exceed current holdings where homes have since been sold.</w:t>
      </w:r>
    </w:p>
    <w:p>
      <w:pPr>
        <w:pStyle w:val="Heading2"/>
      </w:pPr>
      <w:r>
        <w:t>Table A9. Net Acquisitions of Framework Parcels by the Nine Largest Single-Family Rental Operators, 2012 to 2025</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851"/>
        <w:gridCol w:w="851"/>
        <w:gridCol w:w="851"/>
        <w:gridCol w:w="851"/>
        <w:gridCol w:w="851"/>
        <w:gridCol w:w="851"/>
        <w:gridCol w:w="851"/>
        <w:gridCol w:w="851"/>
        <w:gridCol w:w="851"/>
        <w:gridCol w:w="851"/>
        <w:gridCol w:w="851"/>
      </w:tblGrid>
      <w:tr>
        <w:tc>
          <w:tcPr>
            <w:tcW w:type="dxa" w:w="851"/>
            <w:tcBorders>
              <w:bottom w:val="single" w:sz="4" w:color="000000"/>
            </w:tcBorders>
          </w:tcPr>
          <w:p>
            <w:pPr>
              <w:spacing w:line="240" w:lineRule="auto"/>
            </w:pPr>
            <w:r>
              <w:rPr>
                <w:b/>
              </w:rPr>
            </w:r>
            <w:r>
              <w:rPr>
                <w:rFonts w:ascii="Garamond" w:hAnsi="Garamond"/>
                <w:b/>
                <w:sz w:val="16"/>
              </w:rPr>
              <w:t>Year</w:t>
            </w:r>
          </w:p>
        </w:tc>
        <w:tc>
          <w:tcPr>
            <w:tcW w:type="dxa" w:w="851"/>
            <w:tcBorders>
              <w:bottom w:val="single" w:sz="4" w:color="000000"/>
            </w:tcBorders>
          </w:tcPr>
          <w:p>
            <w:pPr>
              <w:spacing w:line="240" w:lineRule="auto"/>
            </w:pPr>
            <w:r>
              <w:rPr>
                <w:b/>
              </w:rPr>
            </w:r>
            <w:r>
              <w:rPr>
                <w:rFonts w:ascii="Garamond" w:hAnsi="Garamond"/>
                <w:b/>
                <w:sz w:val="16"/>
              </w:rPr>
              <w:t>Progress</w:t>
            </w:r>
          </w:p>
        </w:tc>
        <w:tc>
          <w:tcPr>
            <w:tcW w:type="dxa" w:w="851"/>
            <w:tcBorders>
              <w:bottom w:val="single" w:sz="4" w:color="000000"/>
            </w:tcBorders>
          </w:tcPr>
          <w:p>
            <w:pPr>
              <w:spacing w:line="240" w:lineRule="auto"/>
            </w:pPr>
            <w:r>
              <w:rPr>
                <w:b/>
              </w:rPr>
            </w:r>
            <w:r>
              <w:rPr>
                <w:rFonts w:ascii="Garamond" w:hAnsi="Garamond"/>
                <w:b/>
                <w:sz w:val="16"/>
              </w:rPr>
              <w:t>American Homes 4 Rent</w:t>
            </w:r>
          </w:p>
        </w:tc>
        <w:tc>
          <w:tcPr>
            <w:tcW w:type="dxa" w:w="851"/>
            <w:tcBorders>
              <w:bottom w:val="single" w:sz="4" w:color="000000"/>
            </w:tcBorders>
          </w:tcPr>
          <w:p>
            <w:pPr>
              <w:spacing w:line="240" w:lineRule="auto"/>
            </w:pPr>
            <w:r>
              <w:rPr>
                <w:b/>
              </w:rPr>
            </w:r>
            <w:r>
              <w:rPr>
                <w:rFonts w:ascii="Garamond" w:hAnsi="Garamond"/>
                <w:b/>
                <w:sz w:val="16"/>
              </w:rPr>
              <w:t>Amherst</w:t>
            </w:r>
          </w:p>
        </w:tc>
        <w:tc>
          <w:tcPr>
            <w:tcW w:type="dxa" w:w="851"/>
            <w:tcBorders>
              <w:bottom w:val="single" w:sz="4" w:color="000000"/>
            </w:tcBorders>
          </w:tcPr>
          <w:p>
            <w:pPr>
              <w:spacing w:line="240" w:lineRule="auto"/>
            </w:pPr>
            <w:r>
              <w:rPr>
                <w:b/>
              </w:rPr>
            </w:r>
            <w:r>
              <w:rPr>
                <w:rFonts w:ascii="Garamond" w:hAnsi="Garamond"/>
                <w:b/>
                <w:sz w:val="16"/>
              </w:rPr>
              <w:t>Tricon</w:t>
            </w:r>
          </w:p>
        </w:tc>
        <w:tc>
          <w:tcPr>
            <w:tcW w:type="dxa" w:w="851"/>
            <w:tcBorders>
              <w:bottom w:val="single" w:sz="4" w:color="000000"/>
            </w:tcBorders>
          </w:tcPr>
          <w:p>
            <w:pPr>
              <w:spacing w:line="240" w:lineRule="auto"/>
            </w:pPr>
            <w:r>
              <w:rPr>
                <w:b/>
              </w:rPr>
            </w:r>
            <w:r>
              <w:rPr>
                <w:rFonts w:ascii="Garamond" w:hAnsi="Garamond"/>
                <w:b/>
                <w:sz w:val="16"/>
              </w:rPr>
              <w:t>Starwood</w:t>
            </w:r>
          </w:p>
        </w:tc>
        <w:tc>
          <w:tcPr>
            <w:tcW w:type="dxa" w:w="851"/>
            <w:tcBorders>
              <w:bottom w:val="single" w:sz="4" w:color="000000"/>
            </w:tcBorders>
          </w:tcPr>
          <w:p>
            <w:pPr>
              <w:spacing w:line="240" w:lineRule="auto"/>
            </w:pPr>
            <w:r>
              <w:rPr>
                <w:b/>
              </w:rPr>
            </w:r>
            <w:r>
              <w:rPr>
                <w:rFonts w:ascii="Garamond" w:hAnsi="Garamond"/>
                <w:b/>
                <w:sz w:val="16"/>
              </w:rPr>
              <w:t>FirstKey</w:t>
            </w:r>
          </w:p>
        </w:tc>
        <w:tc>
          <w:tcPr>
            <w:tcW w:type="dxa" w:w="851"/>
            <w:tcBorders>
              <w:bottom w:val="single" w:sz="4" w:color="000000"/>
            </w:tcBorders>
          </w:tcPr>
          <w:p>
            <w:pPr>
              <w:spacing w:line="240" w:lineRule="auto"/>
            </w:pPr>
            <w:r>
              <w:rPr>
                <w:b/>
              </w:rPr>
            </w:r>
            <w:r>
              <w:rPr>
                <w:rFonts w:ascii="Garamond" w:hAnsi="Garamond"/>
                <w:b/>
                <w:sz w:val="16"/>
              </w:rPr>
              <w:t>VineBrook</w:t>
            </w:r>
          </w:p>
        </w:tc>
        <w:tc>
          <w:tcPr>
            <w:tcW w:type="dxa" w:w="851"/>
            <w:tcBorders>
              <w:bottom w:val="single" w:sz="4" w:color="000000"/>
            </w:tcBorders>
          </w:tcPr>
          <w:p>
            <w:pPr>
              <w:spacing w:line="240" w:lineRule="auto"/>
            </w:pPr>
            <w:r>
              <w:rPr>
                <w:b/>
              </w:rPr>
            </w:r>
            <w:r>
              <w:rPr>
                <w:rFonts w:ascii="Garamond" w:hAnsi="Garamond"/>
                <w:b/>
                <w:sz w:val="16"/>
              </w:rPr>
              <w:t>Maymont</w:t>
            </w:r>
          </w:p>
        </w:tc>
        <w:tc>
          <w:tcPr>
            <w:tcW w:type="dxa" w:w="851"/>
            <w:tcBorders>
              <w:bottom w:val="single" w:sz="4" w:color="000000"/>
            </w:tcBorders>
          </w:tcPr>
          <w:p>
            <w:pPr>
              <w:spacing w:line="240" w:lineRule="auto"/>
            </w:pPr>
            <w:r>
              <w:rPr>
                <w:b/>
              </w:rPr>
            </w:r>
            <w:r>
              <w:rPr>
                <w:rFonts w:ascii="Garamond" w:hAnsi="Garamond"/>
                <w:b/>
                <w:sz w:val="16"/>
              </w:rPr>
              <w:t>My Community Homes</w:t>
            </w:r>
          </w:p>
        </w:tc>
        <w:tc>
          <w:tcPr>
            <w:tcW w:type="dxa" w:w="851"/>
            <w:tcBorders>
              <w:bottom w:val="single" w:sz="4" w:color="000000"/>
            </w:tcBorders>
          </w:tcPr>
          <w:p>
            <w:pPr>
              <w:spacing w:line="240" w:lineRule="auto"/>
            </w:pPr>
            <w:r>
              <w:rPr>
                <w:b/>
              </w:rPr>
            </w:r>
            <w:r>
              <w:rPr>
                <w:rFonts w:ascii="Garamond" w:hAnsi="Garamond"/>
                <w:b/>
                <w:sz w:val="16"/>
              </w:rPr>
              <w:t>Nine-operator total</w:t>
            </w:r>
          </w:p>
        </w:tc>
      </w:tr>
      <w:tr>
        <w:tc>
          <w:tcPr>
            <w:tcW w:type="dxa" w:w="851"/>
          </w:tcPr>
          <w:p>
            <w:pPr>
              <w:spacing w:line="240" w:lineRule="auto"/>
            </w:pPr>
            <w:r/>
            <w:r>
              <w:rPr>
                <w:rFonts w:ascii="Garamond" w:hAnsi="Garamond"/>
                <w:sz w:val="16"/>
              </w:rPr>
              <w:t>2012</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69</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pPr>
            <w:r/>
            <w:r>
              <w:rPr>
                <w:rFonts w:ascii="Garamond" w:hAnsi="Garamond"/>
                <w:sz w:val="16"/>
              </w:rPr>
              <w:t>-1</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68</w:t>
            </w:r>
          </w:p>
        </w:tc>
      </w:tr>
      <w:tr>
        <w:tc>
          <w:tcPr>
            <w:tcW w:type="dxa" w:w="851"/>
          </w:tcPr>
          <w:p>
            <w:pPr>
              <w:spacing w:line="240" w:lineRule="auto"/>
            </w:pPr>
            <w:r/>
            <w:r>
              <w:rPr>
                <w:rFonts w:ascii="Garamond" w:hAnsi="Garamond"/>
                <w:sz w:val="16"/>
              </w:rPr>
              <w:t>2013</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106</w:t>
            </w:r>
          </w:p>
        </w:tc>
        <w:tc>
          <w:tcPr>
            <w:tcW w:type="dxa" w:w="851"/>
          </w:tcPr>
          <w:p>
            <w:pPr>
              <w:spacing w:line="240" w:lineRule="auto"/>
              <w:jc w:val="right"/>
            </w:pPr>
            <w:r/>
            <w:r>
              <w:rPr>
                <w:rFonts w:ascii="Garamond" w:hAnsi="Garamond"/>
                <w:sz w:val="16"/>
              </w:rPr>
              <w:t>42</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148</w:t>
            </w:r>
          </w:p>
        </w:tc>
      </w:tr>
      <w:tr>
        <w:tc>
          <w:tcPr>
            <w:tcW w:type="dxa" w:w="851"/>
          </w:tcPr>
          <w:p>
            <w:pPr>
              <w:spacing w:line="240" w:lineRule="auto"/>
            </w:pPr>
            <w:r/>
            <w:r>
              <w:rPr>
                <w:rFonts w:ascii="Garamond" w:hAnsi="Garamond"/>
                <w:sz w:val="16"/>
              </w:rPr>
              <w:t>2014</w:t>
            </w:r>
          </w:p>
        </w:tc>
        <w:tc>
          <w:tcPr>
            <w:tcW w:type="dxa" w:w="851"/>
          </w:tcPr>
          <w:p>
            <w:pPr>
              <w:spacing w:line="240" w:lineRule="auto"/>
              <w:jc w:val="right"/>
            </w:pPr>
            <w:r/>
            <w:r>
              <w:rPr>
                <w:rFonts w:ascii="Garamond" w:hAnsi="Garamond"/>
                <w:sz w:val="16"/>
              </w:rPr>
              <w:t>34</w:t>
            </w:r>
          </w:p>
        </w:tc>
        <w:tc>
          <w:tcPr>
            <w:tcW w:type="dxa" w:w="851"/>
          </w:tcPr>
          <w:p>
            <w:pPr>
              <w:spacing w:line="240" w:lineRule="auto"/>
              <w:jc w:val="right"/>
            </w:pPr>
            <w:r/>
            <w:r>
              <w:rPr>
                <w:rFonts w:ascii="Garamond" w:hAnsi="Garamond"/>
                <w:sz w:val="16"/>
              </w:rPr>
              <w:t>256</w:t>
            </w:r>
          </w:p>
        </w:tc>
        <w:tc>
          <w:tcPr>
            <w:tcW w:type="dxa" w:w="851"/>
          </w:tcPr>
          <w:p>
            <w:pPr>
              <w:spacing w:line="240" w:lineRule="auto"/>
              <w:jc w:val="right"/>
            </w:pPr>
            <w:r/>
            <w:r>
              <w:rPr>
                <w:rFonts w:ascii="Garamond" w:hAnsi="Garamond"/>
                <w:sz w:val="16"/>
              </w:rPr>
              <w:t>31</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pPr>
            <w:r/>
            <w:r>
              <w:rPr>
                <w:rFonts w:ascii="Garamond" w:hAnsi="Garamond"/>
                <w:sz w:val="16"/>
              </w:rPr>
              <w:t>-2</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319</w:t>
            </w:r>
          </w:p>
        </w:tc>
      </w:tr>
      <w:tr>
        <w:tc>
          <w:tcPr>
            <w:tcW w:type="dxa" w:w="851"/>
          </w:tcPr>
          <w:p>
            <w:pPr>
              <w:spacing w:line="240" w:lineRule="auto"/>
            </w:pPr>
            <w:r/>
            <w:r>
              <w:rPr>
                <w:rFonts w:ascii="Garamond" w:hAnsi="Garamond"/>
                <w:sz w:val="16"/>
              </w:rPr>
              <w:t>2015</w:t>
            </w:r>
          </w:p>
        </w:tc>
        <w:tc>
          <w:tcPr>
            <w:tcW w:type="dxa" w:w="851"/>
          </w:tcPr>
          <w:p>
            <w:pPr>
              <w:spacing w:line="240" w:lineRule="auto"/>
              <w:jc w:val="right"/>
            </w:pPr>
            <w:r/>
            <w:r>
              <w:rPr>
                <w:rFonts w:ascii="Garamond" w:hAnsi="Garamond"/>
                <w:sz w:val="16"/>
              </w:rPr>
              <w:t>30</w:t>
            </w:r>
          </w:p>
        </w:tc>
        <w:tc>
          <w:tcPr>
            <w:tcW w:type="dxa" w:w="851"/>
          </w:tcPr>
          <w:p>
            <w:pPr>
              <w:spacing w:line="240" w:lineRule="auto"/>
              <w:jc w:val="right"/>
            </w:pPr>
            <w:r/>
            <w:r>
              <w:rPr>
                <w:rFonts w:ascii="Garamond" w:hAnsi="Garamond"/>
                <w:sz w:val="16"/>
              </w:rPr>
              <w:t>72</w:t>
            </w:r>
          </w:p>
        </w:tc>
        <w:tc>
          <w:tcPr>
            <w:tcW w:type="dxa" w:w="851"/>
          </w:tcPr>
          <w:p>
            <w:pPr>
              <w:spacing w:line="240" w:lineRule="auto"/>
              <w:jc w:val="right"/>
            </w:pPr>
            <w:r/>
            <w:r>
              <w:rPr>
                <w:rFonts w:ascii="Garamond" w:hAnsi="Garamond"/>
                <w:sz w:val="16"/>
              </w:rPr>
              <w:t>5</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2</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109</w:t>
            </w:r>
          </w:p>
        </w:tc>
      </w:tr>
      <w:tr>
        <w:tc>
          <w:tcPr>
            <w:tcW w:type="dxa" w:w="851"/>
          </w:tcPr>
          <w:p>
            <w:pPr>
              <w:spacing w:line="240" w:lineRule="auto"/>
            </w:pPr>
            <w:r/>
            <w:r>
              <w:rPr>
                <w:rFonts w:ascii="Garamond" w:hAnsi="Garamond"/>
                <w:sz w:val="16"/>
              </w:rPr>
              <w:t>2016</w:t>
            </w:r>
          </w:p>
        </w:tc>
        <w:tc>
          <w:tcPr>
            <w:tcW w:type="dxa" w:w="851"/>
          </w:tcPr>
          <w:p>
            <w:pPr>
              <w:spacing w:line="240" w:lineRule="auto"/>
              <w:jc w:val="right"/>
            </w:pPr>
            <w:r/>
            <w:r>
              <w:rPr>
                <w:rFonts w:ascii="Garamond" w:hAnsi="Garamond"/>
                <w:sz w:val="16"/>
              </w:rPr>
              <w:t>82</w:t>
            </w:r>
          </w:p>
        </w:tc>
        <w:tc>
          <w:tcPr>
            <w:tcW w:type="dxa" w:w="851"/>
          </w:tcPr>
          <w:p>
            <w:pPr>
              <w:spacing w:line="240" w:lineRule="auto"/>
              <w:jc w:val="right"/>
            </w:pPr>
            <w:r/>
            <w:r>
              <w:rPr>
                <w:rFonts w:ascii="Garamond" w:hAnsi="Garamond"/>
                <w:sz w:val="16"/>
              </w:rPr>
              <w:t>22</w:t>
            </w:r>
          </w:p>
        </w:tc>
        <w:tc>
          <w:tcPr>
            <w:tcW w:type="dxa" w:w="851"/>
          </w:tcPr>
          <w:p>
            <w:pPr>
              <w:spacing w:line="240" w:lineRule="auto"/>
            </w:pPr>
            <w:r/>
            <w:r>
              <w:rPr>
                <w:rFonts w:ascii="Garamond" w:hAnsi="Garamond"/>
                <w:sz w:val="16"/>
              </w:rPr>
              <w:t>-52</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1</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53</w:t>
            </w:r>
          </w:p>
        </w:tc>
      </w:tr>
      <w:tr>
        <w:tc>
          <w:tcPr>
            <w:tcW w:type="dxa" w:w="851"/>
          </w:tcPr>
          <w:p>
            <w:pPr>
              <w:spacing w:line="240" w:lineRule="auto"/>
            </w:pPr>
            <w:r/>
            <w:r>
              <w:rPr>
                <w:rFonts w:ascii="Garamond" w:hAnsi="Garamond"/>
                <w:sz w:val="16"/>
              </w:rPr>
              <w:t>2017</w:t>
            </w:r>
          </w:p>
        </w:tc>
        <w:tc>
          <w:tcPr>
            <w:tcW w:type="dxa" w:w="851"/>
          </w:tcPr>
          <w:p>
            <w:pPr>
              <w:spacing w:line="240" w:lineRule="auto"/>
              <w:jc w:val="right"/>
            </w:pPr>
            <w:r/>
            <w:r>
              <w:rPr>
                <w:rFonts w:ascii="Garamond" w:hAnsi="Garamond"/>
                <w:sz w:val="16"/>
              </w:rPr>
              <w:t>92</w:t>
            </w:r>
          </w:p>
        </w:tc>
        <w:tc>
          <w:tcPr>
            <w:tcW w:type="dxa" w:w="851"/>
          </w:tcPr>
          <w:p>
            <w:pPr>
              <w:spacing w:line="240" w:lineRule="auto"/>
              <w:jc w:val="right"/>
            </w:pPr>
            <w:r/>
            <w:r>
              <w:rPr>
                <w:rFonts w:ascii="Garamond" w:hAnsi="Garamond"/>
                <w:sz w:val="16"/>
              </w:rPr>
              <w:t>47</w:t>
            </w:r>
          </w:p>
        </w:tc>
        <w:tc>
          <w:tcPr>
            <w:tcW w:type="dxa" w:w="851"/>
          </w:tcPr>
          <w:p>
            <w:pPr>
              <w:spacing w:line="240" w:lineRule="auto"/>
              <w:jc w:val="right"/>
            </w:pPr>
            <w:r/>
            <w:r>
              <w:rPr>
                <w:rFonts w:ascii="Garamond" w:hAnsi="Garamond"/>
                <w:sz w:val="16"/>
              </w:rPr>
              <w:t>53</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2</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194</w:t>
            </w:r>
          </w:p>
        </w:tc>
      </w:tr>
      <w:tr>
        <w:tc>
          <w:tcPr>
            <w:tcW w:type="dxa" w:w="851"/>
          </w:tcPr>
          <w:p>
            <w:pPr>
              <w:spacing w:line="240" w:lineRule="auto"/>
            </w:pPr>
            <w:r/>
            <w:r>
              <w:rPr>
                <w:rFonts w:ascii="Garamond" w:hAnsi="Garamond"/>
                <w:sz w:val="16"/>
              </w:rPr>
              <w:t>2018</w:t>
            </w:r>
          </w:p>
        </w:tc>
        <w:tc>
          <w:tcPr>
            <w:tcW w:type="dxa" w:w="851"/>
          </w:tcPr>
          <w:p>
            <w:pPr>
              <w:spacing w:line="240" w:lineRule="auto"/>
              <w:jc w:val="right"/>
            </w:pPr>
            <w:r/>
            <w:r>
              <w:rPr>
                <w:rFonts w:ascii="Garamond" w:hAnsi="Garamond"/>
                <w:sz w:val="16"/>
              </w:rPr>
              <w:t>256</w:t>
            </w:r>
          </w:p>
        </w:tc>
        <w:tc>
          <w:tcPr>
            <w:tcW w:type="dxa" w:w="851"/>
          </w:tcPr>
          <w:p>
            <w:pPr>
              <w:spacing w:line="240" w:lineRule="auto"/>
              <w:jc w:val="right"/>
            </w:pPr>
            <w:r/>
            <w:r>
              <w:rPr>
                <w:rFonts w:ascii="Garamond" w:hAnsi="Garamond"/>
                <w:sz w:val="16"/>
              </w:rPr>
              <w:t>148</w:t>
            </w:r>
          </w:p>
        </w:tc>
        <w:tc>
          <w:tcPr>
            <w:tcW w:type="dxa" w:w="851"/>
          </w:tcPr>
          <w:p>
            <w:pPr>
              <w:spacing w:line="240" w:lineRule="auto"/>
              <w:jc w:val="right"/>
            </w:pPr>
            <w:r/>
            <w:r>
              <w:rPr>
                <w:rFonts w:ascii="Garamond" w:hAnsi="Garamond"/>
                <w:sz w:val="16"/>
              </w:rPr>
              <w:t>43</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447</w:t>
            </w:r>
          </w:p>
        </w:tc>
      </w:tr>
      <w:tr>
        <w:tc>
          <w:tcPr>
            <w:tcW w:type="dxa" w:w="851"/>
          </w:tcPr>
          <w:p>
            <w:pPr>
              <w:spacing w:line="240" w:lineRule="auto"/>
            </w:pPr>
            <w:r/>
            <w:r>
              <w:rPr>
                <w:rFonts w:ascii="Garamond" w:hAnsi="Garamond"/>
                <w:sz w:val="16"/>
              </w:rPr>
              <w:t>2019</w:t>
            </w:r>
          </w:p>
        </w:tc>
        <w:tc>
          <w:tcPr>
            <w:tcW w:type="dxa" w:w="851"/>
          </w:tcPr>
          <w:p>
            <w:pPr>
              <w:spacing w:line="240" w:lineRule="auto"/>
              <w:jc w:val="right"/>
            </w:pPr>
            <w:r/>
            <w:r>
              <w:rPr>
                <w:rFonts w:ascii="Garamond" w:hAnsi="Garamond"/>
                <w:sz w:val="16"/>
              </w:rPr>
              <w:t>256</w:t>
            </w:r>
          </w:p>
        </w:tc>
        <w:tc>
          <w:tcPr>
            <w:tcW w:type="dxa" w:w="851"/>
          </w:tcPr>
          <w:p>
            <w:pPr>
              <w:spacing w:line="240" w:lineRule="auto"/>
              <w:jc w:val="right"/>
            </w:pPr>
            <w:r/>
            <w:r>
              <w:rPr>
                <w:rFonts w:ascii="Garamond" w:hAnsi="Garamond"/>
                <w:sz w:val="16"/>
              </w:rPr>
              <w:t>222</w:t>
            </w:r>
          </w:p>
        </w:tc>
        <w:tc>
          <w:tcPr>
            <w:tcW w:type="dxa" w:w="851"/>
          </w:tcPr>
          <w:p>
            <w:pPr>
              <w:spacing w:line="240" w:lineRule="auto"/>
              <w:jc w:val="right"/>
            </w:pPr>
            <w:r/>
            <w:r>
              <w:rPr>
                <w:rFonts w:ascii="Garamond" w:hAnsi="Garamond"/>
                <w:sz w:val="16"/>
              </w:rPr>
              <w:t>108</w:t>
            </w:r>
          </w:p>
        </w:tc>
        <w:tc>
          <w:tcPr>
            <w:tcW w:type="dxa" w:w="851"/>
          </w:tcPr>
          <w:p>
            <w:pPr>
              <w:spacing w:line="240" w:lineRule="auto"/>
              <w:jc w:val="right"/>
            </w:pPr>
            <w:r/>
            <w:r>
              <w:rPr>
                <w:rFonts w:ascii="Garamond" w:hAnsi="Garamond"/>
                <w:sz w:val="16"/>
              </w:rPr>
              <w:t>66</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16</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668</w:t>
            </w:r>
          </w:p>
        </w:tc>
      </w:tr>
      <w:tr>
        <w:tc>
          <w:tcPr>
            <w:tcW w:type="dxa" w:w="851"/>
          </w:tcPr>
          <w:p>
            <w:pPr>
              <w:spacing w:line="240" w:lineRule="auto"/>
            </w:pPr>
            <w:r/>
            <w:r>
              <w:rPr>
                <w:rFonts w:ascii="Garamond" w:hAnsi="Garamond"/>
                <w:sz w:val="16"/>
              </w:rPr>
              <w:t>2020</w:t>
            </w:r>
          </w:p>
        </w:tc>
        <w:tc>
          <w:tcPr>
            <w:tcW w:type="dxa" w:w="851"/>
          </w:tcPr>
          <w:p>
            <w:pPr>
              <w:spacing w:line="240" w:lineRule="auto"/>
              <w:jc w:val="right"/>
            </w:pPr>
            <w:r/>
            <w:r>
              <w:rPr>
                <w:rFonts w:ascii="Garamond" w:hAnsi="Garamond"/>
                <w:sz w:val="16"/>
              </w:rPr>
              <w:t>92</w:t>
            </w:r>
          </w:p>
        </w:tc>
        <w:tc>
          <w:tcPr>
            <w:tcW w:type="dxa" w:w="851"/>
          </w:tcPr>
          <w:p>
            <w:pPr>
              <w:spacing w:line="240" w:lineRule="auto"/>
              <w:jc w:val="right"/>
            </w:pPr>
            <w:r/>
            <w:r>
              <w:rPr>
                <w:rFonts w:ascii="Garamond" w:hAnsi="Garamond"/>
                <w:sz w:val="16"/>
              </w:rPr>
              <w:t>185</w:t>
            </w:r>
          </w:p>
        </w:tc>
        <w:tc>
          <w:tcPr>
            <w:tcW w:type="dxa" w:w="851"/>
          </w:tcPr>
          <w:p>
            <w:pPr>
              <w:spacing w:line="240" w:lineRule="auto"/>
              <w:jc w:val="right"/>
            </w:pPr>
            <w:r/>
            <w:r>
              <w:rPr>
                <w:rFonts w:ascii="Garamond" w:hAnsi="Garamond"/>
                <w:sz w:val="16"/>
              </w:rPr>
              <w:t>86</w:t>
            </w:r>
          </w:p>
        </w:tc>
        <w:tc>
          <w:tcPr>
            <w:tcW w:type="dxa" w:w="851"/>
          </w:tcPr>
          <w:p>
            <w:pPr>
              <w:spacing w:line="240" w:lineRule="auto"/>
              <w:jc w:val="right"/>
            </w:pPr>
            <w:r/>
            <w:r>
              <w:rPr>
                <w:rFonts w:ascii="Garamond" w:hAnsi="Garamond"/>
                <w:sz w:val="16"/>
              </w:rPr>
              <w:t>28</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pPr>
            <w:r/>
            <w:r>
              <w:rPr>
                <w:rFonts w:ascii="Garamond" w:hAnsi="Garamond"/>
                <w:sz w:val="16"/>
              </w:rPr>
              <w:t>-1</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390</w:t>
            </w:r>
          </w:p>
        </w:tc>
      </w:tr>
      <w:tr>
        <w:tc>
          <w:tcPr>
            <w:tcW w:type="dxa" w:w="851"/>
          </w:tcPr>
          <w:p>
            <w:pPr>
              <w:spacing w:line="240" w:lineRule="auto"/>
            </w:pPr>
            <w:r/>
            <w:r>
              <w:rPr>
                <w:rFonts w:ascii="Garamond" w:hAnsi="Garamond"/>
                <w:sz w:val="16"/>
              </w:rPr>
              <w:t>2021</w:t>
            </w:r>
          </w:p>
        </w:tc>
        <w:tc>
          <w:tcPr>
            <w:tcW w:type="dxa" w:w="851"/>
          </w:tcPr>
          <w:p>
            <w:pPr>
              <w:spacing w:line="240" w:lineRule="auto"/>
              <w:jc w:val="right"/>
            </w:pPr>
            <w:r/>
            <w:r>
              <w:rPr>
                <w:rFonts w:ascii="Garamond" w:hAnsi="Garamond"/>
                <w:sz w:val="16"/>
              </w:rPr>
              <w:t>262</w:t>
            </w:r>
          </w:p>
        </w:tc>
        <w:tc>
          <w:tcPr>
            <w:tcW w:type="dxa" w:w="851"/>
          </w:tcPr>
          <w:p>
            <w:pPr>
              <w:spacing w:line="240" w:lineRule="auto"/>
              <w:jc w:val="right"/>
            </w:pPr>
            <w:r/>
            <w:r>
              <w:rPr>
                <w:rFonts w:ascii="Garamond" w:hAnsi="Garamond"/>
                <w:sz w:val="16"/>
              </w:rPr>
              <w:t>12</w:t>
            </w:r>
          </w:p>
        </w:tc>
        <w:tc>
          <w:tcPr>
            <w:tcW w:type="dxa" w:w="851"/>
          </w:tcPr>
          <w:p>
            <w:pPr>
              <w:spacing w:line="240" w:lineRule="auto"/>
              <w:jc w:val="right"/>
            </w:pPr>
            <w:r/>
            <w:r>
              <w:rPr>
                <w:rFonts w:ascii="Garamond" w:hAnsi="Garamond"/>
                <w:sz w:val="16"/>
              </w:rPr>
              <w:t>173</w:t>
            </w:r>
          </w:p>
        </w:tc>
        <w:tc>
          <w:tcPr>
            <w:tcW w:type="dxa" w:w="851"/>
          </w:tcPr>
          <w:p>
            <w:pPr>
              <w:spacing w:line="240" w:lineRule="auto"/>
              <w:jc w:val="right"/>
            </w:pPr>
            <w:r/>
            <w:r>
              <w:rPr>
                <w:rFonts w:ascii="Garamond" w:hAnsi="Garamond"/>
                <w:sz w:val="16"/>
              </w:rPr>
              <w:t>69</w:t>
            </w:r>
          </w:p>
        </w:tc>
        <w:tc>
          <w:tcPr>
            <w:tcW w:type="dxa" w:w="851"/>
          </w:tcPr>
          <w:p>
            <w:pPr>
              <w:spacing w:line="240" w:lineRule="auto"/>
              <w:jc w:val="right"/>
            </w:pPr>
            <w:r/>
            <w:r>
              <w:rPr>
                <w:rFonts w:ascii="Garamond" w:hAnsi="Garamond"/>
                <w:sz w:val="16"/>
              </w:rPr>
              <w:t>190</w:t>
            </w:r>
          </w:p>
        </w:tc>
        <w:tc>
          <w:tcPr>
            <w:tcW w:type="dxa" w:w="851"/>
          </w:tcPr>
          <w:p>
            <w:pPr>
              <w:spacing w:line="240" w:lineRule="auto"/>
              <w:jc w:val="right"/>
            </w:pPr>
            <w:r/>
            <w:r>
              <w:rPr>
                <w:rFonts w:ascii="Garamond" w:hAnsi="Garamond"/>
                <w:sz w:val="16"/>
              </w:rPr>
              <w:t>37</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73</w:t>
            </w:r>
          </w:p>
        </w:tc>
        <w:tc>
          <w:tcPr>
            <w:tcW w:type="dxa" w:w="851"/>
          </w:tcPr>
          <w:p>
            <w:pPr>
              <w:spacing w:line="240" w:lineRule="auto"/>
              <w:jc w:val="right"/>
            </w:pPr>
            <w:r/>
            <w:r>
              <w:rPr>
                <w:rFonts w:ascii="Garamond" w:hAnsi="Garamond"/>
                <w:sz w:val="16"/>
              </w:rPr>
              <w:t>12</w:t>
            </w:r>
          </w:p>
        </w:tc>
        <w:tc>
          <w:tcPr>
            <w:tcW w:type="dxa" w:w="851"/>
          </w:tcPr>
          <w:p>
            <w:pPr>
              <w:spacing w:line="240" w:lineRule="auto"/>
              <w:jc w:val="right"/>
            </w:pPr>
            <w:r/>
            <w:r>
              <w:rPr>
                <w:rFonts w:ascii="Garamond" w:hAnsi="Garamond"/>
                <w:sz w:val="16"/>
              </w:rPr>
              <w:t>828</w:t>
            </w:r>
          </w:p>
        </w:tc>
      </w:tr>
      <w:tr>
        <w:tc>
          <w:tcPr>
            <w:tcW w:type="dxa" w:w="851"/>
          </w:tcPr>
          <w:p>
            <w:pPr>
              <w:spacing w:line="240" w:lineRule="auto"/>
            </w:pPr>
            <w:r/>
            <w:r>
              <w:rPr>
                <w:rFonts w:ascii="Garamond" w:hAnsi="Garamond"/>
                <w:sz w:val="16"/>
              </w:rPr>
              <w:t>2022</w:t>
            </w:r>
          </w:p>
        </w:tc>
        <w:tc>
          <w:tcPr>
            <w:tcW w:type="dxa" w:w="851"/>
          </w:tcPr>
          <w:p>
            <w:pPr>
              <w:spacing w:line="240" w:lineRule="auto"/>
              <w:jc w:val="right"/>
            </w:pPr>
            <w:r/>
            <w:r>
              <w:rPr>
                <w:rFonts w:ascii="Garamond" w:hAnsi="Garamond"/>
                <w:sz w:val="16"/>
              </w:rPr>
              <w:t>57</w:t>
            </w:r>
          </w:p>
        </w:tc>
        <w:tc>
          <w:tcPr>
            <w:tcW w:type="dxa" w:w="851"/>
          </w:tcPr>
          <w:p>
            <w:pPr>
              <w:spacing w:line="240" w:lineRule="auto"/>
            </w:pPr>
            <w:r/>
            <w:r>
              <w:rPr>
                <w:rFonts w:ascii="Garamond" w:hAnsi="Garamond"/>
                <w:sz w:val="16"/>
              </w:rPr>
              <w:t>-4</w:t>
            </w:r>
          </w:p>
        </w:tc>
        <w:tc>
          <w:tcPr>
            <w:tcW w:type="dxa" w:w="851"/>
          </w:tcPr>
          <w:p>
            <w:pPr>
              <w:spacing w:line="240" w:lineRule="auto"/>
              <w:jc w:val="right"/>
            </w:pPr>
            <w:r/>
            <w:r>
              <w:rPr>
                <w:rFonts w:ascii="Garamond" w:hAnsi="Garamond"/>
                <w:sz w:val="16"/>
              </w:rPr>
              <w:t>122</w:t>
            </w:r>
          </w:p>
        </w:tc>
        <w:tc>
          <w:tcPr>
            <w:tcW w:type="dxa" w:w="851"/>
          </w:tcPr>
          <w:p>
            <w:pPr>
              <w:spacing w:line="240" w:lineRule="auto"/>
              <w:jc w:val="right"/>
            </w:pPr>
            <w:r/>
            <w:r>
              <w:rPr>
                <w:rFonts w:ascii="Garamond" w:hAnsi="Garamond"/>
                <w:sz w:val="16"/>
              </w:rPr>
              <w:t>74</w:t>
            </w:r>
          </w:p>
        </w:tc>
        <w:tc>
          <w:tcPr>
            <w:tcW w:type="dxa" w:w="851"/>
          </w:tcPr>
          <w:p>
            <w:pPr>
              <w:spacing w:line="240" w:lineRule="auto"/>
              <w:jc w:val="right"/>
            </w:pPr>
            <w:r/>
            <w:r>
              <w:rPr>
                <w:rFonts w:ascii="Garamond" w:hAnsi="Garamond"/>
                <w:sz w:val="16"/>
              </w:rPr>
              <w:t>56</w:t>
            </w:r>
          </w:p>
        </w:tc>
        <w:tc>
          <w:tcPr>
            <w:tcW w:type="dxa" w:w="851"/>
          </w:tcPr>
          <w:p>
            <w:pPr>
              <w:spacing w:line="240" w:lineRule="auto"/>
              <w:jc w:val="right"/>
            </w:pPr>
            <w:r/>
            <w:r>
              <w:rPr>
                <w:rFonts w:ascii="Garamond" w:hAnsi="Garamond"/>
                <w:sz w:val="16"/>
              </w:rPr>
              <w:t>36</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9</w:t>
            </w:r>
          </w:p>
        </w:tc>
        <w:tc>
          <w:tcPr>
            <w:tcW w:type="dxa" w:w="851"/>
          </w:tcPr>
          <w:p>
            <w:pPr>
              <w:spacing w:line="240" w:lineRule="auto"/>
              <w:jc w:val="right"/>
            </w:pPr>
            <w:r/>
            <w:r>
              <w:rPr>
                <w:rFonts w:ascii="Garamond" w:hAnsi="Garamond"/>
                <w:sz w:val="16"/>
              </w:rPr>
              <w:t>89</w:t>
            </w:r>
          </w:p>
        </w:tc>
        <w:tc>
          <w:tcPr>
            <w:tcW w:type="dxa" w:w="851"/>
          </w:tcPr>
          <w:p>
            <w:pPr>
              <w:spacing w:line="240" w:lineRule="auto"/>
              <w:jc w:val="right"/>
            </w:pPr>
            <w:r/>
            <w:r>
              <w:rPr>
                <w:rFonts w:ascii="Garamond" w:hAnsi="Garamond"/>
                <w:sz w:val="16"/>
              </w:rPr>
              <w:t>439</w:t>
            </w:r>
          </w:p>
        </w:tc>
      </w:tr>
      <w:tr>
        <w:tc>
          <w:tcPr>
            <w:tcW w:type="dxa" w:w="851"/>
          </w:tcPr>
          <w:p>
            <w:pPr>
              <w:spacing w:line="240" w:lineRule="auto"/>
            </w:pPr>
            <w:r/>
            <w:r>
              <w:rPr>
                <w:rFonts w:ascii="Garamond" w:hAnsi="Garamond"/>
                <w:sz w:val="16"/>
              </w:rPr>
              <w:t>2023</w:t>
            </w:r>
          </w:p>
        </w:tc>
        <w:tc>
          <w:tcPr>
            <w:tcW w:type="dxa" w:w="851"/>
          </w:tcPr>
          <w:p>
            <w:pPr>
              <w:spacing w:line="240" w:lineRule="auto"/>
              <w:jc w:val="right"/>
            </w:pPr>
            <w:r/>
            <w:r>
              <w:rPr>
                <w:rFonts w:ascii="Garamond" w:hAnsi="Garamond"/>
                <w:sz w:val="16"/>
              </w:rPr>
              <w:t>56</w:t>
            </w:r>
          </w:p>
        </w:tc>
        <w:tc>
          <w:tcPr>
            <w:tcW w:type="dxa" w:w="851"/>
          </w:tcPr>
          <w:p>
            <w:pPr>
              <w:spacing w:line="240" w:lineRule="auto"/>
            </w:pPr>
            <w:r/>
            <w:r>
              <w:rPr>
                <w:rFonts w:ascii="Garamond" w:hAnsi="Garamond"/>
                <w:sz w:val="16"/>
              </w:rPr>
              <w:t>-8</w:t>
            </w:r>
          </w:p>
        </w:tc>
        <w:tc>
          <w:tcPr>
            <w:tcW w:type="dxa" w:w="851"/>
          </w:tcPr>
          <w:p>
            <w:pPr>
              <w:spacing w:line="240" w:lineRule="auto"/>
            </w:pPr>
            <w:r/>
            <w:r>
              <w:rPr>
                <w:rFonts w:ascii="Garamond" w:hAnsi="Garamond"/>
                <w:sz w:val="16"/>
              </w:rPr>
              <w:t>-4</w:t>
            </w:r>
          </w:p>
        </w:tc>
        <w:tc>
          <w:tcPr>
            <w:tcW w:type="dxa" w:w="851"/>
          </w:tcPr>
          <w:p>
            <w:pPr>
              <w:spacing w:line="240" w:lineRule="auto"/>
              <w:jc w:val="right"/>
            </w:pPr>
            <w:r/>
            <w:r>
              <w:rPr>
                <w:rFonts w:ascii="Garamond" w:hAnsi="Garamond"/>
                <w:sz w:val="16"/>
              </w:rPr>
              <w:t>15</w:t>
            </w:r>
          </w:p>
        </w:tc>
        <w:tc>
          <w:tcPr>
            <w:tcW w:type="dxa" w:w="851"/>
          </w:tcPr>
          <w:p>
            <w:pPr>
              <w:spacing w:line="240" w:lineRule="auto"/>
              <w:jc w:val="right"/>
            </w:pPr>
            <w:r/>
            <w:r>
              <w:rPr>
                <w:rFonts w:ascii="Garamond" w:hAnsi="Garamond"/>
                <w:sz w:val="16"/>
              </w:rPr>
              <w:t>1</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pPr>
            <w:r/>
            <w:r>
              <w:rPr>
                <w:rFonts w:ascii="Garamond" w:hAnsi="Garamond"/>
                <w:sz w:val="16"/>
              </w:rPr>
              <w:t>-3</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57</w:t>
            </w:r>
          </w:p>
        </w:tc>
      </w:tr>
      <w:tr>
        <w:tc>
          <w:tcPr>
            <w:tcW w:type="dxa" w:w="851"/>
          </w:tcPr>
          <w:p>
            <w:pPr>
              <w:spacing w:line="240" w:lineRule="auto"/>
            </w:pPr>
            <w:r/>
            <w:r>
              <w:rPr>
                <w:rFonts w:ascii="Garamond" w:hAnsi="Garamond"/>
                <w:sz w:val="16"/>
              </w:rPr>
              <w:t>2024</w:t>
            </w:r>
          </w:p>
        </w:tc>
        <w:tc>
          <w:tcPr>
            <w:tcW w:type="dxa" w:w="851"/>
          </w:tcPr>
          <w:p>
            <w:pPr>
              <w:spacing w:line="240" w:lineRule="auto"/>
              <w:jc w:val="right"/>
            </w:pPr>
            <w:r/>
            <w:r>
              <w:rPr>
                <w:rFonts w:ascii="Garamond" w:hAnsi="Garamond"/>
                <w:sz w:val="16"/>
              </w:rPr>
              <w:t>7</w:t>
            </w:r>
          </w:p>
        </w:tc>
        <w:tc>
          <w:tcPr>
            <w:tcW w:type="dxa" w:w="851"/>
          </w:tcPr>
          <w:p>
            <w:pPr>
              <w:spacing w:line="240" w:lineRule="auto"/>
            </w:pPr>
            <w:r/>
            <w:r>
              <w:rPr>
                <w:rFonts w:ascii="Garamond" w:hAnsi="Garamond"/>
                <w:sz w:val="16"/>
              </w:rPr>
              <w:t>-16</w:t>
            </w:r>
          </w:p>
        </w:tc>
        <w:tc>
          <w:tcPr>
            <w:tcW w:type="dxa" w:w="851"/>
          </w:tcPr>
          <w:p>
            <w:pPr>
              <w:spacing w:line="240" w:lineRule="auto"/>
              <w:jc w:val="right"/>
            </w:pPr>
            <w:r/>
            <w:r>
              <w:rPr>
                <w:rFonts w:ascii="Garamond" w:hAnsi="Garamond"/>
                <w:sz w:val="16"/>
              </w:rPr>
              <w:t>30</w:t>
            </w:r>
          </w:p>
        </w:tc>
        <w:tc>
          <w:tcPr>
            <w:tcW w:type="dxa" w:w="851"/>
          </w:tcPr>
          <w:p>
            <w:pPr>
              <w:spacing w:line="240" w:lineRule="auto"/>
              <w:jc w:val="right"/>
            </w:pPr>
            <w:r/>
            <w:r>
              <w:rPr>
                <w:rFonts w:ascii="Garamond" w:hAnsi="Garamond"/>
                <w:sz w:val="16"/>
              </w:rPr>
              <w:t>6</w:t>
            </w:r>
          </w:p>
        </w:tc>
        <w:tc>
          <w:tcPr>
            <w:tcW w:type="dxa" w:w="851"/>
          </w:tcPr>
          <w:p>
            <w:pPr>
              <w:spacing w:line="240" w:lineRule="auto"/>
              <w:jc w:val="right"/>
            </w:pPr>
            <w:r/>
            <w:r>
              <w:rPr>
                <w:rFonts w:ascii="Garamond" w:hAnsi="Garamond"/>
                <w:sz w:val="16"/>
              </w:rPr>
              <w:t>0</w:t>
            </w:r>
          </w:p>
        </w:tc>
        <w:tc>
          <w:tcPr>
            <w:tcW w:type="dxa" w:w="851"/>
          </w:tcPr>
          <w:p>
            <w:pPr>
              <w:spacing w:line="240" w:lineRule="auto"/>
            </w:pPr>
            <w:r/>
            <w:r>
              <w:rPr>
                <w:rFonts w:ascii="Garamond" w:hAnsi="Garamond"/>
                <w:sz w:val="16"/>
              </w:rPr>
              <w:t>-1</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0</w:t>
            </w:r>
          </w:p>
        </w:tc>
        <w:tc>
          <w:tcPr>
            <w:tcW w:type="dxa" w:w="851"/>
          </w:tcPr>
          <w:p>
            <w:pPr>
              <w:spacing w:line="240" w:lineRule="auto"/>
            </w:pPr>
            <w:r/>
            <w:r>
              <w:rPr>
                <w:rFonts w:ascii="Garamond" w:hAnsi="Garamond"/>
                <w:sz w:val="16"/>
              </w:rPr>
              <w:t>-1</w:t>
            </w:r>
          </w:p>
        </w:tc>
        <w:tc>
          <w:tcPr>
            <w:tcW w:type="dxa" w:w="851"/>
          </w:tcPr>
          <w:p>
            <w:pPr>
              <w:spacing w:line="240" w:lineRule="auto"/>
              <w:jc w:val="right"/>
            </w:pPr>
            <w:r/>
            <w:r>
              <w:rPr>
                <w:rFonts w:ascii="Garamond" w:hAnsi="Garamond"/>
                <w:sz w:val="16"/>
              </w:rPr>
              <w:t>25</w:t>
            </w:r>
          </w:p>
        </w:tc>
      </w:tr>
      <w:tr>
        <w:tc>
          <w:tcPr>
            <w:tcW w:type="dxa" w:w="851"/>
          </w:tcPr>
          <w:p>
            <w:pPr>
              <w:spacing w:line="240" w:lineRule="auto"/>
            </w:pPr>
            <w:r/>
            <w:r>
              <w:rPr>
                <w:rFonts w:ascii="Garamond" w:hAnsi="Garamond"/>
                <w:sz w:val="16"/>
              </w:rPr>
              <w:t>2025</w:t>
            </w:r>
          </w:p>
        </w:tc>
        <w:tc>
          <w:tcPr>
            <w:tcW w:type="dxa" w:w="851"/>
          </w:tcPr>
          <w:p>
            <w:pPr>
              <w:spacing w:line="240" w:lineRule="auto"/>
              <w:jc w:val="right"/>
            </w:pPr>
            <w:r/>
            <w:r>
              <w:rPr>
                <w:rFonts w:ascii="Garamond" w:hAnsi="Garamond"/>
                <w:sz w:val="16"/>
              </w:rPr>
              <w:t>2</w:t>
            </w:r>
          </w:p>
        </w:tc>
        <w:tc>
          <w:tcPr>
            <w:tcW w:type="dxa" w:w="851"/>
          </w:tcPr>
          <w:p>
            <w:pPr>
              <w:spacing w:line="240" w:lineRule="auto"/>
            </w:pPr>
            <w:r/>
            <w:r>
              <w:rPr>
                <w:rFonts w:ascii="Garamond" w:hAnsi="Garamond"/>
                <w:sz w:val="16"/>
              </w:rPr>
              <w:t>-19</w:t>
            </w:r>
          </w:p>
        </w:tc>
        <w:tc>
          <w:tcPr>
            <w:tcW w:type="dxa" w:w="851"/>
          </w:tcPr>
          <w:p>
            <w:pPr>
              <w:spacing w:line="240" w:lineRule="auto"/>
              <w:jc w:val="right"/>
            </w:pPr>
            <w:r/>
            <w:r>
              <w:rPr>
                <w:rFonts w:ascii="Garamond" w:hAnsi="Garamond"/>
                <w:sz w:val="16"/>
              </w:rPr>
              <w:t>12</w:t>
            </w:r>
          </w:p>
        </w:tc>
        <w:tc>
          <w:tcPr>
            <w:tcW w:type="dxa" w:w="851"/>
          </w:tcPr>
          <w:p>
            <w:pPr>
              <w:spacing w:line="240" w:lineRule="auto"/>
              <w:jc w:val="right"/>
            </w:pPr>
            <w:r/>
            <w:r>
              <w:rPr>
                <w:rFonts w:ascii="Garamond" w:hAnsi="Garamond"/>
                <w:sz w:val="16"/>
              </w:rPr>
              <w:t>17</w:t>
            </w:r>
          </w:p>
        </w:tc>
        <w:tc>
          <w:tcPr>
            <w:tcW w:type="dxa" w:w="851"/>
          </w:tcPr>
          <w:p>
            <w:pPr>
              <w:spacing w:line="240" w:lineRule="auto"/>
              <w:jc w:val="right"/>
            </w:pPr>
            <w:r/>
            <w:r>
              <w:rPr>
                <w:rFonts w:ascii="Garamond" w:hAnsi="Garamond"/>
                <w:sz w:val="16"/>
              </w:rPr>
              <w:t>4</w:t>
            </w:r>
          </w:p>
        </w:tc>
        <w:tc>
          <w:tcPr>
            <w:tcW w:type="dxa" w:w="851"/>
          </w:tcPr>
          <w:p>
            <w:pPr>
              <w:spacing w:line="240" w:lineRule="auto"/>
              <w:jc w:val="right"/>
            </w:pPr>
            <w:r/>
            <w:r>
              <w:rPr>
                <w:rFonts w:ascii="Garamond" w:hAnsi="Garamond"/>
                <w:sz w:val="16"/>
              </w:rPr>
              <w:t>8</w:t>
            </w:r>
          </w:p>
        </w:tc>
        <w:tc>
          <w:tcPr>
            <w:tcW w:type="dxa" w:w="851"/>
          </w:tcPr>
          <w:p>
            <w:pPr>
              <w:spacing w:line="240" w:lineRule="auto"/>
              <w:jc w:val="right"/>
            </w:pPr>
            <w:r/>
            <w:r>
              <w:rPr>
                <w:rFonts w:ascii="Garamond" w:hAnsi="Garamond"/>
                <w:sz w:val="16"/>
              </w:rPr>
              <w:t>59</w:t>
            </w:r>
          </w:p>
        </w:tc>
        <w:tc>
          <w:tcPr>
            <w:tcW w:type="dxa" w:w="851"/>
          </w:tcPr>
          <w:p>
            <w:pPr>
              <w:spacing w:line="240" w:lineRule="auto"/>
            </w:pPr>
            <w:r/>
            <w:r>
              <w:rPr>
                <w:rFonts w:ascii="Garamond" w:hAnsi="Garamond"/>
                <w:sz w:val="16"/>
              </w:rPr>
              <w:t>-4</w:t>
            </w:r>
          </w:p>
        </w:tc>
        <w:tc>
          <w:tcPr>
            <w:tcW w:type="dxa" w:w="851"/>
          </w:tcPr>
          <w:p>
            <w:pPr>
              <w:spacing w:line="240" w:lineRule="auto"/>
              <w:jc w:val="right"/>
            </w:pPr>
            <w:r/>
            <w:r>
              <w:rPr>
                <w:rFonts w:ascii="Garamond" w:hAnsi="Garamond"/>
                <w:sz w:val="16"/>
              </w:rPr>
              <w:t>0</w:t>
            </w:r>
          </w:p>
        </w:tc>
        <w:tc>
          <w:tcPr>
            <w:tcW w:type="dxa" w:w="851"/>
          </w:tcPr>
          <w:p>
            <w:pPr>
              <w:spacing w:line="240" w:lineRule="auto"/>
              <w:jc w:val="right"/>
            </w:pPr>
            <w:r/>
            <w:r>
              <w:rPr>
                <w:rFonts w:ascii="Garamond" w:hAnsi="Garamond"/>
                <w:sz w:val="16"/>
              </w:rPr>
              <w:t>79</w:t>
            </w:r>
          </w:p>
        </w:tc>
      </w:tr>
    </w:tbl>
    <w:p>
      <w:pPr>
        <w:spacing w:after="0"/>
      </w:pPr>
    </w:p>
    <w:p>
      <w:pPr>
        <w:spacing w:line="240" w:lineRule="auto" w:before="0" w:after="120"/>
      </w:pPr>
      <w:r>
        <w:rPr>
          <w:rFonts w:ascii="Garamond" w:hAnsi="Garamond"/>
          <w:i/>
          <w:sz w:val="19"/>
        </w:rPr>
        <w:t>Notes: Source: Metro Nashville ParcelHistory ownership register, operator-attributed grantee events by recording year less dispositions dated by the next grantee's recording on the same parcel; framework parcels only. Acquisitions include new-construction deliveries and development parcels (American Homes 4 Rent 2018 to 2020; VineBrook 2025). Each operator's parcels currently held, taken from the register's active records, match Table A1 within the crosswalk's name-matching tolerance. Invitation Homes and the Sparrow joint venture are omitted because Invitation's 2019 portfolio sale to Tricon dominates their series.</w:t>
      </w:r>
    </w:p>
    <w:p>
      <w:pPr>
        <w:pStyle w:val="Heading2"/>
      </w:pPr>
      <w:r>
        <w:t>Table A10. Owner-Occupancy Conversion in Arm's-Length Home Sales, Davidson County, 2015 to 2025</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Year</w:t>
            </w:r>
          </w:p>
        </w:tc>
        <w:tc>
          <w:tcPr>
            <w:tcW w:type="dxa" w:w="2340"/>
            <w:tcBorders>
              <w:bottom w:val="single" w:sz="4" w:color="000000"/>
            </w:tcBorders>
          </w:tcPr>
          <w:p>
            <w:pPr>
              <w:spacing w:line="240" w:lineRule="auto"/>
            </w:pPr>
            <w:r>
              <w:rPr>
                <w:b/>
              </w:rPr>
            </w:r>
            <w:r>
              <w:rPr>
                <w:rFonts w:ascii="Garamond" w:hAnsi="Garamond"/>
                <w:b/>
                <w:sz w:val="18"/>
              </w:rPr>
              <w:t>Arm's-length sales</w:t>
            </w:r>
          </w:p>
        </w:tc>
        <w:tc>
          <w:tcPr>
            <w:tcW w:type="dxa" w:w="2340"/>
            <w:tcBorders>
              <w:bottom w:val="single" w:sz="4" w:color="000000"/>
            </w:tcBorders>
          </w:tcPr>
          <w:p>
            <w:pPr>
              <w:spacing w:line="240" w:lineRule="auto"/>
            </w:pPr>
            <w:r>
              <w:rPr>
                <w:b/>
              </w:rPr>
            </w:r>
            <w:r>
              <w:rPr>
                <w:rFonts w:ascii="Garamond" w:hAnsi="Garamond"/>
                <w:b/>
                <w:sz w:val="18"/>
              </w:rPr>
              <w:t>Owner-occupied to absentee</w:t>
            </w:r>
          </w:p>
        </w:tc>
        <w:tc>
          <w:tcPr>
            <w:tcW w:type="dxa" w:w="2340"/>
            <w:tcBorders>
              <w:bottom w:val="single" w:sz="4" w:color="000000"/>
            </w:tcBorders>
          </w:tcPr>
          <w:p>
            <w:pPr>
              <w:spacing w:line="240" w:lineRule="auto"/>
            </w:pPr>
            <w:r>
              <w:rPr>
                <w:b/>
              </w:rPr>
            </w:r>
            <w:r>
              <w:rPr>
                <w:rFonts w:ascii="Garamond" w:hAnsi="Garamond"/>
                <w:b/>
                <w:sz w:val="18"/>
              </w:rPr>
              <w:t>Absentee to owner-occupied</w:t>
            </w:r>
          </w:p>
        </w:tc>
      </w:tr>
      <w:tr>
        <w:tc>
          <w:tcPr>
            <w:tcW w:type="dxa" w:w="2340"/>
          </w:tcPr>
          <w:p>
            <w:pPr>
              <w:spacing w:line="240" w:lineRule="auto"/>
            </w:pPr>
            <w:r/>
            <w:r>
              <w:rPr>
                <w:rFonts w:ascii="Garamond" w:hAnsi="Garamond"/>
                <w:sz w:val="18"/>
              </w:rPr>
              <w:t>2015</w:t>
            </w:r>
          </w:p>
        </w:tc>
        <w:tc>
          <w:tcPr>
            <w:tcW w:type="dxa" w:w="2340"/>
          </w:tcPr>
          <w:p>
            <w:pPr>
              <w:spacing w:line="240" w:lineRule="auto"/>
              <w:jc w:val="right"/>
            </w:pPr>
            <w:r/>
            <w:r>
              <w:rPr>
                <w:rFonts w:ascii="Garamond" w:hAnsi="Garamond"/>
                <w:sz w:val="18"/>
              </w:rPr>
              <w:t>19,703</w:t>
            </w:r>
          </w:p>
        </w:tc>
        <w:tc>
          <w:tcPr>
            <w:tcW w:type="dxa" w:w="2340"/>
          </w:tcPr>
          <w:p>
            <w:pPr>
              <w:spacing w:line="240" w:lineRule="auto"/>
              <w:jc w:val="right"/>
            </w:pPr>
            <w:r/>
            <w:r>
              <w:rPr>
                <w:rFonts w:ascii="Garamond" w:hAnsi="Garamond"/>
                <w:sz w:val="18"/>
              </w:rPr>
              <w:t>12.2%</w:t>
            </w:r>
          </w:p>
        </w:tc>
        <w:tc>
          <w:tcPr>
            <w:tcW w:type="dxa" w:w="2340"/>
          </w:tcPr>
          <w:p>
            <w:pPr>
              <w:spacing w:line="240" w:lineRule="auto"/>
              <w:jc w:val="right"/>
            </w:pPr>
            <w:r/>
            <w:r>
              <w:rPr>
                <w:rFonts w:ascii="Garamond" w:hAnsi="Garamond"/>
                <w:sz w:val="18"/>
              </w:rPr>
              <w:t>25.3%</w:t>
            </w:r>
          </w:p>
        </w:tc>
      </w:tr>
      <w:tr>
        <w:tc>
          <w:tcPr>
            <w:tcW w:type="dxa" w:w="2340"/>
          </w:tcPr>
          <w:p>
            <w:pPr>
              <w:spacing w:line="240" w:lineRule="auto"/>
            </w:pPr>
            <w:r/>
            <w:r>
              <w:rPr>
                <w:rFonts w:ascii="Garamond" w:hAnsi="Garamond"/>
                <w:sz w:val="18"/>
              </w:rPr>
              <w:t>2016</w:t>
            </w:r>
          </w:p>
        </w:tc>
        <w:tc>
          <w:tcPr>
            <w:tcW w:type="dxa" w:w="2340"/>
          </w:tcPr>
          <w:p>
            <w:pPr>
              <w:spacing w:line="240" w:lineRule="auto"/>
              <w:jc w:val="right"/>
            </w:pPr>
            <w:r/>
            <w:r>
              <w:rPr>
                <w:rFonts w:ascii="Garamond" w:hAnsi="Garamond"/>
                <w:sz w:val="18"/>
              </w:rPr>
              <w:t>19,794</w:t>
            </w:r>
          </w:p>
        </w:tc>
        <w:tc>
          <w:tcPr>
            <w:tcW w:type="dxa" w:w="2340"/>
          </w:tcPr>
          <w:p>
            <w:pPr>
              <w:spacing w:line="240" w:lineRule="auto"/>
              <w:jc w:val="right"/>
            </w:pPr>
            <w:r/>
            <w:r>
              <w:rPr>
                <w:rFonts w:ascii="Garamond" w:hAnsi="Garamond"/>
                <w:sz w:val="18"/>
              </w:rPr>
              <w:t>12.5%</w:t>
            </w:r>
          </w:p>
        </w:tc>
        <w:tc>
          <w:tcPr>
            <w:tcW w:type="dxa" w:w="2340"/>
          </w:tcPr>
          <w:p>
            <w:pPr>
              <w:spacing w:line="240" w:lineRule="auto"/>
              <w:jc w:val="right"/>
            </w:pPr>
            <w:r/>
            <w:r>
              <w:rPr>
                <w:rFonts w:ascii="Garamond" w:hAnsi="Garamond"/>
                <w:sz w:val="18"/>
              </w:rPr>
              <w:t>25.9%</w:t>
            </w:r>
          </w:p>
        </w:tc>
      </w:tr>
      <w:tr>
        <w:tc>
          <w:tcPr>
            <w:tcW w:type="dxa" w:w="2340"/>
          </w:tcPr>
          <w:p>
            <w:pPr>
              <w:spacing w:line="240" w:lineRule="auto"/>
            </w:pPr>
            <w:r/>
            <w:r>
              <w:rPr>
                <w:rFonts w:ascii="Garamond" w:hAnsi="Garamond"/>
                <w:sz w:val="18"/>
              </w:rPr>
              <w:t>2017</w:t>
            </w:r>
          </w:p>
        </w:tc>
        <w:tc>
          <w:tcPr>
            <w:tcW w:type="dxa" w:w="2340"/>
          </w:tcPr>
          <w:p>
            <w:pPr>
              <w:spacing w:line="240" w:lineRule="auto"/>
              <w:jc w:val="right"/>
            </w:pPr>
            <w:r/>
            <w:r>
              <w:rPr>
                <w:rFonts w:ascii="Garamond" w:hAnsi="Garamond"/>
                <w:sz w:val="18"/>
              </w:rPr>
              <w:t>19,827</w:t>
            </w:r>
          </w:p>
        </w:tc>
        <w:tc>
          <w:tcPr>
            <w:tcW w:type="dxa" w:w="2340"/>
          </w:tcPr>
          <w:p>
            <w:pPr>
              <w:spacing w:line="240" w:lineRule="auto"/>
              <w:jc w:val="right"/>
            </w:pPr>
            <w:r/>
            <w:r>
              <w:rPr>
                <w:rFonts w:ascii="Garamond" w:hAnsi="Garamond"/>
                <w:sz w:val="18"/>
              </w:rPr>
              <w:t>12.7%</w:t>
            </w:r>
          </w:p>
        </w:tc>
        <w:tc>
          <w:tcPr>
            <w:tcW w:type="dxa" w:w="2340"/>
          </w:tcPr>
          <w:p>
            <w:pPr>
              <w:spacing w:line="240" w:lineRule="auto"/>
              <w:jc w:val="right"/>
            </w:pPr>
            <w:r/>
            <w:r>
              <w:rPr>
                <w:rFonts w:ascii="Garamond" w:hAnsi="Garamond"/>
                <w:sz w:val="18"/>
              </w:rPr>
              <w:t>26.4%</w:t>
            </w:r>
          </w:p>
        </w:tc>
      </w:tr>
      <w:tr>
        <w:tc>
          <w:tcPr>
            <w:tcW w:type="dxa" w:w="2340"/>
          </w:tcPr>
          <w:p>
            <w:pPr>
              <w:spacing w:line="240" w:lineRule="auto"/>
            </w:pPr>
            <w:r/>
            <w:r>
              <w:rPr>
                <w:rFonts w:ascii="Garamond" w:hAnsi="Garamond"/>
                <w:sz w:val="18"/>
              </w:rPr>
              <w:t>2018</w:t>
            </w:r>
          </w:p>
        </w:tc>
        <w:tc>
          <w:tcPr>
            <w:tcW w:type="dxa" w:w="2340"/>
          </w:tcPr>
          <w:p>
            <w:pPr>
              <w:spacing w:line="240" w:lineRule="auto"/>
              <w:jc w:val="right"/>
            </w:pPr>
            <w:r/>
            <w:r>
              <w:rPr>
                <w:rFonts w:ascii="Garamond" w:hAnsi="Garamond"/>
                <w:sz w:val="18"/>
              </w:rPr>
              <w:t>19,190</w:t>
            </w:r>
          </w:p>
        </w:tc>
        <w:tc>
          <w:tcPr>
            <w:tcW w:type="dxa" w:w="2340"/>
          </w:tcPr>
          <w:p>
            <w:pPr>
              <w:spacing w:line="240" w:lineRule="auto"/>
              <w:jc w:val="right"/>
            </w:pPr>
            <w:r/>
            <w:r>
              <w:rPr>
                <w:rFonts w:ascii="Garamond" w:hAnsi="Garamond"/>
                <w:sz w:val="18"/>
              </w:rPr>
              <w:t>13.2%</w:t>
            </w:r>
          </w:p>
        </w:tc>
        <w:tc>
          <w:tcPr>
            <w:tcW w:type="dxa" w:w="2340"/>
          </w:tcPr>
          <w:p>
            <w:pPr>
              <w:spacing w:line="240" w:lineRule="auto"/>
              <w:jc w:val="right"/>
            </w:pPr>
            <w:r/>
            <w:r>
              <w:rPr>
                <w:rFonts w:ascii="Garamond" w:hAnsi="Garamond"/>
                <w:sz w:val="18"/>
              </w:rPr>
              <w:t>25.2%</w:t>
            </w:r>
          </w:p>
        </w:tc>
      </w:tr>
      <w:tr>
        <w:tc>
          <w:tcPr>
            <w:tcW w:type="dxa" w:w="2340"/>
          </w:tcPr>
          <w:p>
            <w:pPr>
              <w:spacing w:line="240" w:lineRule="auto"/>
            </w:pPr>
            <w:r/>
            <w:r>
              <w:rPr>
                <w:rFonts w:ascii="Garamond" w:hAnsi="Garamond"/>
                <w:sz w:val="18"/>
              </w:rPr>
              <w:t>2019</w:t>
            </w:r>
          </w:p>
        </w:tc>
        <w:tc>
          <w:tcPr>
            <w:tcW w:type="dxa" w:w="2340"/>
          </w:tcPr>
          <w:p>
            <w:pPr>
              <w:spacing w:line="240" w:lineRule="auto"/>
              <w:jc w:val="right"/>
            </w:pPr>
            <w:r/>
            <w:r>
              <w:rPr>
                <w:rFonts w:ascii="Garamond" w:hAnsi="Garamond"/>
                <w:sz w:val="18"/>
              </w:rPr>
              <w:t>20,429</w:t>
            </w:r>
          </w:p>
        </w:tc>
        <w:tc>
          <w:tcPr>
            <w:tcW w:type="dxa" w:w="2340"/>
          </w:tcPr>
          <w:p>
            <w:pPr>
              <w:spacing w:line="240" w:lineRule="auto"/>
              <w:jc w:val="right"/>
            </w:pPr>
            <w:r/>
            <w:r>
              <w:rPr>
                <w:rFonts w:ascii="Garamond" w:hAnsi="Garamond"/>
                <w:sz w:val="18"/>
              </w:rPr>
              <w:t>13.6%</w:t>
            </w:r>
          </w:p>
        </w:tc>
        <w:tc>
          <w:tcPr>
            <w:tcW w:type="dxa" w:w="2340"/>
          </w:tcPr>
          <w:p>
            <w:pPr>
              <w:spacing w:line="240" w:lineRule="auto"/>
              <w:jc w:val="right"/>
            </w:pPr>
            <w:r/>
            <w:r>
              <w:rPr>
                <w:rFonts w:ascii="Garamond" w:hAnsi="Garamond"/>
                <w:sz w:val="18"/>
              </w:rPr>
              <w:t>26.4%</w:t>
            </w:r>
          </w:p>
        </w:tc>
      </w:tr>
      <w:tr>
        <w:tc>
          <w:tcPr>
            <w:tcW w:type="dxa" w:w="2340"/>
          </w:tcPr>
          <w:p>
            <w:pPr>
              <w:spacing w:line="240" w:lineRule="auto"/>
            </w:pPr>
            <w:r/>
            <w:r>
              <w:rPr>
                <w:rFonts w:ascii="Garamond" w:hAnsi="Garamond"/>
                <w:sz w:val="18"/>
              </w:rPr>
              <w:t>2020</w:t>
            </w:r>
          </w:p>
        </w:tc>
        <w:tc>
          <w:tcPr>
            <w:tcW w:type="dxa" w:w="2340"/>
          </w:tcPr>
          <w:p>
            <w:pPr>
              <w:spacing w:line="240" w:lineRule="auto"/>
              <w:jc w:val="right"/>
            </w:pPr>
            <w:r/>
            <w:r>
              <w:rPr>
                <w:rFonts w:ascii="Garamond" w:hAnsi="Garamond"/>
                <w:sz w:val="18"/>
              </w:rPr>
              <w:t>20,730</w:t>
            </w:r>
          </w:p>
        </w:tc>
        <w:tc>
          <w:tcPr>
            <w:tcW w:type="dxa" w:w="2340"/>
          </w:tcPr>
          <w:p>
            <w:pPr>
              <w:spacing w:line="240" w:lineRule="auto"/>
              <w:jc w:val="right"/>
            </w:pPr>
            <w:r/>
            <w:r>
              <w:rPr>
                <w:rFonts w:ascii="Garamond" w:hAnsi="Garamond"/>
                <w:sz w:val="18"/>
              </w:rPr>
              <w:t>11.4%</w:t>
            </w:r>
          </w:p>
        </w:tc>
        <w:tc>
          <w:tcPr>
            <w:tcW w:type="dxa" w:w="2340"/>
          </w:tcPr>
          <w:p>
            <w:pPr>
              <w:spacing w:line="240" w:lineRule="auto"/>
              <w:jc w:val="right"/>
            </w:pPr>
            <w:r/>
            <w:r>
              <w:rPr>
                <w:rFonts w:ascii="Garamond" w:hAnsi="Garamond"/>
                <w:sz w:val="18"/>
              </w:rPr>
              <w:t>27.4%</w:t>
            </w:r>
          </w:p>
        </w:tc>
      </w:tr>
      <w:tr>
        <w:tc>
          <w:tcPr>
            <w:tcW w:type="dxa" w:w="2340"/>
          </w:tcPr>
          <w:p>
            <w:pPr>
              <w:spacing w:line="240" w:lineRule="auto"/>
            </w:pPr>
            <w:r/>
            <w:r>
              <w:rPr>
                <w:rFonts w:ascii="Garamond" w:hAnsi="Garamond"/>
                <w:sz w:val="18"/>
              </w:rPr>
              <w:t>2021</w:t>
            </w:r>
          </w:p>
        </w:tc>
        <w:tc>
          <w:tcPr>
            <w:tcW w:type="dxa" w:w="2340"/>
          </w:tcPr>
          <w:p>
            <w:pPr>
              <w:spacing w:line="240" w:lineRule="auto"/>
              <w:jc w:val="right"/>
            </w:pPr>
            <w:r/>
            <w:r>
              <w:rPr>
                <w:rFonts w:ascii="Garamond" w:hAnsi="Garamond"/>
                <w:sz w:val="18"/>
              </w:rPr>
              <w:t>24,641</w:t>
            </w:r>
          </w:p>
        </w:tc>
        <w:tc>
          <w:tcPr>
            <w:tcW w:type="dxa" w:w="2340"/>
          </w:tcPr>
          <w:p>
            <w:pPr>
              <w:spacing w:line="240" w:lineRule="auto"/>
              <w:jc w:val="right"/>
            </w:pPr>
            <w:r/>
            <w:r>
              <w:rPr>
                <w:rFonts w:ascii="Garamond" w:hAnsi="Garamond"/>
                <w:sz w:val="18"/>
              </w:rPr>
              <w:t>16.1%</w:t>
            </w:r>
          </w:p>
        </w:tc>
        <w:tc>
          <w:tcPr>
            <w:tcW w:type="dxa" w:w="2340"/>
          </w:tcPr>
          <w:p>
            <w:pPr>
              <w:spacing w:line="240" w:lineRule="auto"/>
              <w:jc w:val="right"/>
            </w:pPr>
            <w:r/>
            <w:r>
              <w:rPr>
                <w:rFonts w:ascii="Garamond" w:hAnsi="Garamond"/>
                <w:sz w:val="18"/>
              </w:rPr>
              <w:t>24.5%</w:t>
            </w:r>
          </w:p>
        </w:tc>
      </w:tr>
      <w:tr>
        <w:tc>
          <w:tcPr>
            <w:tcW w:type="dxa" w:w="2340"/>
          </w:tcPr>
          <w:p>
            <w:pPr>
              <w:spacing w:line="240" w:lineRule="auto"/>
            </w:pPr>
            <w:r/>
            <w:r>
              <w:rPr>
                <w:rFonts w:ascii="Garamond" w:hAnsi="Garamond"/>
                <w:sz w:val="18"/>
              </w:rPr>
              <w:t>2022</w:t>
            </w:r>
          </w:p>
        </w:tc>
        <w:tc>
          <w:tcPr>
            <w:tcW w:type="dxa" w:w="2340"/>
          </w:tcPr>
          <w:p>
            <w:pPr>
              <w:spacing w:line="240" w:lineRule="auto"/>
              <w:jc w:val="right"/>
            </w:pPr>
            <w:r/>
            <w:r>
              <w:rPr>
                <w:rFonts w:ascii="Garamond" w:hAnsi="Garamond"/>
                <w:sz w:val="18"/>
              </w:rPr>
              <w:t>19,738</w:t>
            </w:r>
          </w:p>
        </w:tc>
        <w:tc>
          <w:tcPr>
            <w:tcW w:type="dxa" w:w="2340"/>
          </w:tcPr>
          <w:p>
            <w:pPr>
              <w:spacing w:line="240" w:lineRule="auto"/>
              <w:jc w:val="right"/>
            </w:pPr>
            <w:r/>
            <w:r>
              <w:rPr>
                <w:rFonts w:ascii="Garamond" w:hAnsi="Garamond"/>
                <w:sz w:val="18"/>
              </w:rPr>
              <w:t>15.7%</w:t>
            </w:r>
          </w:p>
        </w:tc>
        <w:tc>
          <w:tcPr>
            <w:tcW w:type="dxa" w:w="2340"/>
          </w:tcPr>
          <w:p>
            <w:pPr>
              <w:spacing w:line="240" w:lineRule="auto"/>
              <w:jc w:val="right"/>
            </w:pPr>
            <w:r/>
            <w:r>
              <w:rPr>
                <w:rFonts w:ascii="Garamond" w:hAnsi="Garamond"/>
                <w:sz w:val="18"/>
              </w:rPr>
              <w:t>25.4%</w:t>
            </w:r>
          </w:p>
        </w:tc>
      </w:tr>
      <w:tr>
        <w:tc>
          <w:tcPr>
            <w:tcW w:type="dxa" w:w="2340"/>
          </w:tcPr>
          <w:p>
            <w:pPr>
              <w:spacing w:line="240" w:lineRule="auto"/>
            </w:pPr>
            <w:r/>
            <w:r>
              <w:rPr>
                <w:rFonts w:ascii="Garamond" w:hAnsi="Garamond"/>
                <w:sz w:val="18"/>
              </w:rPr>
              <w:t>2023</w:t>
            </w:r>
          </w:p>
        </w:tc>
        <w:tc>
          <w:tcPr>
            <w:tcW w:type="dxa" w:w="2340"/>
          </w:tcPr>
          <w:p>
            <w:pPr>
              <w:spacing w:line="240" w:lineRule="auto"/>
              <w:jc w:val="right"/>
            </w:pPr>
            <w:r/>
            <w:r>
              <w:rPr>
                <w:rFonts w:ascii="Garamond" w:hAnsi="Garamond"/>
                <w:sz w:val="18"/>
              </w:rPr>
              <w:t>15,360</w:t>
            </w:r>
          </w:p>
        </w:tc>
        <w:tc>
          <w:tcPr>
            <w:tcW w:type="dxa" w:w="2340"/>
          </w:tcPr>
          <w:p>
            <w:pPr>
              <w:spacing w:line="240" w:lineRule="auto"/>
              <w:jc w:val="right"/>
            </w:pPr>
            <w:r/>
            <w:r>
              <w:rPr>
                <w:rFonts w:ascii="Garamond" w:hAnsi="Garamond"/>
                <w:sz w:val="18"/>
              </w:rPr>
              <w:t>12.1%</w:t>
            </w:r>
          </w:p>
        </w:tc>
        <w:tc>
          <w:tcPr>
            <w:tcW w:type="dxa" w:w="2340"/>
          </w:tcPr>
          <w:p>
            <w:pPr>
              <w:spacing w:line="240" w:lineRule="auto"/>
              <w:jc w:val="right"/>
            </w:pPr>
            <w:r/>
            <w:r>
              <w:rPr>
                <w:rFonts w:ascii="Garamond" w:hAnsi="Garamond"/>
                <w:sz w:val="18"/>
              </w:rPr>
              <w:t>28.1%</w:t>
            </w:r>
          </w:p>
        </w:tc>
      </w:tr>
      <w:tr>
        <w:tc>
          <w:tcPr>
            <w:tcW w:type="dxa" w:w="2340"/>
          </w:tcPr>
          <w:p>
            <w:pPr>
              <w:spacing w:line="240" w:lineRule="auto"/>
            </w:pPr>
            <w:r/>
            <w:r>
              <w:rPr>
                <w:rFonts w:ascii="Garamond" w:hAnsi="Garamond"/>
                <w:sz w:val="18"/>
              </w:rPr>
              <w:t>2024</w:t>
            </w:r>
          </w:p>
        </w:tc>
        <w:tc>
          <w:tcPr>
            <w:tcW w:type="dxa" w:w="2340"/>
          </w:tcPr>
          <w:p>
            <w:pPr>
              <w:spacing w:line="240" w:lineRule="auto"/>
              <w:jc w:val="right"/>
            </w:pPr>
            <w:r/>
            <w:r>
              <w:rPr>
                <w:rFonts w:ascii="Garamond" w:hAnsi="Garamond"/>
                <w:sz w:val="18"/>
              </w:rPr>
              <w:t>14,999</w:t>
            </w:r>
          </w:p>
        </w:tc>
        <w:tc>
          <w:tcPr>
            <w:tcW w:type="dxa" w:w="2340"/>
          </w:tcPr>
          <w:p>
            <w:pPr>
              <w:spacing w:line="240" w:lineRule="auto"/>
              <w:jc w:val="right"/>
            </w:pPr>
            <w:r/>
            <w:r>
              <w:rPr>
                <w:rFonts w:ascii="Garamond" w:hAnsi="Garamond"/>
                <w:sz w:val="18"/>
              </w:rPr>
              <w:t>12.2%</w:t>
            </w:r>
          </w:p>
        </w:tc>
        <w:tc>
          <w:tcPr>
            <w:tcW w:type="dxa" w:w="2340"/>
          </w:tcPr>
          <w:p>
            <w:pPr>
              <w:spacing w:line="240" w:lineRule="auto"/>
              <w:jc w:val="right"/>
            </w:pPr>
            <w:r/>
            <w:r>
              <w:rPr>
                <w:rFonts w:ascii="Garamond" w:hAnsi="Garamond"/>
                <w:sz w:val="18"/>
              </w:rPr>
              <w:t>27.5%</w:t>
            </w:r>
          </w:p>
        </w:tc>
      </w:tr>
      <w:tr>
        <w:tc>
          <w:tcPr>
            <w:tcW w:type="dxa" w:w="2340"/>
          </w:tcPr>
          <w:p>
            <w:pPr>
              <w:spacing w:line="240" w:lineRule="auto"/>
            </w:pPr>
            <w:r/>
            <w:r>
              <w:rPr>
                <w:rFonts w:ascii="Garamond" w:hAnsi="Garamond"/>
                <w:sz w:val="18"/>
              </w:rPr>
              <w:t>2025</w:t>
            </w:r>
          </w:p>
        </w:tc>
        <w:tc>
          <w:tcPr>
            <w:tcW w:type="dxa" w:w="2340"/>
          </w:tcPr>
          <w:p>
            <w:pPr>
              <w:spacing w:line="240" w:lineRule="auto"/>
              <w:jc w:val="right"/>
            </w:pPr>
            <w:r/>
            <w:r>
              <w:rPr>
                <w:rFonts w:ascii="Garamond" w:hAnsi="Garamond"/>
                <w:sz w:val="18"/>
              </w:rPr>
              <w:t>15,128</w:t>
            </w:r>
          </w:p>
        </w:tc>
        <w:tc>
          <w:tcPr>
            <w:tcW w:type="dxa" w:w="2340"/>
          </w:tcPr>
          <w:p>
            <w:pPr>
              <w:spacing w:line="240" w:lineRule="auto"/>
              <w:jc w:val="right"/>
            </w:pPr>
            <w:r/>
            <w:r>
              <w:rPr>
                <w:rFonts w:ascii="Garamond" w:hAnsi="Garamond"/>
                <w:sz w:val="18"/>
              </w:rPr>
              <w:t>12.6%</w:t>
            </w:r>
          </w:p>
        </w:tc>
        <w:tc>
          <w:tcPr>
            <w:tcW w:type="dxa" w:w="2340"/>
          </w:tcPr>
          <w:p>
            <w:pPr>
              <w:spacing w:line="240" w:lineRule="auto"/>
              <w:jc w:val="right"/>
            </w:pPr>
            <w:r/>
            <w:r>
              <w:rPr>
                <w:rFonts w:ascii="Garamond" w:hAnsi="Garamond"/>
                <w:sz w:val="18"/>
              </w:rPr>
              <w:t>25.5%</w:t>
            </w:r>
          </w:p>
        </w:tc>
      </w:tr>
    </w:tbl>
    <w:p>
      <w:pPr>
        <w:spacing w:after="0"/>
      </w:pPr>
    </w:p>
    <w:p>
      <w:pPr>
        <w:spacing w:line="240" w:lineRule="auto" w:before="0" w:after="120"/>
      </w:pPr>
      <w:r>
        <w:rPr>
          <w:rFonts w:ascii="Garamond" w:hAnsi="Garamond"/>
          <w:i/>
          <w:sz w:val="19"/>
        </w:rPr>
        <w:t>Notes: Source: Metro Nashville ParcelHistory ownership register, arm's-length conveyances of framework parcels classified by the owner-occupancy flag (owner mailing ZIP against property ZIP) on either side of each conveyance; quitclaims and nominal-consideration transfers excluded.</w:t>
      </w:r>
    </w:p>
    <w:p>
      <w:pPr>
        <w:pStyle w:val="Heading2"/>
      </w:pPr>
      <w:r>
        <w:t>Table A11. Institutional Share and the Change in Neighborhood Homeownership, 2007 to 2011 Vintage to 2020 to 2024 Vintage</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Outcome</w:t>
            </w:r>
          </w:p>
        </w:tc>
        <w:tc>
          <w:tcPr>
            <w:tcW w:type="dxa" w:w="3120"/>
            <w:tcBorders>
              <w:bottom w:val="single" w:sz="4" w:color="000000"/>
            </w:tcBorders>
          </w:tcPr>
          <w:p>
            <w:pPr>
              <w:spacing w:line="240" w:lineRule="auto"/>
            </w:pPr>
            <w:r>
              <w:rPr>
                <w:b/>
              </w:rPr>
            </w:r>
            <w:r>
              <w:rPr>
                <w:rFonts w:ascii="Garamond" w:hAnsi="Garamond"/>
                <w:b/>
                <w:sz w:val="18"/>
              </w:rPr>
              <w:t>Broad corporate share</w:t>
            </w:r>
          </w:p>
        </w:tc>
        <w:tc>
          <w:tcPr>
            <w:tcW w:type="dxa" w:w="3120"/>
            <w:tcBorders>
              <w:bottom w:val="single" w:sz="4" w:color="000000"/>
            </w:tcBorders>
          </w:tcPr>
          <w:p>
            <w:pPr>
              <w:spacing w:line="240" w:lineRule="auto"/>
            </w:pPr>
            <w:r>
              <w:rPr>
                <w:b/>
              </w:rPr>
            </w:r>
            <w:r>
              <w:rPr>
                <w:rFonts w:ascii="Garamond" w:hAnsi="Garamond"/>
                <w:b/>
                <w:sz w:val="18"/>
              </w:rPr>
              <w:t>Named-operator share</w:t>
            </w:r>
          </w:p>
        </w:tc>
      </w:tr>
      <w:tr>
        <w:tc>
          <w:tcPr>
            <w:tcW w:type="dxa" w:w="3120"/>
          </w:tcPr>
          <w:p>
            <w:pPr>
              <w:spacing w:line="240" w:lineRule="auto"/>
            </w:pPr>
            <w:r/>
            <w:r>
              <w:rPr>
                <w:rFonts w:ascii="Garamond" w:hAnsi="Garamond"/>
                <w:sz w:val="18"/>
              </w:rPr>
              <w:t>Overall homeownership rate, tract</w:t>
            </w:r>
          </w:p>
        </w:tc>
        <w:tc>
          <w:tcPr>
            <w:tcW w:type="dxa" w:w="3120"/>
          </w:tcPr>
          <w:p>
            <w:pPr>
              <w:spacing w:line="240" w:lineRule="auto"/>
            </w:pPr>
            <w:r/>
            <w:r>
              <w:rPr>
                <w:rFonts w:ascii="Garamond" w:hAnsi="Garamond"/>
                <w:sz w:val="18"/>
              </w:rPr>
              <w:t>-0.35 (p = 0.003)</w:t>
            </w:r>
          </w:p>
        </w:tc>
        <w:tc>
          <w:tcPr>
            <w:tcW w:type="dxa" w:w="3120"/>
          </w:tcPr>
          <w:p>
            <w:pPr>
              <w:spacing w:line="240" w:lineRule="auto"/>
            </w:pPr>
            <w:r/>
            <w:r>
              <w:rPr>
                <w:rFonts w:ascii="Garamond" w:hAnsi="Garamond"/>
                <w:sz w:val="18"/>
              </w:rPr>
              <w:t>-0.34 (not significant)</w:t>
            </w:r>
          </w:p>
        </w:tc>
      </w:tr>
      <w:tr>
        <w:tc>
          <w:tcPr>
            <w:tcW w:type="dxa" w:w="3120"/>
          </w:tcPr>
          <w:p>
            <w:pPr>
              <w:spacing w:line="240" w:lineRule="auto"/>
            </w:pPr>
            <w:r/>
            <w:r>
              <w:rPr>
                <w:rFonts w:ascii="Garamond" w:hAnsi="Garamond"/>
                <w:sz w:val="18"/>
              </w:rPr>
              <w:t>Overall homeownership rate, block group</w:t>
            </w:r>
          </w:p>
        </w:tc>
        <w:tc>
          <w:tcPr>
            <w:tcW w:type="dxa" w:w="3120"/>
          </w:tcPr>
          <w:p>
            <w:pPr>
              <w:spacing w:line="240" w:lineRule="auto"/>
            </w:pPr>
            <w:r/>
            <w:r>
              <w:rPr>
                <w:rFonts w:ascii="Garamond" w:hAnsi="Garamond"/>
                <w:sz w:val="18"/>
              </w:rPr>
              <w:t>-0.19 (p = 0.002)</w:t>
            </w:r>
          </w:p>
        </w:tc>
        <w:tc>
          <w:tcPr>
            <w:tcW w:type="dxa" w:w="3120"/>
          </w:tcPr>
          <w:p>
            <w:pPr>
              <w:spacing w:line="240" w:lineRule="auto"/>
            </w:pPr>
            <w:r/>
            <w:r>
              <w:rPr>
                <w:rFonts w:ascii="Garamond" w:hAnsi="Garamond"/>
                <w:sz w:val="18"/>
              </w:rPr>
              <w:t>-0.02 (not significant)</w:t>
            </w:r>
          </w:p>
        </w:tc>
      </w:tr>
      <w:tr>
        <w:tc>
          <w:tcPr>
            <w:tcW w:type="dxa" w:w="3120"/>
          </w:tcPr>
          <w:p>
            <w:pPr>
              <w:spacing w:line="240" w:lineRule="auto"/>
            </w:pPr>
            <w:r/>
            <w:r>
              <w:rPr>
                <w:rFonts w:ascii="Garamond" w:hAnsi="Garamond"/>
                <w:sz w:val="18"/>
              </w:rPr>
              <w:t>Single-family homeownership rate, tract</w:t>
            </w:r>
          </w:p>
        </w:tc>
        <w:tc>
          <w:tcPr>
            <w:tcW w:type="dxa" w:w="3120"/>
          </w:tcPr>
          <w:p>
            <w:pPr>
              <w:spacing w:line="240" w:lineRule="auto"/>
            </w:pPr>
            <w:r/>
            <w:r>
              <w:rPr>
                <w:rFonts w:ascii="Garamond" w:hAnsi="Garamond"/>
                <w:sz w:val="18"/>
              </w:rPr>
              <w:t>-0.09 (not significant)</w:t>
            </w:r>
          </w:p>
        </w:tc>
        <w:tc>
          <w:tcPr>
            <w:tcW w:type="dxa" w:w="3120"/>
          </w:tcPr>
          <w:p>
            <w:pPr>
              <w:spacing w:line="240" w:lineRule="auto"/>
            </w:pPr>
            <w:r/>
            <w:r>
              <w:rPr>
                <w:rFonts w:ascii="Garamond" w:hAnsi="Garamond"/>
                <w:sz w:val="18"/>
              </w:rPr>
              <w:t>-1.70 (p = 0.005)</w:t>
            </w:r>
          </w:p>
        </w:tc>
      </w:tr>
    </w:tbl>
    <w:p>
      <w:pPr>
        <w:spacing w:after="0"/>
      </w:pPr>
    </w:p>
    <w:p>
      <w:pPr>
        <w:spacing w:line="240" w:lineRule="auto" w:before="0" w:after="120"/>
      </w:pPr>
      <w:r>
        <w:rPr>
          <w:rFonts w:ascii="Garamond" w:hAnsi="Garamond"/>
          <w:i/>
          <w:sz w:val="19"/>
        </w:rPr>
        <w:t>Notes: Cells report the ordinary-least-squares coefficient on the institutional share (percentage-point change in the homeownership rate per percentage point of share) with heteroskedasticity-robust p-values. Each model controls for the 2011 baseline homeownership rate, log median home value, poverty rate, percent Black, median household income, and trustee's deeds recorded 2008 to 2013 per 100 housing units (15,308 county-wide). Sources: American Community Survey tables B25003 and B25032, 2007 to 2011 and 2020 to 2024 vintages, with the earlier vintage crosswalked to 2020 tract boundaries; Davidson County Register of Deeds trustee's deeds. July 2026 analysis for this series.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rPr>
          <w:rFonts w:ascii="Garamond" w:hAnsi="Garamond"/>
          <w:sz w:val="20"/>
        </w:rPr>
        <w:separator/>
      </w:r>
    </w:p>
  </w:footnote>
  <w:footnote w:type="continuationSeparator" w:id="0">
    <w:p>
      <w:r>
        <w:rPr>
          <w:rFonts w:ascii="Garamond" w:hAnsi="Garamond"/>
          <w:sz w:val="20"/>
        </w:rPr>
        <w:continuationSeparator/>
      </w:r>
    </w:p>
  </w:footnote>
  <w:footnote w:id="1">
    <w:p>
      <w:pPr>
        <w:pStyle w:val="FootnoteText"/>
      </w:pPr>
      <w:r>
        <w:rPr>
          <w:rStyle w:val="FootnoteReference"/>
          <w:rFonts w:ascii="Garamond" w:hAnsi="Garamond"/>
          <w:sz w:val="20"/>
        </w:rPr>
        <w:footnoteRef/>
      </w:r>
      <w:r>
        <w:rPr>
          <w:rFonts w:ascii="Garamond" w:hAnsi="Garamond"/>
          <w:sz w:val="20"/>
        </w:rPr>
        <w:t xml:space="preserve"> Part V of this series, Who Finances Nashville, identifies 1,833 Davidson County parcels ever pledged to a single-family rental securitization from the operators' Form ABS-15G and Exhibit 99 filings on SEC EDGAR, https://www.sec.gov/edgar/search/, of which 878 sit in ZIP code 37013.</w:t>
      </w:r>
    </w:p>
  </w:footnote>
  <w:footnote w:id="2">
    <w:p>
      <w:pPr>
        <w:pStyle w:val="FootnoteText"/>
      </w:pPr>
      <w:r>
        <w:rPr>
          <w:rStyle w:val="FootnoteReference"/>
          <w:rFonts w:ascii="Garamond" w:hAnsi="Garamond"/>
          <w:sz w:val="20"/>
        </w:rPr>
        <w:footnoteRef/>
      </w:r>
      <w:r>
        <w:rPr>
          <w:rFonts w:ascii="Garamond" w:hAnsi="Garamond"/>
          <w:sz w:val="20"/>
        </w:rPr>
        <w:t xml:space="preserve"> Owner mailing address field of Metro. Gov't of Nashville &amp; Davidson Cnty., Cadastral Parcels, Cadastral_Layers MapServer Layer 4, https://maps.nashville.gov/arcgis/rest/services/Cadastral/Cadastral_Layers/MapServer/4 (1,211 framework parcels listing P.O. Box 4090, Scottsdale, Ariz. 85261, all attributed to Progress Residential; July 14, 2026 extract). See Appendix Table A4.</w:t>
      </w:r>
    </w:p>
  </w:footnote>
  <w:footnote w:id="3">
    <w:p>
      <w:pPr>
        <w:pStyle w:val="FootnoteText"/>
      </w:pPr>
      <w:r>
        <w:rPr>
          <w:rStyle w:val="FootnoteReference"/>
          <w:rFonts w:ascii="Garamond" w:hAnsi="Garamond"/>
          <w:sz w:val="20"/>
        </w:rPr>
        <w:footnoteRef/>
      </w:r>
      <w:r>
        <w:rPr>
          <w:rFonts w:ascii="Garamond" w:hAnsi="Garamond"/>
          <w:sz w:val="20"/>
        </w:rPr>
        <w:t xml:space="preserve"> Cadastral Layer 4, owner name field (248 framework parcels titled to Yamasa Co., Ltd.); Press Release, Pretium Partners, Pretium and Ares Management Complete Acquisition of Front Yard Residential (Jan. 11, 2021), https://pretium.com/news/; the Yamasa entities carried Front Yard's Davidson portfolio and route their tax bills through Progress Residential's Scottsdale box.</w:t>
      </w:r>
    </w:p>
  </w:footnote>
  <w:footnote w:id="4">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 (2026) (H.R. 6644, 119th Cong.; became law July 11, 2026, without the President's signature), enrolled text at https://www.congress.gov/119/bills/hr6644/BILLS-119hr6644enr.pdf. The House passed H.R. 6644 by 390 to 9 in February 2026, the Senate passed its substitute 89 to 10 on March 12, 2026, and the two chambers agreed to the final text in June 2026, the House 358 to 32 and the Senate 85 to 5. H.R. 6644, All Actions, https://www.congress.gov/bill/119th-congress/house-bill/6644/all-actions.</w:t>
      </w:r>
    </w:p>
  </w:footnote>
  <w:footnote w:id="5">
    <w:p>
      <w:pPr>
        <w:pStyle w:val="FootnoteText"/>
      </w:pPr>
      <w:r>
        <w:rPr>
          <w:rStyle w:val="FootnoteReference"/>
          <w:rFonts w:ascii="Garamond" w:hAnsi="Garamond"/>
          <w:sz w:val="20"/>
        </w:rPr>
        <w:footnoteRef/>
      </w:r>
      <w:r>
        <w:rPr>
          <w:rFonts w:ascii="Garamond" w:hAnsi="Garamond"/>
          <w:sz w:val="20"/>
        </w:rPr>
        <w:t xml:space="preserve"> Pub. L. No. 119-101, § 1001(a)(3)(A)(i)(II) (350 single-family homes); id. § 1001(a)(5) (single-family home defined as a structure that contains 2 or fewer dwelling units); id. § 1001(b)(1) (prohibition).</w:t>
      </w:r>
    </w:p>
  </w:footnote>
  <w:footnote w:id="6">
    <w:p>
      <w:pPr>
        <w:pStyle w:val="FootnoteText"/>
      </w:pPr>
      <w:r>
        <w:rPr>
          <w:rStyle w:val="FootnoteReference"/>
          <w:rFonts w:ascii="Garamond" w:hAnsi="Garamond"/>
          <w:sz w:val="20"/>
        </w:rPr>
        <w:footnoteRef/>
      </w:r>
      <w:r>
        <w:rPr>
          <w:rFonts w:ascii="Garamond" w:hAnsi="Garamond"/>
          <w:sz w:val="20"/>
        </w:rPr>
        <w:t xml:space="preserve"> Natalie Baldacci, Who Owns Nashville? Wall Street's Quiet Takeover of a City's Housing Market: Series Introduction (2026), the first paper in this series, which introduces the operators, the statute, and the lifecycle the Parts walk.</w:t>
      </w:r>
    </w:p>
  </w:footnote>
  <w:footnote w:id="7">
    <w:p>
      <w:pPr>
        <w:pStyle w:val="FootnoteText"/>
      </w:pPr>
      <w:r>
        <w:rPr>
          <w:rStyle w:val="FootnoteReference"/>
          <w:rFonts w:ascii="Garamond" w:hAnsi="Garamond"/>
          <w:sz w:val="20"/>
        </w:rPr>
        <w:footnoteRef/>
      </w:r>
      <w:r>
        <w:rPr>
          <w:rFonts w:ascii="Garamond" w:hAnsi="Garamond"/>
          <w:sz w:val="20"/>
        </w:rPr>
        <w:t xml:space="preserve"> The series' replication materials, including the operator crosswalk, the parent-subsidiary registry, the per-tract tables, and the query strings for each public endpoint, are published in the online data appendix at https://nataliebaldacci.github.io/Who-Owns-Nashville/.</w:t>
      </w:r>
    </w:p>
  </w:footnote>
  <w:footnote w:id="8">
    <w:p>
      <w:pPr>
        <w:pStyle w:val="FootnoteText"/>
      </w:pPr>
      <w:r>
        <w:rPr>
          <w:rStyle w:val="FootnoteReference"/>
          <w:rFonts w:ascii="Garamond" w:hAnsi="Garamond"/>
          <w:sz w:val="20"/>
        </w:rPr>
        <w:footnoteRef/>
      </w:r>
      <w:r>
        <w:rPr>
          <w:rFonts w:ascii="Garamond" w:hAnsi="Garamond"/>
          <w:sz w:val="20"/>
        </w:rPr>
        <w:t xml:space="preserve"> Author's analysis of Cadastral Layer 4. The framework universe is the Act's definition expressed in the county's fields, replayable as a count query: https://maps.nashville.gov/arcgis/rest/services/Cadastral/Cadastral_Layers/MapServer/4/query?where=(DUCount%3D1+OR+DUCount%3D2)+AND+LUDesc+IN+('SINGLE+FAMILY','ZERO+LOT+LINE','DUPLEX','RESIDENTIAL+CONDO')+AND+FeatureType+NOT+IN+('Multistory+Condo','Multistory+Common+Area','Open+Space')&amp;returnCountOnly=true&amp;f=json (205,933 parcels; 42,631 non-owner-occupied; 11,929 out-of-state; 16,615 entity-owned after removing governments, lenders, and trusts). The occupancy, location, land-use, and stock characteristics by owner type are reported in Appendix Table A2.</w:t>
      </w:r>
    </w:p>
  </w:footnote>
  <w:footnote w:id="9">
    <w:p>
      <w:pPr>
        <w:pStyle w:val="FootnoteText"/>
      </w:pPr>
      <w:r>
        <w:rPr>
          <w:rStyle w:val="FootnoteReference"/>
          <w:rFonts w:ascii="Garamond" w:hAnsi="Garamond"/>
          <w:sz w:val="20"/>
        </w:rPr>
        <w:footnoteRef/>
      </w:r>
      <w:r>
        <w:rPr>
          <w:rFonts w:ascii="Garamond" w:hAnsi="Garamond"/>
          <w:sz w:val="20"/>
        </w:rPr>
        <w:t xml:space="preserve"> Author's operator crosswalk applied to Cadastral Layer 4, July 22, 2026 rollup, Appendix Table A1 (Progress Residential 1,222; American Homes 4 Rent 1,173; Amherst 657; Normandy Group 302; Tricon 276; Starwood 251; Maymont 105; My Community Homes 100; FirstKey 92; RESICAP 64; VineBrook 59; Rithm 52; Sparrow / Nuveen 37; Invitation Homes 10). The Chilton four-trust total of 2,656 sums Progress, American Homes 4 Rent, Starwood, and Invitation Homes.</w:t>
      </w:r>
    </w:p>
  </w:footnote>
  <w:footnote w:id="10">
    <w:p>
      <w:pPr>
        <w:pStyle w:val="FootnoteText"/>
      </w:pPr>
      <w:r>
        <w:rPr>
          <w:rStyle w:val="FootnoteReference"/>
          <w:rFonts w:ascii="Garamond" w:hAnsi="Garamond"/>
          <w:sz w:val="20"/>
        </w:rPr>
        <w:footnoteRef/>
      </w:r>
      <w:r>
        <w:rPr>
          <w:rFonts w:ascii="Garamond" w:hAnsi="Garamond"/>
          <w:sz w:val="20"/>
        </w:rPr>
        <w:t xml:space="preserve"> Author's parent-subsidiary address registry, July 14, 2026 (9,973 entities under 97 parent families, compiled from operators' Form 10-K Exhibit 21 subsidiary schedules and Form ABS-15G filings on SEC EDGAR, https://www.sec.gov/edgar/search/, the Tennessee Secretary of State business entity search, https://tncab.tnsos.gov/portal/business-entity-search, and the Davidson deed record), published in the online data appendix. The 329 recorded names behind the operator-attributed parcels are counted in Appendix Table A4.</w:t>
      </w:r>
    </w:p>
  </w:footnote>
  <w:footnote w:id="11">
    <w:p>
      <w:pPr>
        <w:pStyle w:val="FootnoteText"/>
      </w:pPr>
      <w:r>
        <w:rPr>
          <w:rStyle w:val="FootnoteReference"/>
          <w:rFonts w:ascii="Garamond" w:hAnsi="Garamond"/>
          <w:sz w:val="20"/>
        </w:rPr>
        <w:footnoteRef/>
      </w:r>
      <w:r>
        <w:rPr>
          <w:rFonts w:ascii="Garamond" w:hAnsi="Garamond"/>
          <w:sz w:val="20"/>
        </w:rPr>
        <w:t xml:space="preserve"> Author's tract-level analysis joining the framework parcels to U.S. Census Bureau, American Community Survey 2020 to 2024 5-Year Estimates, profiles DP03, DP04, and DP05, https://api.census.gov/data/2024/acs/acs5 (entity-owned parcels 9.89 percent of the stock in 72 burdened tracts against 8.04 percent county-wide, a ratio of 1.23; named-operator parcels 1.67 against 1.91 percent, a ratio of 0.88; Welch t-tests on 50 high-concentration tracts against 120 others). Appendix Tables A5 to A7; the per-tract table is published at https://nataliebaldacci.github.io/Who-Owns-Nashville/Chilton_2018_Update.html.</w:t>
      </w:r>
    </w:p>
  </w:footnote>
  <w:footnote w:id="12">
    <w:p>
      <w:pPr>
        <w:pStyle w:val="FootnoteText"/>
      </w:pPr>
      <w:r>
        <w:rPr>
          <w:rStyle w:val="FootnoteReference"/>
          <w:rFonts w:ascii="Garamond" w:hAnsi="Garamond"/>
          <w:sz w:val="20"/>
        </w:rPr>
        <w:footnoteRef/>
      </w:r>
      <w:r>
        <w:rPr>
          <w:rFonts w:ascii="Garamond" w:hAnsi="Garamond"/>
          <w:sz w:val="20"/>
        </w:rPr>
        <w:t xml:space="preserve"> Author's analysis of Metro. Gov't of Nashville &amp; Davidson Cnty., Parcel History: Ownership, ParcelHistory MapServer Layer 2, https://maps.nashville.gov/arcgis2/rest/services/Parcels/ParcelHistory/MapServer/2 (operator-attributed acquisitions less dispositions by year, Appendix Table A9; parcels currently held per the register's active records).</w:t>
      </w:r>
    </w:p>
  </w:footnote>
  <w:footnote w:id="13">
    <w:p>
      <w:pPr>
        <w:pStyle w:val="FootnoteText"/>
      </w:pPr>
      <w:r>
        <w:rPr>
          <w:rStyle w:val="FootnoteReference"/>
          <w:rFonts w:ascii="Garamond" w:hAnsi="Garamond"/>
          <w:sz w:val="20"/>
        </w:rPr>
        <w:footnoteRef/>
      </w:r>
      <w:r>
        <w:rPr>
          <w:rFonts w:ascii="Garamond" w:hAnsi="Garamond"/>
          <w:sz w:val="20"/>
        </w:rPr>
        <w:t xml:space="preserve"> Cong. Rsch. Serv., R47332, Ownership of the U.S. Rental Housing Stock by Investor Type: In Brief (Dec. 13, 2022), https://www.congress.gov/crs-product/R47332.</w:t>
      </w:r>
    </w:p>
  </w:footnote>
  <w:footnote w:id="14">
    <w:p>
      <w:pPr>
        <w:pStyle w:val="FootnoteText"/>
      </w:pPr>
      <w:r>
        <w:rPr>
          <w:rStyle w:val="FootnoteReference"/>
          <w:rFonts w:ascii="Garamond" w:hAnsi="Garamond"/>
          <w:sz w:val="20"/>
        </w:rPr>
        <w:footnoteRef/>
      </w:r>
      <w:r>
        <w:rPr>
          <w:rFonts w:ascii="Garamond" w:hAnsi="Garamond"/>
          <w:sz w:val="20"/>
        </w:rPr>
        <w:t xml:space="preserve"> U.S. Gov't Accountability Off., GAO-24-106643, Rental Housing: Information on Institutional Investment in Single-Family Homes (May 2024), https://www.gao.gov/products/gao-24-106643 (tracing the asset class to the foreclosure crisis and the Federal Housing Finance Agency's 2012 REO-to-rental pilot; roughly 450,000 institutionally owned single-family rentals by 2022; a definitional floor of 1,000 homes; and tenant-outcome evidence described as unclear).</w:t>
      </w:r>
    </w:p>
  </w:footnote>
  <w:footnote w:id="15">
    <w:p>
      <w:pPr>
        <w:pStyle w:val="FootnoteText"/>
      </w:pPr>
      <w:r>
        <w:rPr>
          <w:rStyle w:val="FootnoteReference"/>
          <w:rFonts w:ascii="Garamond" w:hAnsi="Garamond"/>
          <w:sz w:val="20"/>
        </w:rPr>
        <w:footnoteRef/>
      </w:r>
      <w:r>
        <w:rPr>
          <w:rFonts w:ascii="Garamond" w:hAnsi="Garamond"/>
          <w:sz w:val="20"/>
        </w:rPr>
        <w:t xml:space="preserve"> James Mills, Raven S. Molloy &amp; Rebecca E. Zarutskie, Large-Scale Buy-to-Rent Investors in the Single-Family Housing Market: The Emergence of a New Asset Class?, Fin. &amp; Econ. Discussion Series No. 2015-084, Bd. of Governors of the Fed. Rsrv. Sys. (2015), https://doi.org/10.17016/FEDS.2015.084.</w:t>
      </w:r>
    </w:p>
  </w:footnote>
  <w:footnote w:id="16">
    <w:p>
      <w:pPr>
        <w:pStyle w:val="FootnoteText"/>
      </w:pPr>
      <w:r>
        <w:rPr>
          <w:rStyle w:val="FootnoteReference"/>
          <w:rFonts w:ascii="Garamond" w:hAnsi="Garamond"/>
          <w:sz w:val="20"/>
        </w:rPr>
        <w:footnoteRef/>
      </w:r>
      <w:r>
        <w:rPr>
          <w:rFonts w:ascii="Garamond" w:hAnsi="Garamond"/>
          <w:sz w:val="20"/>
        </w:rPr>
        <w:t xml:space="preserve"> See supra note 14.</w:t>
      </w:r>
    </w:p>
  </w:footnote>
  <w:footnote w:id="17">
    <w:p>
      <w:pPr>
        <w:pStyle w:val="FootnoteText"/>
      </w:pPr>
      <w:r>
        <w:rPr>
          <w:rStyle w:val="FootnoteReference"/>
          <w:rFonts w:ascii="Garamond" w:hAnsi="Garamond"/>
          <w:sz w:val="20"/>
        </w:rPr>
        <w:footnoteRef/>
      </w:r>
      <w:r>
        <w:rPr>
          <w:rFonts w:ascii="Garamond" w:hAnsi="Garamond"/>
          <w:sz w:val="20"/>
        </w:rPr>
        <w:t xml:space="preserve"> Part V of this series, Who Finances Nashville (tracing the securitization chain from Form ABS-15G to the Davidson parcel; 1,833 parcels ever pledged, 122 borrower entities, six operator families; 69 percent of pledged homes in owner-occupied tracts at loan year and appraisal-to-tract ratios of 0.65 to 0.84 in every operator's portfolio).</w:t>
      </w:r>
    </w:p>
  </w:footnote>
  <w:footnote w:id="18">
    <w:p>
      <w:pPr>
        <w:pStyle w:val="FootnoteText"/>
      </w:pPr>
      <w:r>
        <w:rPr>
          <w:rStyle w:val="FootnoteReference"/>
          <w:rFonts w:ascii="Garamond" w:hAnsi="Garamond"/>
          <w:sz w:val="20"/>
        </w:rPr>
        <w:footnoteRef/>
      </w:r>
      <w:r>
        <w:rPr>
          <w:rFonts w:ascii="Garamond" w:hAnsi="Garamond"/>
          <w:sz w:val="20"/>
        </w:rPr>
        <w:t xml:space="preserve"> Press Release, Blackstone, Blackstone Real Estate Completes Privatization of Tricon (May 1, 2024), https://www.blackstone.com/news/press/blackstone-real-estate-completes-privatization-of-tricon/ ($3.5 billion); Press Release, Pretium Partners, Pretium and Ares Management Complete Acquisition of Front Yard Residential (Jan. 11, 2021), https://pretium.com/news/; Invitation Homes Inc., Annual Report (Form 10-K) (2017), https://www.sec.gov/edgar/search/ (merger with Starwood Waypoint Homes, formerly Colony Starwood Homes); American Homes 4 Rent, Annual Report (Form 10-K) (2016), https://www.sec.gov/edgar/search/ (acquisition of American Residential Properties). The first-wave securitization roster is documented in Part V.</w:t>
      </w:r>
    </w:p>
  </w:footnote>
  <w:footnote w:id="19">
    <w:p>
      <w:pPr>
        <w:pStyle w:val="FootnoteText"/>
      </w:pPr>
      <w:r>
        <w:rPr>
          <w:rStyle w:val="FootnoteReference"/>
          <w:rFonts w:ascii="Garamond" w:hAnsi="Garamond"/>
          <w:sz w:val="20"/>
        </w:rPr>
        <w:footnoteRef/>
      </w:r>
      <w:r>
        <w:rPr>
          <w:rFonts w:ascii="Garamond" w:hAnsi="Garamond"/>
          <w:sz w:val="20"/>
        </w:rPr>
        <w:t xml:space="preserve"> See supra note 14.</w:t>
      </w:r>
    </w:p>
  </w:footnote>
  <w:footnote w:id="20">
    <w:p>
      <w:pPr>
        <w:pStyle w:val="FootnoteText"/>
      </w:pPr>
      <w:r>
        <w:rPr>
          <w:rStyle w:val="FootnoteReference"/>
          <w:rFonts w:ascii="Garamond" w:hAnsi="Garamond"/>
          <w:sz w:val="20"/>
        </w:rPr>
        <w:footnoteRef/>
      </w:r>
      <w:r>
        <w:rPr>
          <w:rFonts w:ascii="Garamond" w:hAnsi="Garamond"/>
          <w:sz w:val="20"/>
        </w:rPr>
        <w:t xml:space="preserve"> See supra note 12.</w:t>
      </w:r>
    </w:p>
  </w:footnote>
  <w:footnote w:id="21">
    <w:p>
      <w:pPr>
        <w:pStyle w:val="FootnoteText"/>
      </w:pPr>
      <w:r>
        <w:rPr>
          <w:rStyle w:val="FootnoteReference"/>
          <w:rFonts w:ascii="Garamond" w:hAnsi="Garamond"/>
          <w:sz w:val="20"/>
        </w:rPr>
        <w:footnoteRef/>
      </w:r>
      <w:r>
        <w:rPr>
          <w:rFonts w:ascii="Garamond" w:hAnsi="Garamond"/>
          <w:sz w:val="20"/>
        </w:rPr>
        <w:t xml:space="preserve"> Capright, Single-Family Rental REIT Update 3 to 8 (July 2025) (first-quarter 2025 portfolios: Progress Residential roughly 90,000 homes; Invitation Homes 85,261; American Homes 4 Rent 60,531; Tricon 60,000; FirstKey 48,000; Main Street Renewal 42,000; VineBrook 21,000; Maymont 15,000), https://www.capright.com/.</w:t>
      </w:r>
    </w:p>
  </w:footnote>
  <w:footnote w:id="22">
    <w:p>
      <w:pPr>
        <w:pStyle w:val="FootnoteText"/>
      </w:pPr>
      <w:r>
        <w:rPr>
          <w:rStyle w:val="FootnoteReference"/>
          <w:rFonts w:ascii="Garamond" w:hAnsi="Garamond"/>
          <w:sz w:val="20"/>
        </w:rPr>
        <w:footnoteRef/>
      </w:r>
      <w:r>
        <w:rPr>
          <w:rFonts w:ascii="Garamond" w:hAnsi="Garamond"/>
          <w:sz w:val="20"/>
        </w:rPr>
        <w:t xml:space="preserve"> See supra note 9.</w:t>
      </w:r>
    </w:p>
  </w:footnote>
  <w:footnote w:id="23">
    <w:p>
      <w:pPr>
        <w:pStyle w:val="FootnoteText"/>
      </w:pPr>
      <w:r>
        <w:rPr>
          <w:rStyle w:val="FootnoteReference"/>
          <w:rFonts w:ascii="Garamond" w:hAnsi="Garamond"/>
          <w:sz w:val="20"/>
        </w:rPr>
        <w:footnoteRef/>
      </w:r>
      <w:r>
        <w:rPr>
          <w:rFonts w:ascii="Garamond" w:hAnsi="Garamond"/>
          <w:sz w:val="20"/>
        </w:rPr>
        <w:t xml:space="preserve"> Tricon Capital Acquires 708 Homes in Nashville, REjournals (Dec. 2019), https://rejournals.com/tricon-capital-acquires-708-homes-in-nashville/ (Tricon's TAH-JV1 bought 708 Nashville homes from Invitation Homes for about $210 million); Cadastral Layer 4, owner name field (Invitation Homes proper 10 framework parcels; the SN Tennessee entities of the Sparrow / Nuveen joint venture 37, managed by Invitation Homes), Appendix Table A1.</w:t>
      </w:r>
    </w:p>
  </w:footnote>
  <w:footnote w:id="24">
    <w:p>
      <w:pPr>
        <w:pStyle w:val="FootnoteText"/>
      </w:pPr>
      <w:r>
        <w:rPr>
          <w:rStyle w:val="FootnoteReference"/>
          <w:rFonts w:ascii="Garamond" w:hAnsi="Garamond"/>
          <w:sz w:val="20"/>
        </w:rPr>
        <w:footnoteRef/>
      </w:r>
      <w:r>
        <w:rPr>
          <w:rFonts w:ascii="Garamond" w:hAnsi="Garamond"/>
          <w:sz w:val="20"/>
        </w:rPr>
        <w:t xml:space="preserve"> See supra note 9.</w:t>
      </w:r>
    </w:p>
  </w:footnote>
  <w:footnote w:id="25">
    <w:p>
      <w:pPr>
        <w:pStyle w:val="FootnoteText"/>
      </w:pPr>
      <w:r>
        <w:rPr>
          <w:rStyle w:val="FootnoteReference"/>
          <w:rFonts w:ascii="Garamond" w:hAnsi="Garamond"/>
          <w:sz w:val="20"/>
        </w:rPr>
        <w:footnoteRef/>
      </w:r>
      <w:r>
        <w:rPr>
          <w:rFonts w:ascii="Garamond" w:hAnsi="Garamond"/>
          <w:sz w:val="20"/>
        </w:rPr>
        <w:t xml:space="preserve"> Section 4.B reviews the literature in full; the four questions follow the organization of GAO-24-106643, https://www.gao.gov/products/gao-24-106643.</w:t>
      </w:r>
    </w:p>
  </w:footnote>
  <w:footnote w:id="26">
    <w:p>
      <w:pPr>
        <w:pStyle w:val="FootnoteText"/>
      </w:pPr>
      <w:r>
        <w:rPr>
          <w:rStyle w:val="FootnoteReference"/>
          <w:rFonts w:ascii="Garamond" w:hAnsi="Garamond"/>
          <w:sz w:val="20"/>
        </w:rPr>
        <w:footnoteRef/>
      </w:r>
      <w:r>
        <w:rPr>
          <w:rFonts w:ascii="Garamond" w:hAnsi="Garamond"/>
          <w:sz w:val="20"/>
        </w:rPr>
        <w:t xml:space="preserve"> Lauren Lambie-Hanson, Wenli Li &amp; Michael Slonkosky, Leaving Households Behind: Institutional Investors and the U.S. Housing Recovery, Fed. Rsrv. Bank of Phila. Working Paper No. 19-01 (2019), https://doi.org/10.21799/frbp.wp.2019.01 (classifying a transaction as institutional when a company rather than a named individual is the buyer, without a size threshold); Lauren Lambie-Hanson, Wenli Li &amp; Michael Slonkosky, Institutional Investors and the U.S. Housing Recovery, Fed. Rsrv. Bank of Phila. Working Paper No. 19-45 (2019), https://doi.org/10.21799/frbp.wp.2019.45 (institutional presence explaining over half of the increase in real home-price appreciation from 2006 through 2014); Carlos Garriga, Pedro Gete &amp; Athena Tsouderou, Investors and Housing Affordability, Fed. Rsrv. Bank of St. Louis Working Paper No. 2020-047A (Oct. 2020), https://doi.org/10.20955/wp.2020.047 (effects largest for the lowest-priced housing).</w:t>
      </w:r>
    </w:p>
  </w:footnote>
  <w:footnote w:id="27">
    <w:p>
      <w:pPr>
        <w:pStyle w:val="FootnoteText"/>
      </w:pPr>
      <w:r>
        <w:rPr>
          <w:rStyle w:val="FootnoteReference"/>
          <w:rFonts w:ascii="Garamond" w:hAnsi="Garamond"/>
          <w:sz w:val="20"/>
        </w:rPr>
        <w:footnoteRef/>
      </w:r>
      <w:r>
        <w:rPr>
          <w:rFonts w:ascii="Garamond" w:hAnsi="Garamond"/>
          <w:sz w:val="20"/>
        </w:rPr>
        <w:t xml:space="preserve"> Brian Y. An, The Influence of Institutional Single-Family Rental Investors on Homeownership: Who Gets Targeted and Pushed Out of the Local Market?, J. Plan. Educ. &amp; Rsch. (2024), https://doi.org/10.1177/0739456X231176072; Joshua Coven, The Impact of Institutional Investors on Homeownership and Neighborhood Access (working paper 2023), https://papers.ssrn.com/sol3/papers.cfm?abstract_id=4554831 (an estimated 0.22 fewer owner-occupied homes per institutional purchase).</w:t>
      </w:r>
    </w:p>
  </w:footnote>
  <w:footnote w:id="28">
    <w:p>
      <w:pPr>
        <w:pStyle w:val="FootnoteText"/>
      </w:pPr>
      <w:r>
        <w:rPr>
          <w:rStyle w:val="FootnoteReference"/>
          <w:rFonts w:ascii="Garamond" w:hAnsi="Garamond"/>
          <w:sz w:val="20"/>
        </w:rPr>
        <w:footnoteRef/>
      </w:r>
      <w:r>
        <w:rPr>
          <w:rFonts w:ascii="Garamond" w:hAnsi="Garamond"/>
          <w:sz w:val="20"/>
        </w:rPr>
        <w:t xml:space="preserve"> Elora Lee Raymond, Richard Duckworth, Ben Miller, Michael Lucas &amp; Shiraj Pokharel, Corporate Landlords, Institutional Investors, and Displacement: Eviction Rates in Single-Family Rentals, Fed. Rsrv. Bank of Atlanta, Cmty. &amp; Econ. Dev. Discussion Paper No. 04-16 (2016), https://www.atlantafed.org/-/media/documents/community-development/publications/discussion-papers/2016/04-corporate-landlords-institutional-investors-and-displacement-2016-12-21.pdf; Private Equity Stakeholder Project, Progress Residential Preys on Renters as It Buys Up Homes in Tennessee and the U.S. South (Apr. 2023), https://pestakeholder.org/wp-content/uploads/2023/04/PESP_Report_NRHC_Progress_April2023_final-1.pdf; GAO-24-106643, https://www.gao.gov/products/gao-24-106643 (tenant-outcome evidence unclear).</w:t>
      </w:r>
    </w:p>
  </w:footnote>
  <w:footnote w:id="29">
    <w:p>
      <w:pPr>
        <w:pStyle w:val="FootnoteText"/>
      </w:pPr>
      <w:r>
        <w:rPr>
          <w:rStyle w:val="FootnoteReference"/>
          <w:rFonts w:ascii="Garamond" w:hAnsi="Garamond"/>
          <w:sz w:val="20"/>
        </w:rPr>
        <w:footnoteRef/>
      </w:r>
      <w:r>
        <w:rPr>
          <w:rFonts w:ascii="Garamond" w:hAnsi="Garamond"/>
          <w:sz w:val="20"/>
        </w:rPr>
        <w:t xml:space="preserve"> Eric Seymour, Taylor Shelton, Stephen Averill Sherman &amp; Joshua Akers, The Metropolitan and Neighborhood Geographies of REIT- and Private Equity-Owned Single-Family Rentals, J. Urb. Aff. (2023), https://doi.org/10.1080/07352166.2023.2247446; Suzanne Lanyi Charles, The Financialization of Single-Family Rental Housing: An Examination of Real Estate Investment Trusts' Ownership of Single-Family Houses in the Atlanta Metropolitan Area, 42 J. Urb. Aff. 1321 (2020), https://doi.org/10.1080/07352166.2019.1662728.</w:t>
      </w:r>
    </w:p>
  </w:footnote>
  <w:footnote w:id="30">
    <w:p>
      <w:pPr>
        <w:pStyle w:val="FootnoteText"/>
      </w:pPr>
      <w:r>
        <w:rPr>
          <w:rStyle w:val="FootnoteReference"/>
          <w:rFonts w:ascii="Garamond" w:hAnsi="Garamond"/>
          <w:sz w:val="20"/>
        </w:rPr>
        <w:footnoteRef/>
      </w:r>
      <w:r>
        <w:rPr>
          <w:rFonts w:ascii="Garamond" w:hAnsi="Garamond"/>
          <w:sz w:val="20"/>
        </w:rPr>
        <w:t xml:space="preserve"> Section 4.B; the series' literature comparison matrix records the investor threshold, the single-family definition, the study period, the geography, and the named operators for each of eighty-three catalogued studies.</w:t>
      </w:r>
    </w:p>
  </w:footnote>
  <w:footnote w:id="31">
    <w:p>
      <w:pPr>
        <w:pStyle w:val="FootnoteText"/>
      </w:pPr>
      <w:r>
        <w:rPr>
          <w:rStyle w:val="FootnoteReference"/>
          <w:rFonts w:ascii="Garamond" w:hAnsi="Garamond"/>
          <w:sz w:val="20"/>
        </w:rPr>
        <w:footnoteRef/>
      </w:r>
      <w:r>
        <w:rPr>
          <w:rFonts w:ascii="Garamond" w:hAnsi="Garamond"/>
          <w:sz w:val="20"/>
        </w:rPr>
        <w:t xml:space="preserve"> Author's analysis of ParcelHistory Layer 2, https://maps.nashville.gov/arcgis2/rest/services/Parcels/ParcelHistory/MapServer/2 (arm's-length deeds to crosswalk-attributed single-family rental operators, 2014 to 2025, consideration on multi-parcel deeds allocated evenly; median $272,395 against $285,000 for all arm's-length framework sales; operators below the county median in every year from 2017 through 2025), Appendix Table A8.</w:t>
      </w:r>
    </w:p>
  </w:footnote>
  <w:footnote w:id="32">
    <w:p>
      <w:pPr>
        <w:pStyle w:val="FootnoteText"/>
      </w:pPr>
      <w:r>
        <w:rPr>
          <w:rStyle w:val="FootnoteReference"/>
          <w:rFonts w:ascii="Garamond" w:hAnsi="Garamond"/>
          <w:sz w:val="20"/>
        </w:rPr>
        <w:footnoteRef/>
      </w:r>
      <w:r>
        <w:rPr>
          <w:rFonts w:ascii="Garamond" w:hAnsi="Garamond"/>
          <w:sz w:val="20"/>
        </w:rPr>
        <w:t xml:space="preserve"> Metro Human Relations Comm'n, Understanding Nashville's Housing Crisis, Part 3: Residential Segregation: How Did It Happen and Why Does It Persist?, at 18 (2018), https://www.nashville.gov/sites/default/files/2025-10/MHRC-UnderstandingNashvilleHousingCrisis-Part3.pdf (roughly 34 percent of African Americans in Nashville own their homes, against 68 percent of white residents and 40 percent of Hispanic residents).</w:t>
      </w:r>
    </w:p>
  </w:footnote>
  <w:footnote w:id="33">
    <w:p>
      <w:pPr>
        <w:pStyle w:val="FootnoteText"/>
      </w:pPr>
      <w:r>
        <w:rPr>
          <w:rStyle w:val="FootnoteReference"/>
          <w:rFonts w:ascii="Garamond" w:hAnsi="Garamond"/>
          <w:sz w:val="20"/>
        </w:rPr>
        <w:footnoteRef/>
      </w:r>
      <w:r>
        <w:rPr>
          <w:rFonts w:ascii="Garamond" w:hAnsi="Garamond"/>
          <w:sz w:val="20"/>
        </w:rPr>
        <w:t xml:space="preserve"> See supra note 4.</w:t>
      </w:r>
    </w:p>
  </w:footnote>
  <w:footnote w:id="34">
    <w:p>
      <w:pPr>
        <w:pStyle w:val="FootnoteText"/>
      </w:pPr>
      <w:r>
        <w:rPr>
          <w:rStyle w:val="FootnoteReference"/>
          <w:rFonts w:ascii="Garamond" w:hAnsi="Garamond"/>
          <w:sz w:val="20"/>
        </w:rPr>
        <w:footnoteRef/>
      </w:r>
      <w:r>
        <w:rPr>
          <w:rFonts w:ascii="Garamond" w:hAnsi="Garamond"/>
          <w:sz w:val="20"/>
        </w:rPr>
        <w:t xml:space="preserve"> Pub. L. No. 119-101, § 1001(a)(5).</w:t>
      </w:r>
    </w:p>
  </w:footnote>
  <w:footnote w:id="35">
    <w:p>
      <w:pPr>
        <w:pStyle w:val="FootnoteText"/>
      </w:pPr>
      <w:r>
        <w:rPr>
          <w:rStyle w:val="FootnoteReference"/>
          <w:rFonts w:ascii="Garamond" w:hAnsi="Garamond"/>
          <w:sz w:val="20"/>
        </w:rPr>
        <w:footnoteRef/>
      </w:r>
      <w:r>
        <w:rPr>
          <w:rFonts w:ascii="Garamond" w:hAnsi="Garamond"/>
          <w:sz w:val="20"/>
        </w:rPr>
        <w:t xml:space="preserve"> Id. § 1001(a)(3)(A) (for-profit entity that invests in, owns, rents, or manages single-family homes); id. § 1001(a)(3)(A)(i)(II) (350 single-family homes).</w:t>
      </w:r>
    </w:p>
  </w:footnote>
  <w:footnote w:id="36">
    <w:p>
      <w:pPr>
        <w:pStyle w:val="FootnoteText"/>
      </w:pPr>
      <w:r>
        <w:rPr>
          <w:rStyle w:val="FootnoteReference"/>
          <w:rFonts w:ascii="Garamond" w:hAnsi="Garamond"/>
          <w:sz w:val="20"/>
        </w:rPr>
        <w:footnoteRef/>
      </w:r>
      <w:r>
        <w:rPr>
          <w:rFonts w:ascii="Garamond" w:hAnsi="Garamond"/>
          <w:sz w:val="20"/>
        </w:rPr>
        <w:t xml:space="preserve"> Id. § 1001(a)(3)(B)(i) to (v) (investment control through general partnership, managing membership, investment advice, management, or ownership of more than 25 percent of any class of equity, at (B)(iv)). The enrolled print does not define "passive investor."</w:t>
      </w:r>
    </w:p>
  </w:footnote>
  <w:footnote w:id="37">
    <w:p>
      <w:pPr>
        <w:pStyle w:val="FootnoteText"/>
      </w:pPr>
      <w:r>
        <w:rPr>
          <w:rStyle w:val="FootnoteReference"/>
          <w:rFonts w:ascii="Garamond" w:hAnsi="Garamond"/>
          <w:sz w:val="20"/>
        </w:rPr>
        <w:footnoteRef/>
      </w:r>
      <w:r>
        <w:rPr>
          <w:rFonts w:ascii="Garamond" w:hAnsi="Garamond"/>
          <w:sz w:val="20"/>
        </w:rPr>
        <w:t xml:space="preserve"> Id. § 1001(a)(4) (purchase); id. § 1001(a)(2)(B) (build-to-rent exception), examined in Part III of this series.</w:t>
      </w:r>
    </w:p>
  </w:footnote>
  <w:footnote w:id="38">
    <w:p>
      <w:pPr>
        <w:pStyle w:val="FootnoteText"/>
      </w:pPr>
      <w:r>
        <w:rPr>
          <w:rStyle w:val="FootnoteReference"/>
          <w:rFonts w:ascii="Garamond" w:hAnsi="Garamond"/>
          <w:sz w:val="20"/>
        </w:rPr>
        <w:footnoteRef/>
      </w:r>
      <w:r>
        <w:rPr>
          <w:rFonts w:ascii="Garamond" w:hAnsi="Garamond"/>
          <w:sz w:val="20"/>
        </w:rPr>
        <w:t xml:space="preserve"> Id. § 1001(b)(1).</w:t>
      </w:r>
    </w:p>
  </w:footnote>
  <w:footnote w:id="39">
    <w:p>
      <w:pPr>
        <w:pStyle w:val="FootnoteText"/>
      </w:pPr>
      <w:r>
        <w:rPr>
          <w:rStyle w:val="FootnoteReference"/>
          <w:rFonts w:ascii="Garamond" w:hAnsi="Garamond"/>
          <w:sz w:val="20"/>
        </w:rPr>
        <w:footnoteRef/>
      </w:r>
      <w:r>
        <w:rPr>
          <w:rFonts w:ascii="Garamond" w:hAnsi="Garamond"/>
          <w:sz w:val="20"/>
        </w:rPr>
        <w:t xml:space="preserve"> Id. § 1001(b)(3)(A).</w:t>
      </w:r>
    </w:p>
  </w:footnote>
  <w:footnote w:id="40">
    <w:p>
      <w:pPr>
        <w:pStyle w:val="FootnoteText"/>
      </w:pPr>
      <w:r>
        <w:rPr>
          <w:rStyle w:val="FootnoteReference"/>
          <w:rFonts w:ascii="Garamond" w:hAnsi="Garamond"/>
          <w:sz w:val="20"/>
        </w:rPr>
        <w:footnoteRef/>
      </w:r>
      <w:r>
        <w:rPr>
          <w:rFonts w:ascii="Garamond" w:hAnsi="Garamond"/>
          <w:sz w:val="20"/>
        </w:rPr>
        <w:t xml:space="preserve"> Id. § 1001(d)(1) (civil penalty of not more than $1,000,000 per violation or three times the purchase price of the property, whichever is greater, in an action by the Secretary of the Treasury or by the Attorney General at the Secretary's request); id. § 1001(d)(2) (penalties transferred to the Department of Housing and Urban Development for the HOME Investment Partnerships program).</w:t>
      </w:r>
    </w:p>
  </w:footnote>
  <w:footnote w:id="41">
    <w:p>
      <w:pPr>
        <w:pStyle w:val="FootnoteText"/>
      </w:pPr>
      <w:r>
        <w:rPr>
          <w:rStyle w:val="FootnoteReference"/>
          <w:rFonts w:ascii="Garamond" w:hAnsi="Garamond"/>
          <w:sz w:val="20"/>
        </w:rPr>
        <w:footnoteRef/>
      </w:r>
      <w:r>
        <w:rPr>
          <w:rFonts w:ascii="Garamond" w:hAnsi="Garamond"/>
          <w:sz w:val="20"/>
        </w:rPr>
        <w:t xml:space="preserve"> Id. § 1001(f) (effective 180 days after enactment; repealed fifteen years after enactment).</w:t>
      </w:r>
    </w:p>
  </w:footnote>
  <w:footnote w:id="42">
    <w:p>
      <w:pPr>
        <w:pStyle w:val="FootnoteText"/>
      </w:pPr>
      <w:r>
        <w:rPr>
          <w:rStyle w:val="FootnoteReference"/>
          <w:rFonts w:ascii="Garamond" w:hAnsi="Garamond"/>
          <w:sz w:val="20"/>
        </w:rPr>
        <w:footnoteRef/>
      </w:r>
      <w:r>
        <w:rPr>
          <w:rFonts w:ascii="Garamond" w:hAnsi="Garamond"/>
          <w:sz w:val="20"/>
        </w:rPr>
        <w:t xml:space="preserve"> Id. § 1001(a)(2)(A) to (K); id. § 1001(a)(2)(C)(ii) (renovation spending of not less than 15 percent of the purchase price).</w:t>
      </w:r>
    </w:p>
  </w:footnote>
  <w:footnote w:id="43">
    <w:p>
      <w:pPr>
        <w:pStyle w:val="FootnoteText"/>
      </w:pPr>
      <w:r>
        <w:rPr>
          <w:rStyle w:val="FootnoteReference"/>
          <w:rFonts w:ascii="Garamond" w:hAnsi="Garamond"/>
          <w:sz w:val="20"/>
        </w:rPr>
        <w:footnoteRef/>
      </w:r>
      <w:r>
        <w:rPr>
          <w:rFonts w:ascii="Garamond" w:hAnsi="Garamond"/>
          <w:sz w:val="20"/>
        </w:rPr>
        <w:t xml:space="preserve"> See supra note 9.</w:t>
      </w:r>
    </w:p>
  </w:footnote>
  <w:footnote w:id="44">
    <w:p>
      <w:pPr>
        <w:pStyle w:val="FootnoteText"/>
      </w:pPr>
      <w:r>
        <w:rPr>
          <w:rStyle w:val="FootnoteReference"/>
          <w:rFonts w:ascii="Garamond" w:hAnsi="Garamond"/>
          <w:sz w:val="20"/>
        </w:rPr>
        <w:footnoteRef/>
      </w:r>
      <w:r>
        <w:rPr>
          <w:rFonts w:ascii="Garamond" w:hAnsi="Garamond"/>
          <w:sz w:val="20"/>
        </w:rPr>
        <w:t xml:space="preserve"> Cadastral Layer 4, owner name field (69 distinct recorded names attributed to Progress Residential in the July 7, 2026 framework extract and 71 in the July 14 grounded file, including Progress Residential Borrower 1 through 20, PR Borrower 26 and 27 with 52 parcels between them, Yamasa Co., Ltd., and FREO of Tennessee, LLC); PR Borrower 26, LLC and PR Borrower 27, LLC, Davidson Cnty. Reg. of Deeds (2025 to 2026), https://davidsonportal.com/.</w:t>
      </w:r>
    </w:p>
  </w:footnote>
  <w:footnote w:id="45">
    <w:p>
      <w:pPr>
        <w:pStyle w:val="FootnoteText"/>
      </w:pPr>
      <w:r>
        <w:rPr>
          <w:rStyle w:val="FootnoteReference"/>
          <w:rFonts w:ascii="Garamond" w:hAnsi="Garamond"/>
          <w:sz w:val="20"/>
        </w:rPr>
        <w:footnoteRef/>
      </w:r>
      <w:r>
        <w:rPr>
          <w:rFonts w:ascii="Garamond" w:hAnsi="Garamond"/>
          <w:sz w:val="20"/>
        </w:rPr>
        <w:t xml:space="preserve"> See supra note 8.</w:t>
      </w:r>
    </w:p>
  </w:footnote>
  <w:footnote w:id="46">
    <w:p>
      <w:pPr>
        <w:pStyle w:val="FootnoteText"/>
      </w:pPr>
      <w:r>
        <w:rPr>
          <w:rStyle w:val="FootnoteReference"/>
          <w:rFonts w:ascii="Garamond" w:hAnsi="Garamond"/>
          <w:sz w:val="20"/>
        </w:rPr>
        <w:footnoteRef/>
      </w:r>
      <w:r>
        <w:rPr>
          <w:rFonts w:ascii="Garamond" w:hAnsi="Garamond"/>
          <w:sz w:val="20"/>
        </w:rPr>
        <w:t xml:space="preserve"> H.B. 2210 / S.B. 2490, 113th Tenn. Gen. Assemb. (2024) (End Hedge Fund Control of Tennessee Homes Act), https://wapp.capitol.tn.gov/apps/BillInfo/Default.aspx?BillNumber=SB2490&amp;GA=113.</w:t>
      </w:r>
    </w:p>
  </w:footnote>
  <w:footnote w:id="47">
    <w:p>
      <w:pPr>
        <w:pStyle w:val="FootnoteText"/>
      </w:pPr>
      <w:r>
        <w:rPr>
          <w:rStyle w:val="FootnoteReference"/>
          <w:rFonts w:ascii="Garamond" w:hAnsi="Garamond"/>
          <w:sz w:val="20"/>
        </w:rPr>
        <w:footnoteRef/>
      </w:r>
      <w:r>
        <w:rPr>
          <w:rFonts w:ascii="Garamond" w:hAnsi="Garamond"/>
          <w:sz w:val="20"/>
        </w:rPr>
        <w:t xml:space="preserve"> S.B. 242 / H.B. 298, 114th Tenn. Gen. Assemb. (2025) (Homes Not Hedge Funds Act), https://www.capitol.tn.gov/Bills/114/Bill/SB0242.pdf; Sen. Charlane Oliver, The Homes Not Hedge Fund Act Has Passed in Senate, Substack (Mar. 9, 2025), https://senatorcharlaneoliver.substack.com/p/the-homes-not-hedge-fund-act-has (31 to 1 Senate vote); 'Homes Not Hedge Funds' Bill Fails in Tennessee State House, Chattanooga Times Free Press (Mar. 15, 2025), https://www.timesfreepress.com/news/2025/mar/15/homes-not-hedge-funds-bill-fails-in-tennessee/.</w:t>
      </w:r>
    </w:p>
  </w:footnote>
  <w:footnote w:id="48">
    <w:p>
      <w:pPr>
        <w:pStyle w:val="FootnoteText"/>
      </w:pPr>
      <w:r>
        <w:rPr>
          <w:rStyle w:val="FootnoteReference"/>
          <w:rFonts w:ascii="Garamond" w:hAnsi="Garamond"/>
          <w:sz w:val="20"/>
        </w:rPr>
        <w:footnoteRef/>
      </w:r>
      <w:r>
        <w:rPr>
          <w:rFonts w:ascii="Garamond" w:hAnsi="Garamond"/>
          <w:sz w:val="20"/>
        </w:rPr>
        <w:t xml:space="preserve"> Tenn. Sec'y of State, Business Entity Search, https://tncab.tnsos.gov/portal/business-entity-search (recording principal office, mailing address, and registered agent for each entity).</w:t>
      </w:r>
    </w:p>
  </w:footnote>
  <w:footnote w:id="49">
    <w:p>
      <w:pPr>
        <w:pStyle w:val="FootnoteText"/>
      </w:pPr>
      <w:r>
        <w:rPr>
          <w:rStyle w:val="FootnoteReference"/>
          <w:rFonts w:ascii="Garamond" w:hAnsi="Garamond"/>
          <w:sz w:val="20"/>
        </w:rPr>
        <w:footnoteRef/>
      </w:r>
      <w:r>
        <w:rPr>
          <w:rFonts w:ascii="Garamond" w:hAnsi="Garamond"/>
          <w:sz w:val="20"/>
        </w:rPr>
        <w:t xml:space="preserve"> Fin. Crimes Enf't Network, U.S. Dep't of the Treasury, Beneficial Ownership Information Reporting, https://www.fincen.gov/boi (interim final rule of March 2025 exempting domestic reporting companies and their beneficial owners from the Corporate Transparency Act's reporting requirement); Corporate Transparency Act, 31 U.S.C. § 5336.</w:t>
      </w:r>
    </w:p>
  </w:footnote>
  <w:footnote w:id="50">
    <w:p>
      <w:pPr>
        <w:pStyle w:val="FootnoteText"/>
      </w:pPr>
      <w:r>
        <w:rPr>
          <w:rStyle w:val="FootnoteReference"/>
          <w:rFonts w:ascii="Garamond" w:hAnsi="Garamond"/>
          <w:sz w:val="20"/>
        </w:rPr>
        <w:footnoteRef/>
      </w:r>
      <w:r>
        <w:rPr>
          <w:rFonts w:ascii="Garamond" w:hAnsi="Garamond"/>
          <w:sz w:val="20"/>
        </w:rPr>
        <w:t xml:space="preserve"> Metro. Gov't of Nashville &amp; Davidson Cnty., Code of Laws ch. 16.33 (Rental Inspections and Required Registration), https://library.municode.com/tn/metro_government_of_nashville_and_davidson_county/codes/code_of_ordinances?nodeId=CD_TIT16BUCO_CH16.33REIN; registrations are filed as case type 176 in the Department of Codes and Building Safety's ePermits system, https://epermits.nashville.gov/, and expire December 31 of each year. Part II of this series measures the ordinance's reach.</w:t>
      </w:r>
    </w:p>
  </w:footnote>
  <w:footnote w:id="51">
    <w:p>
      <w:pPr>
        <w:pStyle w:val="FootnoteText"/>
      </w:pPr>
      <w:r>
        <w:rPr>
          <w:rStyle w:val="FootnoteReference"/>
          <w:rFonts w:ascii="Garamond" w:hAnsi="Garamond"/>
          <w:sz w:val="20"/>
        </w:rPr>
        <w:footnoteRef/>
      </w:r>
      <w:r>
        <w:rPr>
          <w:rFonts w:ascii="Garamond" w:hAnsi="Garamond"/>
          <w:sz w:val="20"/>
        </w:rPr>
        <w:t xml:space="preserve"> Metro Human Relations Comm'n, Understanding Nashville's Housing Crisis, Part 3, at 6 to 7, https://www.nashville.gov/sites/default/files/2025-10/MHRC-UnderstandingNashvilleHousingCrisis-Part3.pdf (the Home Owners' Loan Corporation residential security map and the classification of Black neighborhoods as hazardous); the digitized Nashville polygons are at Robert K. Nelson et al., Mapping Inequality: Redlining in New Deal America, Univ. of Richmond, https://dsl.richmond.edu/panorama/redlining/.</w:t>
      </w:r>
    </w:p>
  </w:footnote>
  <w:footnote w:id="52">
    <w:p>
      <w:pPr>
        <w:pStyle w:val="FootnoteText"/>
      </w:pPr>
      <w:r>
        <w:rPr>
          <w:rStyle w:val="FootnoteReference"/>
          <w:rFonts w:ascii="Garamond" w:hAnsi="Garamond"/>
          <w:sz w:val="20"/>
        </w:rPr>
        <w:footnoteRef/>
      </w:r>
      <w:r>
        <w:rPr>
          <w:rFonts w:ascii="Garamond" w:hAnsi="Garamond"/>
          <w:sz w:val="20"/>
        </w:rPr>
        <w:t xml:space="preserve"> Metro Human Relations Comm'n, Understanding Nashville's Housing Crisis, Part 3, at 10 (the Nashville Housing Authority's purchase of ninety-six acres north and west of the Capitol; the East Nashville and West End clearances; 66 percent of families displaced by Nashville urban-renewal projects between 1950 and 1966 were Black).</w:t>
      </w:r>
    </w:p>
  </w:footnote>
  <w:footnote w:id="53">
    <w:p>
      <w:pPr>
        <w:pStyle w:val="FootnoteText"/>
      </w:pPr>
      <w:r>
        <w:rPr>
          <w:rStyle w:val="FootnoteReference"/>
          <w:rFonts w:ascii="Garamond" w:hAnsi="Garamond"/>
          <w:sz w:val="20"/>
        </w:rPr>
        <w:footnoteRef/>
      </w:r>
      <w:r>
        <w:rPr>
          <w:rFonts w:ascii="Garamond" w:hAnsi="Garamond"/>
          <w:sz w:val="20"/>
        </w:rPr>
        <w:t xml:space="preserve"> Id. at 16 (Interstate 40's routing through the Jefferson Street corridor); see also Metro. Gov't of Nashville &amp; Davidson Cnty., Planning Dep't, Highway to Inequity, https://www.nashville.gov/Portals/0/SiteContent/Planning/docs/trans/EveryPlaceCounts/1_Highway%20to%20Inequity.pdf.</w:t>
      </w:r>
    </w:p>
  </w:footnote>
  <w:footnote w:id="54">
    <w:p>
      <w:pPr>
        <w:pStyle w:val="FootnoteText"/>
      </w:pPr>
      <w:r>
        <w:rPr>
          <w:rStyle w:val="FootnoteReference"/>
          <w:rFonts w:ascii="Garamond" w:hAnsi="Garamond"/>
          <w:sz w:val="20"/>
        </w:rPr>
        <w:footnoteRef/>
      </w:r>
      <w:r>
        <w:rPr>
          <w:rFonts w:ascii="Garamond" w:hAnsi="Garamond"/>
          <w:sz w:val="20"/>
        </w:rPr>
        <w:t xml:space="preserve"> Metro Human Relations Comm'n, Understanding Nashville's Housing Crisis, Part 3, at 9 (North Nashville as the epicenter of subprime lending and the resulting concentration of foreclosures).</w:t>
      </w:r>
    </w:p>
  </w:footnote>
  <w:footnote w:id="55">
    <w:p>
      <w:pPr>
        <w:pStyle w:val="FootnoteText"/>
      </w:pPr>
      <w:r>
        <w:rPr>
          <w:rStyle w:val="FootnoteReference"/>
          <w:rFonts w:ascii="Garamond" w:hAnsi="Garamond"/>
          <w:sz w:val="20"/>
        </w:rPr>
        <w:footnoteRef/>
      </w:r>
      <w:r>
        <w:rPr>
          <w:rFonts w:ascii="Garamond" w:hAnsi="Garamond"/>
          <w:sz w:val="20"/>
        </w:rPr>
        <w:t xml:space="preserve"> U.S. Dep't of Hous. &amp; Urban Dev. &amp; U.S. Census Bureau, Residential Construction Permits by County, State of the Cities Data System, https://hudgis-hud.opendata.arcgis.com/datasets/HUD::residential-construction-permits-by-county/explore (Davidson County ranked 25th in 2014, 22d in 2015, 19th in 2016, 31st in 2017, 34th in 2018, 16th in 2019, 9th in 2020, 12th in 2021, and 13th in 2022); Metro. Gov't of Nashville &amp; Davidson Cnty., Unified Housing Strategy (July 2025), https://www.nashville.gov/sites/default/files/2025-09/UHS-Full-Report.pdf (88,000 residents added between 2010 and 2020).</w:t>
      </w:r>
    </w:p>
  </w:footnote>
  <w:footnote w:id="56">
    <w:p>
      <w:pPr>
        <w:pStyle w:val="FootnoteText"/>
      </w:pPr>
      <w:r>
        <w:rPr>
          <w:rStyle w:val="FootnoteReference"/>
          <w:rFonts w:ascii="Garamond" w:hAnsi="Garamond"/>
          <w:sz w:val="20"/>
        </w:rPr>
        <w:footnoteRef/>
      </w:r>
      <w:r>
        <w:rPr>
          <w:rFonts w:ascii="Garamond" w:hAnsi="Garamond"/>
          <w:sz w:val="20"/>
        </w:rPr>
        <w:t xml:space="preserve"> Metro. Gov't of Nashville &amp; Davidson Cnty., Unified Housing Strategy (July 2025), https://www.nashville.gov/sites/default/files/2025-09/UHS-Full-Report.pdf (new construction concentrated in large-lot suburban single-family and dense urban multifamily; home values up 40 percent between 2019 and 2024 against 19 percent income growth; a gap of more than $90,000 between the $421,722 average home value and the $329,962 affordable to the median household; the share of homes affordable to the median household falling from more than half in 2021 to one in three in 2024).</w:t>
      </w:r>
    </w:p>
  </w:footnote>
  <w:footnote w:id="57">
    <w:p>
      <w:pPr>
        <w:pStyle w:val="FootnoteText"/>
      </w:pPr>
      <w:r>
        <w:rPr>
          <w:rStyle w:val="FootnoteReference"/>
          <w:rFonts w:ascii="Garamond" w:hAnsi="Garamond"/>
          <w:sz w:val="20"/>
        </w:rPr>
        <w:footnoteRef/>
      </w:r>
      <w:r>
        <w:rPr>
          <w:rFonts w:ascii="Garamond" w:hAnsi="Garamond"/>
          <w:sz w:val="20"/>
        </w:rPr>
        <w:t xml:space="preserve"> See supra note 56.</w:t>
      </w:r>
    </w:p>
  </w:footnote>
  <w:footnote w:id="58">
    <w:p>
      <w:pPr>
        <w:pStyle w:val="FootnoteText"/>
      </w:pPr>
      <w:r>
        <w:rPr>
          <w:rStyle w:val="FootnoteReference"/>
          <w:rFonts w:ascii="Garamond" w:hAnsi="Garamond"/>
          <w:sz w:val="20"/>
        </w:rPr>
        <w:footnoteRef/>
      </w:r>
      <w:r>
        <w:rPr>
          <w:rFonts w:ascii="Garamond" w:hAnsi="Garamond"/>
          <w:sz w:val="20"/>
        </w:rPr>
        <w:t xml:space="preserve"> Id. at 35 (49 percent of renters cost-burdened by 2023; 54 percent of Black renters and 52 percent of Hispanic renters against 47 percent of white renters; eviction filings 45 percent above pre-pandemic baselines through March 2024, citing the Princeton University Eviction Lab's Eviction Tracking System).</w:t>
      </w:r>
    </w:p>
  </w:footnote>
  <w:footnote w:id="59">
    <w:p>
      <w:pPr>
        <w:pStyle w:val="FootnoteText"/>
      </w:pPr>
      <w:r>
        <w:rPr>
          <w:rStyle w:val="FootnoteReference"/>
          <w:rFonts w:ascii="Garamond" w:hAnsi="Garamond"/>
          <w:sz w:val="20"/>
        </w:rPr>
        <w:footnoteRef/>
      </w:r>
      <w:r>
        <w:rPr>
          <w:rFonts w:ascii="Garamond" w:hAnsi="Garamond"/>
          <w:sz w:val="20"/>
        </w:rPr>
        <w:t xml:space="preserve"> Id. at 19 to 23 (90,000 new homes over ten years to house 175,000 additional residents, including 20,000 affordable at sixty percent of area median income).</w:t>
      </w:r>
    </w:p>
  </w:footnote>
  <w:footnote w:id="60">
    <w:p>
      <w:pPr>
        <w:pStyle w:val="FootnoteText"/>
      </w:pPr>
      <w:r>
        <w:rPr>
          <w:rStyle w:val="FootnoteReference"/>
          <w:rFonts w:ascii="Garamond" w:hAnsi="Garamond"/>
          <w:sz w:val="20"/>
        </w:rPr>
        <w:footnoteRef/>
      </w:r>
      <w:r>
        <w:rPr>
          <w:rFonts w:ascii="Garamond" w:hAnsi="Garamond"/>
          <w:sz w:val="20"/>
        </w:rPr>
        <w:t xml:space="preserve"> Caleb Wethington, Nashville Among Top 5 US Cities With Homes Taking Longer to Sell, Report Says, WSMV (Nov. 21, 2025), https://www.wsmv.com/2025/11/21/nashville-among-top-5-us-cities-with-homes-taking-longer-sell-report-says/; Realtor.com, Real Estate Market Trends in Nashville, TN (May 2, 2026), https://www.realtor.com/news/local/nashville-tn/real-estate-market-nashville-tn-april-2026/; Redfin, Buyers vs. Sellers: May 2026, https://www.redfin.com/news/buyers-vs-sellers-may-2026/ (7,614 active buyers against 17,494 active sellers); Caleb Wethington, Report: Nashville Is Among the Strongest Buyer's Housing Markets in the U.S. in 2026, WSMV (June 11, 2026), https://www.wsmv.com/2026/06/11/report-nashville-is-among-strongest-buyers-housing-markets-us-2026-heres-why/.</w:t>
      </w:r>
    </w:p>
  </w:footnote>
  <w:footnote w:id="61">
    <w:p>
      <w:pPr>
        <w:pStyle w:val="FootnoteText"/>
      </w:pPr>
      <w:r>
        <w:rPr>
          <w:rStyle w:val="FootnoteReference"/>
          <w:rFonts w:ascii="Garamond" w:hAnsi="Garamond"/>
          <w:sz w:val="20"/>
        </w:rPr>
        <w:footnoteRef/>
      </w:r>
      <w:r>
        <w:rPr>
          <w:rFonts w:ascii="Garamond" w:hAnsi="Garamond"/>
          <w:sz w:val="20"/>
        </w:rPr>
        <w:t xml:space="preserve"> Ken Chilton, Robert M. Silverman, Rabia Chaudhry &amp; Chihuangji Wang, The Impact of Single-Family Rental REITs on Regional Housing Markets: A Case Study of Nashville, TN, 8 Societies 93 (2018), https://doi.org/10.3390/soc8040093 (noting that housing prices in Nashville were relatively low before the recession and that the swing in market conditions was not as volatile as in Tampa); Hulya Arik, An Analysis of Investor Purchases of Single-Family Homes in Davidson County, 2018 to 2022, Tenn. Hous. Dev. Agency (May 2024), https://thda.org/images/Investor_Purchases_Davidson_County_2018_2022_Final.pdf.</w:t>
      </w:r>
    </w:p>
  </w:footnote>
  <w:footnote w:id="62">
    <w:p>
      <w:pPr>
        <w:pStyle w:val="FootnoteText"/>
      </w:pPr>
      <w:r>
        <w:rPr>
          <w:rStyle w:val="FootnoteReference"/>
          <w:rFonts w:ascii="Garamond" w:hAnsi="Garamond"/>
          <w:sz w:val="20"/>
        </w:rPr>
        <w:footnoteRef/>
      </w:r>
      <w:r>
        <w:rPr>
          <w:rFonts w:ascii="Garamond" w:hAnsi="Garamond"/>
          <w:sz w:val="20"/>
        </w:rPr>
        <w:t xml:space="preserve"> Chilton et al., 8 Societies 93, tbl.2 (2018), https://doi.org/10.3390/soc8040093 (825 REIT-owned homes in Davidson County of 176,579 single-family detached units, 0.47 percent; 2,970 across the six-county region, 0.68 percent; Rutherford 0.91 percent, Williamson 0.83 percent, Wilson 1.17 percent; 2015 data).</w:t>
      </w:r>
    </w:p>
  </w:footnote>
  <w:footnote w:id="63">
    <w:p>
      <w:pPr>
        <w:pStyle w:val="FootnoteText"/>
      </w:pPr>
      <w:r>
        <w:rPr>
          <w:rStyle w:val="FootnoteReference"/>
          <w:rFonts w:ascii="Garamond" w:hAnsi="Garamond"/>
          <w:sz w:val="20"/>
        </w:rPr>
        <w:footnoteRef/>
      </w:r>
      <w:r>
        <w:rPr>
          <w:rFonts w:ascii="Garamond" w:hAnsi="Garamond"/>
          <w:sz w:val="20"/>
        </w:rPr>
        <w:t xml:space="preserve"> Erica Francis, 'This Is a Big Issue': REITs Continue Buying Up Property in Nashville, WKRN News 2 (2022), https://www.wkrn.com/special-reports/nashville-forward/this-is-a-big-issue-reits-continue-buying-up-property-in-nashville-boxing-many-out-from-american-dream/ (Progress owning nineteen of thirty-two homes on Tammy Sue Lane). Tammy Sue Lane is in La Vergne, Rutherford County, outside Davidson County.</w:t>
      </w:r>
    </w:p>
  </w:footnote>
  <w:footnote w:id="64">
    <w:p>
      <w:pPr>
        <w:pStyle w:val="FootnoteText"/>
      </w:pPr>
      <w:r>
        <w:rPr>
          <w:rStyle w:val="FootnoteReference"/>
          <w:rFonts w:ascii="Garamond" w:hAnsi="Garamond"/>
          <w:sz w:val="20"/>
        </w:rPr>
        <w:footnoteRef/>
      </w:r>
      <w:r>
        <w:rPr>
          <w:rFonts w:ascii="Garamond" w:hAnsi="Garamond"/>
          <w:sz w:val="20"/>
        </w:rPr>
        <w:t xml:space="preserve"> Ben Hall, Wall Street Investment Firm Looks to Buy Single-Family Homes as Economy Slows, NewsChannel 5 (Apr. 10, 2020), https://www.newschannel5.com/news/newschannel-5-investigates/wall-street-investment-firm-looks-to-buy-single-family-homes-as-economy-slows; Press Release, J.P. Morgan Asset Mgmt., J.P. Morgan Asset Management Commences First Development in $625 Million JV with American Homes 4 Rent (May 14, 2020), https://www.prnewswire.com/news-releases/jp-morgan-asset-management-commences-first-development-in-625-million-jv-with-american-homes-4-rent-301059382.html.</w:t>
      </w:r>
    </w:p>
  </w:footnote>
  <w:footnote w:id="65">
    <w:p>
      <w:pPr>
        <w:pStyle w:val="FootnoteText"/>
      </w:pPr>
      <w:r>
        <w:rPr>
          <w:rStyle w:val="FootnoteReference"/>
          <w:rFonts w:ascii="Garamond" w:hAnsi="Garamond"/>
          <w:sz w:val="20"/>
        </w:rPr>
        <w:footnoteRef/>
      </w:r>
      <w:r>
        <w:rPr>
          <w:rFonts w:ascii="Garamond" w:hAnsi="Garamond"/>
          <w:sz w:val="20"/>
        </w:rPr>
        <w:t xml:space="preserve"> Hulya Arik, An Analysis of Investor Purchases of Single-Family Homes in Davidson County, 2018 to 2022, at 1 to 7, Tenn. Hous. Dev. Agency (May 2024), https://thda.org/images/Investor_Purchases_Davidson_County_2018_2022_Final.pdf (institutional investors at 20 percent of Davidson County single-family purchases in 2020 and 21 percent in Antioch; seven investors taking more than half of roughly 4,000 institutional purchases; American Homes 4 Rent at more than 800 and Progress Residential at 661; investor-targeted homes averaging $270,000 against $430,000 for owner-occupants).</w:t>
      </w:r>
    </w:p>
  </w:footnote>
  <w:footnote w:id="66">
    <w:p>
      <w:pPr>
        <w:pStyle w:val="FootnoteText"/>
      </w:pPr>
      <w:r>
        <w:rPr>
          <w:rStyle w:val="FootnoteReference"/>
          <w:rFonts w:ascii="Garamond" w:hAnsi="Garamond"/>
          <w:sz w:val="20"/>
        </w:rPr>
        <w:footnoteRef/>
      </w:r>
      <w:r>
        <w:rPr>
          <w:rFonts w:ascii="Garamond" w:hAnsi="Garamond"/>
          <w:sz w:val="20"/>
        </w:rPr>
        <w:t xml:space="preserve"> Private Equity Stakeholder Project, Progress Residential Preys on Renters as It Buys Up Homes in Tennessee and the U.S. South (Apr. 2023), https://pestakeholder.org/wp-content/uploads/2023/04/PESP_Report_NRHC_Progress_April2023_final-1.pdf; Arik, THDA (May 2024), at 3 to 4.</w:t>
      </w:r>
    </w:p>
  </w:footnote>
  <w:footnote w:id="67">
    <w:p>
      <w:pPr>
        <w:pStyle w:val="FootnoteText"/>
      </w:pPr>
      <w:r>
        <w:rPr>
          <w:rStyle w:val="FootnoteReference"/>
          <w:rFonts w:ascii="Garamond" w:hAnsi="Garamond"/>
          <w:sz w:val="20"/>
        </w:rPr>
        <w:footnoteRef/>
      </w:r>
      <w:r>
        <w:rPr>
          <w:rFonts w:ascii="Garamond" w:hAnsi="Garamond"/>
          <w:sz w:val="20"/>
        </w:rPr>
        <w:t xml:space="preserve"> Gentrification in North Nashville: An In-Depth Report, Tenn. Tribune (Mar. 7, 2019), https://tntribune.com/gentrification-in-north-nashville/.</w:t>
      </w:r>
    </w:p>
  </w:footnote>
  <w:footnote w:id="68">
    <w:p>
      <w:pPr>
        <w:pStyle w:val="FootnoteText"/>
      </w:pPr>
      <w:r>
        <w:rPr>
          <w:rStyle w:val="FootnoteReference"/>
          <w:rFonts w:ascii="Garamond" w:hAnsi="Garamond"/>
          <w:sz w:val="20"/>
        </w:rPr>
        <w:footnoteRef/>
      </w:r>
      <w:r>
        <w:rPr>
          <w:rFonts w:ascii="Garamond" w:hAnsi="Garamond"/>
          <w:sz w:val="20"/>
        </w:rPr>
        <w:t xml:space="preserve"> Cameron Hightower &amp; James C. Fraser, The Raced-Space of Gentrification: "Reverse Blockbusting," Home Selling, and Neighborhood Remake in North Nashville, 19 City &amp; Cmty. 223 (2020), https://doi.org/10.1111/cico.12444.</w:t>
      </w:r>
    </w:p>
  </w:footnote>
  <w:footnote w:id="69">
    <w:p>
      <w:pPr>
        <w:pStyle w:val="FootnoteText"/>
      </w:pPr>
      <w:r>
        <w:rPr>
          <w:rStyle w:val="FootnoteReference"/>
          <w:rFonts w:ascii="Garamond" w:hAnsi="Garamond"/>
          <w:sz w:val="20"/>
        </w:rPr>
        <w:footnoteRef/>
      </w:r>
      <w:r>
        <w:rPr>
          <w:rFonts w:ascii="Garamond" w:hAnsi="Garamond"/>
          <w:sz w:val="20"/>
        </w:rPr>
        <w:t xml:space="preserve"> Rob Mitchell, Home Ownership and the "American Dream" Are Crushed by Real Estate Investment Trusts, Tenn. Lookout (Aug. 22, 2022), https://tennesseelookout.com/2022/08/22/home-ownership-and-the-american-dream-are-crushed-by-real-estate-investment-trusts/ (quoting Ken Chilton on "equity mining").</w:t>
      </w:r>
    </w:p>
  </w:footnote>
  <w:footnote w:id="70">
    <w:p>
      <w:pPr>
        <w:pStyle w:val="FootnoteText"/>
      </w:pPr>
      <w:r>
        <w:rPr>
          <w:rStyle w:val="FootnoteReference"/>
          <w:rFonts w:ascii="Garamond" w:hAnsi="Garamond"/>
          <w:sz w:val="20"/>
        </w:rPr>
        <w:footnoteRef/>
      </w:r>
      <w:r>
        <w:rPr>
          <w:rFonts w:ascii="Garamond" w:hAnsi="Garamond"/>
          <w:sz w:val="20"/>
        </w:rPr>
        <w:t xml:space="preserve"> See supra note 9.</w:t>
      </w:r>
    </w:p>
  </w:footnote>
  <w:footnote w:id="71">
    <w:p>
      <w:pPr>
        <w:pStyle w:val="FootnoteText"/>
      </w:pPr>
      <w:r>
        <w:rPr>
          <w:rStyle w:val="FootnoteReference"/>
          <w:rFonts w:ascii="Garamond" w:hAnsi="Garamond"/>
          <w:sz w:val="20"/>
        </w:rPr>
        <w:footnoteRef/>
      </w:r>
      <w:r>
        <w:rPr>
          <w:rFonts w:ascii="Garamond" w:hAnsi="Garamond"/>
          <w:sz w:val="20"/>
        </w:rPr>
        <w:t xml:space="preserve"> Cadastral Layer 4, owner name field (AMH TN Development LLC and AMH Mountain Springs Development LLC, 416 framework parcels in the July 14, 2026 grounded file). Part III of this series traces the two development entities' acquisitions, 500 Davidson parcels over time, and the 288 that AMH TN Development held on October 19, 2026.</w:t>
      </w:r>
    </w:p>
  </w:footnote>
  <w:footnote w:id="72">
    <w:p>
      <w:pPr>
        <w:pStyle w:val="FootnoteText"/>
      </w:pPr>
      <w:r>
        <w:rPr>
          <w:rStyle w:val="FootnoteReference"/>
          <w:rFonts w:ascii="Garamond" w:hAnsi="Garamond"/>
          <w:sz w:val="20"/>
        </w:rPr>
        <w:footnoteRef/>
      </w:r>
      <w:r>
        <w:rPr>
          <w:rFonts w:ascii="Garamond" w:hAnsi="Garamond"/>
          <w:sz w:val="20"/>
        </w:rPr>
        <w:t xml:space="preserve"> See supra note 23.</w:t>
      </w:r>
    </w:p>
  </w:footnote>
  <w:footnote w:id="73">
    <w:p>
      <w:pPr>
        <w:pStyle w:val="FootnoteText"/>
      </w:pPr>
      <w:r>
        <w:rPr>
          <w:rStyle w:val="FootnoteReference"/>
          <w:rFonts w:ascii="Garamond" w:hAnsi="Garamond"/>
          <w:sz w:val="20"/>
        </w:rPr>
        <w:footnoteRef/>
      </w:r>
      <w:r>
        <w:rPr>
          <w:rFonts w:ascii="Garamond" w:hAnsi="Garamond"/>
          <w:sz w:val="20"/>
        </w:rPr>
        <w:t xml:space="preserve"> Owner mailing address field of Cadastral Layer 4, July 14, 2026 extract, Appendix Table A4 (P.O. Box 4090, Scottsdale: 1,211 parcels, all Progress; 23975 Park Sorrento, Calabasas, in two renderings: 896 parcels, all American Homes 4 Rent; 5001 Plaza on the Lake and 401 Congress Avenue, Austin: 252 and 164 parcels, all Amherst; P.O. Box 4900 c/o Ryan LLC, Scottsdale: 500 parcels, of which Tricon 251, Starwood 181, and Home Partners of America 18; 421 East Iris Drive, Nashville: 282 parcels, all Normandy Group).</w:t>
      </w:r>
    </w:p>
  </w:footnote>
  <w:footnote w:id="74">
    <w:p>
      <w:pPr>
        <w:pStyle w:val="FootnoteText"/>
      </w:pPr>
      <w:r>
        <w:rPr>
          <w:rStyle w:val="FootnoteReference"/>
          <w:rFonts w:ascii="Garamond" w:hAnsi="Garamond"/>
          <w:sz w:val="20"/>
        </w:rPr>
        <w:footnoteRef/>
      </w:r>
      <w:r>
        <w:rPr>
          <w:rFonts w:ascii="Garamond" w:hAnsi="Garamond"/>
          <w:sz w:val="20"/>
        </w:rPr>
        <w:t xml:space="preserve"> Tenn. Code Ann. § 66-22-101 (recording of instruments), https://law.justia.com/codes/tennessee/title-66/chapter-22/; Davidson Cnty. Reg. of Deeds, Davidson Portal, https://davidsonportal.com/ (recorded instruments carrying the grantee's name and the mailing address for the tax bill).</w:t>
      </w:r>
    </w:p>
  </w:footnote>
  <w:footnote w:id="75">
    <w:p>
      <w:pPr>
        <w:pStyle w:val="FootnoteText"/>
      </w:pPr>
      <w:r>
        <w:rPr>
          <w:rStyle w:val="FootnoteReference"/>
          <w:rFonts w:ascii="Garamond" w:hAnsi="Garamond"/>
          <w:sz w:val="20"/>
        </w:rPr>
        <w:footnoteRef/>
      </w:r>
      <w:r>
        <w:rPr>
          <w:rFonts w:ascii="Garamond" w:hAnsi="Garamond"/>
          <w:sz w:val="20"/>
        </w:rPr>
        <w:t xml:space="preserve"> See supra note 50.</w:t>
      </w:r>
    </w:p>
  </w:footnote>
  <w:footnote w:id="76">
    <w:p>
      <w:pPr>
        <w:pStyle w:val="FootnoteText"/>
      </w:pPr>
      <w:r>
        <w:rPr>
          <w:rStyle w:val="FootnoteReference"/>
          <w:rFonts w:ascii="Garamond" w:hAnsi="Garamond"/>
          <w:sz w:val="20"/>
        </w:rPr>
        <w:footnoteRef/>
      </w:r>
      <w:r>
        <w:rPr>
          <w:rFonts w:ascii="Garamond" w:hAnsi="Garamond"/>
          <w:sz w:val="20"/>
        </w:rPr>
        <w:t xml:space="preserve"> Tenn. Code Ann. § 67-5-501(11) (defining residential property), https://law.justia.com/codes/tennessee/title-67/chapter-5/part-5/section-67-5-501/; Part III of this series, Section 3.C (the Assessor's reclassification of unified rental communities from residential to commercial).</w:t>
      </w:r>
    </w:p>
  </w:footnote>
  <w:footnote w:id="77">
    <w:p>
      <w:pPr>
        <w:pStyle w:val="FootnoteText"/>
      </w:pPr>
      <w:r>
        <w:rPr>
          <w:rStyle w:val="FootnoteReference"/>
          <w:rFonts w:ascii="Garamond" w:hAnsi="Garamond"/>
          <w:sz w:val="20"/>
        </w:rPr>
        <w:footnoteRef/>
      </w:r>
      <w:r>
        <w:rPr>
          <w:rFonts w:ascii="Garamond" w:hAnsi="Garamond"/>
          <w:sz w:val="20"/>
        </w:rPr>
        <w:t xml:space="preserve"> See supra note 25.</w:t>
      </w:r>
    </w:p>
  </w:footnote>
  <w:footnote w:id="78">
    <w:p>
      <w:pPr>
        <w:pStyle w:val="FootnoteText"/>
      </w:pPr>
      <w:r>
        <w:rPr>
          <w:rStyle w:val="FootnoteReference"/>
          <w:rFonts w:ascii="Garamond" w:hAnsi="Garamond"/>
          <w:sz w:val="20"/>
        </w:rPr>
        <w:footnoteRef/>
      </w:r>
      <w:r>
        <w:rPr>
          <w:rFonts w:ascii="Garamond" w:hAnsi="Garamond"/>
          <w:sz w:val="20"/>
        </w:rPr>
        <w:t xml:space="preserve"> The series' literature comparison matrix catalogues eighty-three studies by investor definition, single-family definition, study period, geography, named operators, and owner-identification method; the matrix is described in the online data appendix, https://nataliebaldacci.github.io/Who-Owns-Nashville/.</w:t>
      </w:r>
    </w:p>
  </w:footnote>
  <w:footnote w:id="79">
    <w:p>
      <w:pPr>
        <w:pStyle w:val="FootnoteText"/>
      </w:pPr>
      <w:r>
        <w:rPr>
          <w:rStyle w:val="FootnoteReference"/>
          <w:rFonts w:ascii="Garamond" w:hAnsi="Garamond"/>
          <w:sz w:val="20"/>
        </w:rPr>
        <w:footnoteRef/>
      </w:r>
      <w:r>
        <w:rPr>
          <w:rFonts w:ascii="Garamond" w:hAnsi="Garamond"/>
          <w:sz w:val="20"/>
        </w:rPr>
        <w:t xml:space="preserve"> Christopher Herbert, Lauren Lambie-Hanson, Irene Lew &amp; Rocio Sanchez-Moyano, The Role of Investors in Acquiring Foreclosed Properties in Low- and Moderate-Income Neighborhoods: A Review of Findings from Four Case Studies, Joint Ctr. for Hous. Studies of Harvard Univ. (2013), https://www.jchs.harvard.edu/research-areas/working-papers; Dan Immergluck &amp; Jonathan Law, Investing in Crisis: The Methods, Strategies, and Expectations of Investors in Single-Family Foreclosed Homes in Distressed Neighborhoods, 24 Hous. Pol'y Debate 568 (2014), https://doi.org/10.1080/10511482.2013.850733.</w:t>
      </w:r>
    </w:p>
  </w:footnote>
  <w:footnote w:id="80">
    <w:p>
      <w:pPr>
        <w:pStyle w:val="FootnoteText"/>
      </w:pPr>
      <w:r>
        <w:rPr>
          <w:rStyle w:val="FootnoteReference"/>
          <w:rFonts w:ascii="Garamond" w:hAnsi="Garamond"/>
          <w:sz w:val="20"/>
        </w:rPr>
        <w:footnoteRef/>
      </w:r>
      <w:r>
        <w:rPr>
          <w:rFonts w:ascii="Garamond" w:hAnsi="Garamond"/>
          <w:sz w:val="20"/>
        </w:rPr>
        <w:t xml:space="preserve"> See supra note 15.</w:t>
      </w:r>
    </w:p>
  </w:footnote>
  <w:footnote w:id="81">
    <w:p>
      <w:pPr>
        <w:pStyle w:val="FootnoteText"/>
      </w:pPr>
      <w:r>
        <w:rPr>
          <w:rStyle w:val="FootnoteReference"/>
          <w:rFonts w:ascii="Garamond" w:hAnsi="Garamond"/>
          <w:sz w:val="20"/>
        </w:rPr>
        <w:footnoteRef/>
      </w:r>
      <w:r>
        <w:rPr>
          <w:rFonts w:ascii="Garamond" w:hAnsi="Garamond"/>
          <w:sz w:val="20"/>
        </w:rPr>
        <w:t xml:space="preserve"> See supra note 28.</w:t>
      </w:r>
    </w:p>
  </w:footnote>
  <w:footnote w:id="82">
    <w:p>
      <w:pPr>
        <w:pStyle w:val="FootnoteText"/>
      </w:pPr>
      <w:r>
        <w:rPr>
          <w:rStyle w:val="FootnoteReference"/>
          <w:rFonts w:ascii="Garamond" w:hAnsi="Garamond"/>
          <w:sz w:val="20"/>
        </w:rPr>
        <w:footnoteRef/>
      </w:r>
      <w:r>
        <w:rPr>
          <w:rFonts w:ascii="Garamond" w:hAnsi="Garamond"/>
          <w:sz w:val="20"/>
        </w:rPr>
        <w:t xml:space="preserve"> See supra note 26.</w:t>
      </w:r>
    </w:p>
  </w:footnote>
  <w:footnote w:id="83">
    <w:p>
      <w:pPr>
        <w:pStyle w:val="FootnoteText"/>
      </w:pPr>
      <w:r>
        <w:rPr>
          <w:rStyle w:val="FootnoteReference"/>
          <w:rFonts w:ascii="Garamond" w:hAnsi="Garamond"/>
          <w:sz w:val="20"/>
        </w:rPr>
        <w:footnoteRef/>
      </w:r>
      <w:r>
        <w:rPr>
          <w:rFonts w:ascii="Garamond" w:hAnsi="Garamond"/>
          <w:sz w:val="20"/>
        </w:rPr>
        <w:t xml:space="preserve"> See supra note 14.</w:t>
      </w:r>
    </w:p>
  </w:footnote>
  <w:footnote w:id="84">
    <w:p>
      <w:pPr>
        <w:pStyle w:val="FootnoteText"/>
      </w:pPr>
      <w:r>
        <w:rPr>
          <w:rStyle w:val="FootnoteReference"/>
          <w:rFonts w:ascii="Garamond" w:hAnsi="Garamond"/>
          <w:sz w:val="20"/>
        </w:rPr>
        <w:footnoteRef/>
      </w:r>
      <w:r>
        <w:rPr>
          <w:rFonts w:ascii="Garamond" w:hAnsi="Garamond"/>
          <w:sz w:val="20"/>
        </w:rPr>
        <w:t xml:space="preserve"> Ingrid Gould Ellen &amp; Laurie Goodman, Single-Family Rentals: Trends and Policy Recommendations, Hamilton Project at Brookings (Nov. 2023), https://www.brookings.edu/wp-content/uploads/2023/11/20231102_THP_SingleFamilyRentals_Proposal.pdf; Laurie Goodman et al., A Profile of Institutional Investor-Owned Single-Family Rental Properties, Urban Inst. (Apr. 2023), https://www.urban.org/sites/default/files/2023-04/A%20Profile%20of%20Institutional%20Investor%E2%80%93Owned%20Single-Family%20Rental%20Properties.pdf (tiers of small, medium, large, and mega investors at boundaries of ten, one hundred, and one thousand properties; 12,573 institutional single-family rentals in the Nashville metropolitan area).</w:t>
      </w:r>
    </w:p>
  </w:footnote>
  <w:footnote w:id="85">
    <w:p>
      <w:pPr>
        <w:pStyle w:val="FootnoteText"/>
      </w:pPr>
      <w:r>
        <w:rPr>
          <w:rStyle w:val="FootnoteReference"/>
          <w:rFonts w:ascii="Garamond" w:hAnsi="Garamond"/>
          <w:sz w:val="20"/>
        </w:rPr>
        <w:footnoteRef/>
      </w:r>
      <w:r>
        <w:rPr>
          <w:rFonts w:ascii="Garamond" w:hAnsi="Garamond"/>
          <w:sz w:val="20"/>
        </w:rPr>
        <w:t xml:space="preserve"> U.S. Census Bureau, Survey of Construction: Definitions, https://www.census.gov/construction/soc/definitions.html (single-family housing including detached, semi-detached, and row houses); the vendor-code practice and the detached-only and one-to-four-unit variants are recorded study by study in the series' literature matrix.</w:t>
      </w:r>
    </w:p>
  </w:footnote>
  <w:footnote w:id="86">
    <w:p>
      <w:pPr>
        <w:pStyle w:val="FootnoteText"/>
      </w:pPr>
      <w:r>
        <w:rPr>
          <w:rStyle w:val="FootnoteReference"/>
          <w:rFonts w:ascii="Garamond" w:hAnsi="Garamond"/>
          <w:sz w:val="20"/>
        </w:rPr>
        <w:footnoteRef/>
      </w:r>
      <w:r>
        <w:rPr>
          <w:rFonts w:ascii="Garamond" w:hAnsi="Garamond"/>
          <w:sz w:val="20"/>
        </w:rPr>
        <w:t xml:space="preserve"> Keyoung Lee &amp; David Wylie, Institutional Investors, Rents, and Neighborhood Change in the Single-Family Residential Market, Fed. Rsrv. Bank of Phila. Working Paper No. 24-13 (July 2024), https://doi.org/10.21799/frbp.wp.2024.13 (ranking Nashville-Davidson-Murfreesboro-Franklin tenth among core-based statistical areas at 1.80 percent of the housing stock); Lei Ding, Sisi Zhang &amp; Mckenzie Diep, Ownership Profile of Single-Family Residence Properties in Philadelphia: A Focus on Large Corporate Investors, Fed. Rsrv. Bank of Phila. (Feb. 2025), https://www.philadelphiafed.org/community-development/housing-and-neighborhoods/ownership-profile-of-single-family-residence-properties-in-philadelphia-large-corporate-investors.</w:t>
      </w:r>
    </w:p>
  </w:footnote>
  <w:footnote w:id="87">
    <w:p>
      <w:pPr>
        <w:pStyle w:val="FootnoteText"/>
      </w:pPr>
      <w:r>
        <w:rPr>
          <w:rStyle w:val="FootnoteReference"/>
          <w:rFonts w:ascii="Garamond" w:hAnsi="Garamond"/>
          <w:sz w:val="20"/>
        </w:rPr>
        <w:footnoteRef/>
      </w:r>
      <w:r>
        <w:rPr>
          <w:rFonts w:ascii="Garamond" w:hAnsi="Garamond"/>
          <w:sz w:val="20"/>
        </w:rPr>
        <w:t xml:space="preserve"> See supra note 29.</w:t>
      </w:r>
    </w:p>
  </w:footnote>
  <w:footnote w:id="88">
    <w:p>
      <w:pPr>
        <w:pStyle w:val="FootnoteText"/>
      </w:pPr>
      <w:r>
        <w:rPr>
          <w:rStyle w:val="FootnoteReference"/>
          <w:rFonts w:ascii="Garamond" w:hAnsi="Garamond"/>
          <w:sz w:val="20"/>
        </w:rPr>
        <w:footnoteRef/>
      </w:r>
      <w:r>
        <w:rPr>
          <w:rFonts w:ascii="Garamond" w:hAnsi="Garamond"/>
          <w:sz w:val="20"/>
        </w:rPr>
        <w:t xml:space="preserve"> See supra note 61.</w:t>
      </w:r>
    </w:p>
  </w:footnote>
  <w:footnote w:id="89">
    <w:p>
      <w:pPr>
        <w:pStyle w:val="FootnoteText"/>
      </w:pPr>
      <w:r>
        <w:rPr>
          <w:rStyle w:val="FootnoteReference"/>
          <w:rFonts w:ascii="Garamond" w:hAnsi="Garamond"/>
          <w:sz w:val="20"/>
        </w:rPr>
        <w:footnoteRef/>
      </w:r>
      <w:r>
        <w:rPr>
          <w:rFonts w:ascii="Garamond" w:hAnsi="Garamond"/>
          <w:sz w:val="20"/>
        </w:rPr>
        <w:t xml:space="preserve"> See supra note 86.</w:t>
      </w:r>
    </w:p>
  </w:footnote>
  <w:footnote w:id="90">
    <w:p>
      <w:pPr>
        <w:pStyle w:val="FootnoteText"/>
      </w:pPr>
      <w:r>
        <w:rPr>
          <w:rStyle w:val="FootnoteReference"/>
          <w:rFonts w:ascii="Garamond" w:hAnsi="Garamond"/>
          <w:sz w:val="20"/>
        </w:rPr>
        <w:footnoteRef/>
      </w:r>
      <w:r>
        <w:rPr>
          <w:rFonts w:ascii="Garamond" w:hAnsi="Garamond"/>
          <w:sz w:val="20"/>
        </w:rPr>
        <w:t xml:space="preserve"> Chilton et al., 8 Societies 93, tbl.1 (2018), https://doi.org/10.3390/soc8040093 (Invitation Homes, American Homes 4 Rent, Colony Starwood, and Progress Residential, with their sponsors); Austin Harrison, Dan Immergluck &amp; Jeff Walker, Single-Family Rental (SFR) Investor Types, Property Conditions, and Implications for Urban Neighbourhoods: Evidence from Memphis, Tennessee, 40 Hous. Stud. 466 (2025), https://doi.org/10.1080/02673037.2024.2307589; Part V of this series (the securitization sponsors by name).</w:t>
      </w:r>
    </w:p>
  </w:footnote>
  <w:footnote w:id="91">
    <w:p>
      <w:pPr>
        <w:pStyle w:val="FootnoteText"/>
      </w:pPr>
      <w:r>
        <w:rPr>
          <w:rStyle w:val="FootnoteReference"/>
          <w:rFonts w:ascii="Garamond" w:hAnsi="Garamond"/>
          <w:sz w:val="20"/>
        </w:rPr>
        <w:footnoteRef/>
      </w:r>
      <w:r>
        <w:rPr>
          <w:rFonts w:ascii="Garamond" w:hAnsi="Garamond"/>
          <w:sz w:val="20"/>
        </w:rPr>
        <w:t xml:space="preserve"> Taylor Shelton &amp; Eric Seymour, Horizontal Holdings: Untangling the Networks of Corporate Landlords, 114 Annals Am. Ass'n Geographers 1819 (2024), https://doi.org/10.1080/24694452.2023.2278690.</w:t>
      </w:r>
    </w:p>
  </w:footnote>
  <w:footnote w:id="92">
    <w:p>
      <w:pPr>
        <w:pStyle w:val="FootnoteText"/>
      </w:pPr>
      <w:r>
        <w:rPr>
          <w:rStyle w:val="FootnoteReference"/>
          <w:rFonts w:ascii="Garamond" w:hAnsi="Garamond"/>
          <w:sz w:val="20"/>
        </w:rPr>
        <w:footnoteRef/>
      </w:r>
      <w:r>
        <w:rPr>
          <w:rFonts w:ascii="Garamond" w:hAnsi="Garamond"/>
          <w:sz w:val="20"/>
        </w:rPr>
        <w:t xml:space="preserve"> See supra note 65.</w:t>
      </w:r>
    </w:p>
  </w:footnote>
  <w:footnote w:id="93">
    <w:p>
      <w:pPr>
        <w:pStyle w:val="FootnoteText"/>
      </w:pPr>
      <w:r>
        <w:rPr>
          <w:rStyle w:val="FootnoteReference"/>
          <w:rFonts w:ascii="Garamond" w:hAnsi="Garamond"/>
          <w:sz w:val="20"/>
        </w:rPr>
        <w:footnoteRef/>
      </w:r>
      <w:r>
        <w:rPr>
          <w:rFonts w:ascii="Garamond" w:hAnsi="Garamond"/>
          <w:sz w:val="20"/>
        </w:rPr>
        <w:t xml:space="preserve"> Metro. Gov't of Nashville &amp; Davidson Cnty., Cadastral Parcels, Cadastral_Layers MapServer Layer 4, https://maps.nashville.gov/arcgis/rest/services/Cadastral/Cadastral_Layers/MapServer/4 (286,721 parcels; fields DUCount, LUDesc, FeatureType, Owner, mailing address, and appraised values); structure type from Metro. Gov't of Nashville &amp; Davidson Cnty., Parcels with Building Characteristics, FeatureServer Layer 0, https://services2.arcgis.com/HdTo6HJqh92wn4D8/ArcGIS/rest/services/Parcels_with_Building_Characteristics_view/FeatureServer/0.</w:t>
      </w:r>
    </w:p>
  </w:footnote>
  <w:footnote w:id="94">
    <w:p>
      <w:pPr>
        <w:pStyle w:val="FootnoteText"/>
      </w:pPr>
      <w:r>
        <w:rPr>
          <w:rStyle w:val="FootnoteReference"/>
          <w:rFonts w:ascii="Garamond" w:hAnsi="Garamond"/>
          <w:sz w:val="20"/>
        </w:rPr>
        <w:footnoteRef/>
      </w:r>
      <w:r>
        <w:rPr>
          <w:rFonts w:ascii="Garamond" w:hAnsi="Garamond"/>
          <w:sz w:val="20"/>
        </w:rPr>
        <w:t xml:space="preserve"> Metro. Gov't of Nashville &amp; Davidson Cnty., Parcel History: Ownership, ParcelHistory MapServer Layer 2, https://maps.nashville.gov/arcgis2/rest/services/Parcels/ParcelHistory/MapServer/2 (1,641,434 ownership events); Property, Layer 3; Permit, Layer 4; Zoning, Layer 5; Assessment, Layer 6, at the same service root.</w:t>
      </w:r>
    </w:p>
  </w:footnote>
  <w:footnote w:id="95">
    <w:p>
      <w:pPr>
        <w:pStyle w:val="FootnoteText"/>
      </w:pPr>
      <w:r>
        <w:rPr>
          <w:rStyle w:val="FootnoteReference"/>
          <w:rFonts w:ascii="Garamond" w:hAnsi="Garamond"/>
          <w:sz w:val="20"/>
        </w:rPr>
        <w:footnoteRef/>
      </w:r>
      <w:r>
        <w:rPr>
          <w:rFonts w:ascii="Garamond" w:hAnsi="Garamond"/>
          <w:sz w:val="20"/>
        </w:rPr>
        <w:t xml:space="preserve"> Davidson Cnty. Reg. of Deeds, Davidson Portal, https://davidsonportal.com/.</w:t>
      </w:r>
    </w:p>
  </w:footnote>
  <w:footnote w:id="96">
    <w:p>
      <w:pPr>
        <w:pStyle w:val="FootnoteText"/>
      </w:pPr>
      <w:r>
        <w:rPr>
          <w:rStyle w:val="FootnoteReference"/>
          <w:rFonts w:ascii="Garamond" w:hAnsi="Garamond"/>
          <w:sz w:val="20"/>
        </w:rPr>
        <w:footnoteRef/>
      </w:r>
      <w:r>
        <w:rPr>
          <w:rFonts w:ascii="Garamond" w:hAnsi="Garamond"/>
          <w:sz w:val="20"/>
        </w:rPr>
        <w:t xml:space="preserve"> U.S. Sec. &amp; Exch. Comm'n, EDGAR Full-Text Search, https://www.sec.gov/edgar/search/ (Form 10-K Exhibit 21 subsidiary schedules; Form ABS-15G and Exhibit 99 securitization filings); Tenn. Sec'y of State, Business Entity Search, https://tncab.tnsos.gov/portal/business-entity-search.</w:t>
      </w:r>
    </w:p>
  </w:footnote>
  <w:footnote w:id="97">
    <w:p>
      <w:pPr>
        <w:pStyle w:val="FootnoteText"/>
      </w:pPr>
      <w:r>
        <w:rPr>
          <w:rStyle w:val="FootnoteReference"/>
          <w:rFonts w:ascii="Garamond" w:hAnsi="Garamond"/>
          <w:sz w:val="20"/>
        </w:rPr>
        <w:footnoteRef/>
      </w:r>
      <w:r>
        <w:rPr>
          <w:rFonts w:ascii="Garamond" w:hAnsi="Garamond"/>
          <w:sz w:val="20"/>
        </w:rPr>
        <w:t xml:space="preserve"> U.S. Census Bureau, American Community Survey 5-Year Estimates, Data Profiles DP03, DP04, and DP05, 2020 to 2024, for the census tracts of Davidson County (state 47, county 037), https://api.census.gov/data/2024/acs/acs5.</w:t>
      </w:r>
    </w:p>
  </w:footnote>
  <w:footnote w:id="98">
    <w:p>
      <w:pPr>
        <w:pStyle w:val="FootnoteText"/>
      </w:pPr>
      <w:r>
        <w:rPr>
          <w:rStyle w:val="FootnoteReference"/>
          <w:rFonts w:ascii="Garamond" w:hAnsi="Garamond"/>
          <w:sz w:val="20"/>
        </w:rPr>
        <w:footnoteRef/>
      </w:r>
      <w:r>
        <w:rPr>
          <w:rFonts w:ascii="Garamond" w:hAnsi="Garamond"/>
          <w:sz w:val="20"/>
        </w:rPr>
        <w:t xml:space="preserve"> Caitlin Gorback, Franklin Qian &amp; Zipei Zhu, The Impact of Institutional Owners on Housing Markets (working paper 2024), https://ssrn.com/abstract=5160602 (sampling homes at trade through a twice-traded restriction).</w:t>
      </w:r>
    </w:p>
  </w:footnote>
  <w:footnote w:id="99">
    <w:p>
      <w:pPr>
        <w:pStyle w:val="FootnoteText"/>
      </w:pPr>
      <w:r>
        <w:rPr>
          <w:rStyle w:val="FootnoteReference"/>
          <w:rFonts w:ascii="Garamond" w:hAnsi="Garamond"/>
          <w:sz w:val="20"/>
        </w:rPr>
        <w:footnoteRef/>
      </w:r>
      <w:r>
        <w:rPr>
          <w:rFonts w:ascii="Garamond" w:hAnsi="Garamond"/>
          <w:sz w:val="20"/>
        </w:rPr>
        <w:t xml:space="preserve"> See supra note 93.</w:t>
      </w:r>
    </w:p>
  </w:footnote>
  <w:footnote w:id="100">
    <w:p>
      <w:pPr>
        <w:pStyle w:val="FootnoteText"/>
      </w:pPr>
      <w:r>
        <w:rPr>
          <w:rStyle w:val="FootnoteReference"/>
          <w:rFonts w:ascii="Garamond" w:hAnsi="Garamond"/>
          <w:sz w:val="20"/>
        </w:rPr>
        <w:footnoteRef/>
      </w:r>
      <w:r>
        <w:rPr>
          <w:rFonts w:ascii="Garamond" w:hAnsi="Garamond"/>
          <w:sz w:val="20"/>
        </w:rPr>
        <w:t xml:space="preserve"> Author's classifier applied to Cadastral Layer 4 (individuals 172,328; entities 16,615; trusts 16,260; governments and lenders 730 on the 205,933-parcel framework); the classifier's pattern list is published in the online data appendix.</w:t>
      </w:r>
    </w:p>
  </w:footnote>
  <w:footnote w:id="101">
    <w:p>
      <w:pPr>
        <w:pStyle w:val="FootnoteText"/>
      </w:pPr>
      <w:r>
        <w:rPr>
          <w:rStyle w:val="FootnoteReference"/>
          <w:rFonts w:ascii="Garamond" w:hAnsi="Garamond"/>
          <w:sz w:val="20"/>
        </w:rPr>
        <w:footnoteRef/>
      </w:r>
      <w:r>
        <w:rPr>
          <w:rFonts w:ascii="Garamond" w:hAnsi="Garamond"/>
          <w:sz w:val="20"/>
        </w:rPr>
        <w:t xml:space="preserve"> Author's operator name crosswalk, July 22, 2026 (1,217 recorded owner names attributed to 41 parent operators, with the evidence class for each), published in the online data appendix, https://nataliebaldacci.github.io/Who-Owns-Nashville/. Settled attributions include the SFR JV and TENAX DPI entities to Tricon; the STAR entities to Starwood; Yamasa, FREO, and Mile High to Progress; the FKH entities to FirstKey; the MCH entities to My Community Homes; VB TAH to VineBrook; CPI/Amherst to Amherst; and the SN Tennessee entities to the Sparrow / Nuveen joint venture.</w:t>
      </w:r>
    </w:p>
  </w:footnote>
  <w:footnote w:id="102">
    <w:p>
      <w:pPr>
        <w:pStyle w:val="FootnoteText"/>
      </w:pPr>
      <w:r>
        <w:rPr>
          <w:rStyle w:val="FootnoteReference"/>
          <w:rFonts w:ascii="Garamond" w:hAnsi="Garamond"/>
          <w:sz w:val="20"/>
        </w:rPr>
        <w:footnoteRef/>
      </w:r>
      <w:r>
        <w:rPr>
          <w:rFonts w:ascii="Garamond" w:hAnsi="Garamond"/>
          <w:sz w:val="20"/>
        </w:rPr>
        <w:t xml:space="preserve"> See supra note 10.</w:t>
      </w:r>
    </w:p>
  </w:footnote>
  <w:footnote w:id="103">
    <w:p>
      <w:pPr>
        <w:pStyle w:val="FootnoteText"/>
      </w:pPr>
      <w:r>
        <w:rPr>
          <w:rStyle w:val="FootnoteReference"/>
          <w:rFonts w:ascii="Garamond" w:hAnsi="Garamond"/>
          <w:sz w:val="20"/>
        </w:rPr>
        <w:footnoteRef/>
      </w:r>
      <w:r>
        <w:rPr>
          <w:rFonts w:ascii="Garamond" w:hAnsi="Garamond"/>
          <w:sz w:val="20"/>
        </w:rPr>
        <w:t xml:space="preserve"> Named national single-family rental operators: 3,940 framework parcels (the cohort on which the burdened-tract ratios were computed); all operator-attributed parcels, adding builders, build-to-rent platforms, and land bankers: 4,626. Both figures derive from the crosswalk applied to Cadastral Layer 4 and are stated with their definition wherever they appear.</w:t>
      </w:r>
    </w:p>
  </w:footnote>
  <w:footnote w:id="104">
    <w:p>
      <w:pPr>
        <w:pStyle w:val="FootnoteText"/>
      </w:pPr>
      <w:r>
        <w:rPr>
          <w:rStyle w:val="FootnoteReference"/>
          <w:rFonts w:ascii="Garamond" w:hAnsi="Garamond"/>
          <w:sz w:val="20"/>
        </w:rPr>
        <w:footnoteRef/>
      </w:r>
      <w:r>
        <w:rPr>
          <w:rFonts w:ascii="Garamond" w:hAnsi="Garamond"/>
          <w:sz w:val="20"/>
        </w:rPr>
        <w:t xml:space="preserve"> See supra note 11.</w:t>
      </w:r>
    </w:p>
  </w:footnote>
  <w:footnote w:id="105">
    <w:p>
      <w:pPr>
        <w:pStyle w:val="FootnoteText"/>
      </w:pPr>
      <w:r>
        <w:rPr>
          <w:rStyle w:val="FootnoteReference"/>
          <w:rFonts w:ascii="Garamond" w:hAnsi="Garamond"/>
          <w:sz w:val="20"/>
        </w:rPr>
        <w:footnoteRef/>
      </w:r>
      <w:r>
        <w:rPr>
          <w:rFonts w:ascii="Garamond" w:hAnsi="Garamond"/>
          <w:sz w:val="20"/>
        </w:rPr>
        <w:t xml:space="preserve"> See supra note 11.</w:t>
      </w:r>
    </w:p>
  </w:footnote>
  <w:footnote w:id="106">
    <w:p>
      <w:pPr>
        <w:pStyle w:val="FootnoteText"/>
      </w:pPr>
      <w:r>
        <w:rPr>
          <w:rStyle w:val="FootnoteReference"/>
          <w:rFonts w:ascii="Garamond" w:hAnsi="Garamond"/>
          <w:sz w:val="20"/>
        </w:rPr>
        <w:footnoteRef/>
      </w:r>
      <w:r>
        <w:rPr>
          <w:rFonts w:ascii="Garamond" w:hAnsi="Garamond"/>
          <w:sz w:val="20"/>
        </w:rPr>
        <w:t xml:space="preserve"> Author's analysis of ParcelHistory Layer 2 (arm's-length conveyances of framework parcels, 2015 to 2025, classified by the owner-occupancy flag on either side of each conveyance), Appendix Table A10.</w:t>
      </w:r>
    </w:p>
  </w:footnote>
  <w:footnote w:id="107">
    <w:p>
      <w:pPr>
        <w:pStyle w:val="FootnoteText"/>
      </w:pPr>
      <w:r>
        <w:rPr>
          <w:rStyle w:val="FootnoteReference"/>
          <w:rFonts w:ascii="Garamond" w:hAnsi="Garamond"/>
          <w:sz w:val="20"/>
        </w:rPr>
        <w:footnoteRef/>
      </w:r>
      <w:r>
        <w:rPr>
          <w:rFonts w:ascii="Garamond" w:hAnsi="Garamond"/>
          <w:sz w:val="20"/>
        </w:rPr>
        <w:t xml:space="preserve"> See supra note 8.</w:t>
      </w:r>
    </w:p>
  </w:footnote>
  <w:footnote w:id="108">
    <w:p>
      <w:pPr>
        <w:pStyle w:val="FootnoteText"/>
      </w:pPr>
      <w:r>
        <w:rPr>
          <w:rStyle w:val="FootnoteReference"/>
          <w:rFonts w:ascii="Garamond" w:hAnsi="Garamond"/>
          <w:sz w:val="20"/>
        </w:rPr>
        <w:footnoteRef/>
      </w:r>
      <w:r>
        <w:rPr>
          <w:rFonts w:ascii="Garamond" w:hAnsi="Garamond"/>
          <w:sz w:val="20"/>
        </w:rPr>
        <w:t xml:space="preserve"> See supra note 103.</w:t>
      </w:r>
    </w:p>
  </w:footnote>
  <w:footnote w:id="109">
    <w:p>
      <w:pPr>
        <w:pStyle w:val="FootnoteText"/>
      </w:pPr>
      <w:r>
        <w:rPr>
          <w:rStyle w:val="FootnoteReference"/>
          <w:rFonts w:ascii="Garamond" w:hAnsi="Garamond"/>
          <w:sz w:val="20"/>
        </w:rPr>
        <w:footnoteRef/>
      </w:r>
      <w:r>
        <w:rPr>
          <w:rFonts w:ascii="Garamond" w:hAnsi="Garamond"/>
          <w:sz w:val="20"/>
        </w:rPr>
        <w:t xml:space="preserve"> See supra note 8.</w:t>
      </w:r>
    </w:p>
  </w:footnote>
  <w:footnote w:id="110">
    <w:p>
      <w:pPr>
        <w:pStyle w:val="FootnoteText"/>
      </w:pPr>
      <w:r>
        <w:rPr>
          <w:rStyle w:val="FootnoteReference"/>
          <w:rFonts w:ascii="Garamond" w:hAnsi="Garamond"/>
          <w:sz w:val="20"/>
        </w:rPr>
        <w:footnoteRef/>
      </w:r>
      <w:r>
        <w:rPr>
          <w:rFonts w:ascii="Garamond" w:hAnsi="Garamond"/>
          <w:sz w:val="20"/>
        </w:rPr>
        <w:t xml:space="preserve"> See supra note 9.</w:t>
      </w:r>
    </w:p>
  </w:footnote>
  <w:footnote w:id="111">
    <w:p>
      <w:pPr>
        <w:pStyle w:val="FootnoteText"/>
      </w:pPr>
      <w:r>
        <w:rPr>
          <w:rStyle w:val="FootnoteReference"/>
          <w:rFonts w:ascii="Garamond" w:hAnsi="Garamond"/>
          <w:sz w:val="20"/>
        </w:rPr>
        <w:footnoteRef/>
      </w:r>
      <w:r>
        <w:rPr>
          <w:rFonts w:ascii="Garamond" w:hAnsi="Garamond"/>
          <w:sz w:val="20"/>
        </w:rPr>
        <w:t xml:space="preserve"> See supra note 71.</w:t>
      </w:r>
    </w:p>
  </w:footnote>
  <w:footnote w:id="112">
    <w:p>
      <w:pPr>
        <w:pStyle w:val="FootnoteText"/>
      </w:pPr>
      <w:r>
        <w:rPr>
          <w:rStyle w:val="FootnoteReference"/>
          <w:rFonts w:ascii="Garamond" w:hAnsi="Garamond"/>
          <w:sz w:val="20"/>
        </w:rPr>
        <w:footnoteRef/>
      </w:r>
      <w:r>
        <w:rPr>
          <w:rFonts w:ascii="Garamond" w:hAnsi="Garamond"/>
          <w:sz w:val="20"/>
        </w:rPr>
        <w:t xml:space="preserve"> See supra note 62.</w:t>
      </w:r>
    </w:p>
  </w:footnote>
  <w:footnote w:id="113">
    <w:p>
      <w:pPr>
        <w:pStyle w:val="FootnoteText"/>
      </w:pPr>
      <w:r>
        <w:rPr>
          <w:rStyle w:val="FootnoteReference"/>
          <w:rFonts w:ascii="Garamond" w:hAnsi="Garamond"/>
          <w:sz w:val="20"/>
        </w:rPr>
        <w:footnoteRef/>
      </w:r>
      <w:r>
        <w:rPr>
          <w:rFonts w:ascii="Garamond" w:hAnsi="Garamond"/>
          <w:sz w:val="20"/>
        </w:rPr>
        <w:t xml:space="preserve"> Author's grouping of the July 14, 2026 grounded cadastral owner file (16,567 entity-owned framework parcels; 6,212 recorded names; 6,569 owner groups), Appendix Tables A3 and A4.</w:t>
      </w:r>
    </w:p>
  </w:footnote>
  <w:footnote w:id="114">
    <w:p>
      <w:pPr>
        <w:pStyle w:val="FootnoteText"/>
      </w:pPr>
      <w:r>
        <w:rPr>
          <w:rStyle w:val="FootnoteReference"/>
          <w:rFonts w:ascii="Garamond" w:hAnsi="Garamond"/>
          <w:sz w:val="20"/>
        </w:rPr>
        <w:footnoteRef/>
      </w:r>
      <w:r>
        <w:rPr>
          <w:rFonts w:ascii="Garamond" w:hAnsi="Garamond"/>
          <w:sz w:val="20"/>
        </w:rPr>
        <w:t xml:space="preserve"> See supra note 113.</w:t>
      </w:r>
    </w:p>
  </w:footnote>
  <w:footnote w:id="115">
    <w:p>
      <w:pPr>
        <w:pStyle w:val="FootnoteText"/>
      </w:pPr>
      <w:r>
        <w:rPr>
          <w:rStyle w:val="FootnoteReference"/>
          <w:rFonts w:ascii="Garamond" w:hAnsi="Garamond"/>
          <w:sz w:val="20"/>
        </w:rPr>
        <w:footnoteRef/>
      </w:r>
      <w:r>
        <w:rPr>
          <w:rFonts w:ascii="Garamond" w:hAnsi="Garamond"/>
          <w:sz w:val="20"/>
        </w:rPr>
        <w:t xml:space="preserve"> Quitclaim Deeds, Instrument Nos. 20260608-0051248 and 20260608-0051249, Davidson Cnty. Reg. of Deeds (recorded June 8, 2026), https://davidsonportal.com/ (Tricon's SFR JV entities to TENAX DPI Property entities); ARP 2014-1 Borrower, LLC, Cadastral Layer 4, owner name field (one framework parcel).</w:t>
      </w:r>
    </w:p>
  </w:footnote>
  <w:footnote w:id="116">
    <w:p>
      <w:pPr>
        <w:pStyle w:val="FootnoteText"/>
      </w:pPr>
      <w:r>
        <w:rPr>
          <w:rStyle w:val="FootnoteReference"/>
          <w:rFonts w:ascii="Garamond" w:hAnsi="Garamond"/>
          <w:sz w:val="20"/>
        </w:rPr>
        <w:footnoteRef/>
      </w:r>
      <w:r>
        <w:rPr>
          <w:rFonts w:ascii="Garamond" w:hAnsi="Garamond"/>
          <w:sz w:val="20"/>
        </w:rPr>
        <w:t xml:space="preserve"> See supra note 10.</w:t>
      </w:r>
    </w:p>
  </w:footnote>
  <w:footnote w:id="117">
    <w:p>
      <w:pPr>
        <w:pStyle w:val="FootnoteText"/>
      </w:pPr>
      <w:r>
        <w:rPr>
          <w:rStyle w:val="FootnoteReference"/>
          <w:rFonts w:ascii="Garamond" w:hAnsi="Garamond"/>
          <w:sz w:val="20"/>
        </w:rPr>
        <w:footnoteRef/>
      </w:r>
      <w:r>
        <w:rPr>
          <w:rFonts w:ascii="Garamond" w:hAnsi="Garamond"/>
          <w:sz w:val="20"/>
        </w:rPr>
        <w:t xml:space="preserve"> See supra note 11.</w:t>
      </w:r>
    </w:p>
  </w:footnote>
  <w:footnote w:id="118">
    <w:p>
      <w:pPr>
        <w:pStyle w:val="FootnoteText"/>
      </w:pPr>
      <w:r>
        <w:rPr>
          <w:rStyle w:val="FootnoteReference"/>
          <w:rFonts w:ascii="Garamond" w:hAnsi="Garamond"/>
          <w:sz w:val="20"/>
        </w:rPr>
        <w:footnoteRef/>
      </w:r>
      <w:r>
        <w:rPr>
          <w:rFonts w:ascii="Garamond" w:hAnsi="Garamond"/>
          <w:sz w:val="20"/>
        </w:rPr>
        <w:t xml:space="preserve"> See supra note 11.</w:t>
      </w:r>
    </w:p>
  </w:footnote>
  <w:footnote w:id="119">
    <w:p>
      <w:pPr>
        <w:pStyle w:val="FootnoteText"/>
      </w:pPr>
      <w:r>
        <w:rPr>
          <w:rStyle w:val="FootnoteReference"/>
          <w:rFonts w:ascii="Garamond" w:hAnsi="Garamond"/>
          <w:sz w:val="20"/>
        </w:rPr>
        <w:footnoteRef/>
      </w:r>
      <w:r>
        <w:rPr>
          <w:rFonts w:ascii="Garamond" w:hAnsi="Garamond"/>
          <w:sz w:val="20"/>
        </w:rPr>
        <w:t xml:space="preserve"> Author's analysis joining Cadastral Layer 4 appraised values to the American Community Survey 2020 to 2024 tract median home value and owner-occupancy rate (named single-family rental operators: median ratio 0.65; 83.9 percent of parcels in tracts where owner-occupied units exceed half; by operator in Appendix Table A8). VineBrook's ratio of 1.20 reflects its 2025 purchase of 106 new townhomes in a single renter-majority tract.</w:t>
      </w:r>
    </w:p>
  </w:footnote>
  <w:footnote w:id="120">
    <w:p>
      <w:pPr>
        <w:pStyle w:val="FootnoteText"/>
      </w:pPr>
      <w:r>
        <w:rPr>
          <w:rStyle w:val="FootnoteReference"/>
          <w:rFonts w:ascii="Garamond" w:hAnsi="Garamond"/>
          <w:sz w:val="20"/>
        </w:rPr>
        <w:footnoteRef/>
      </w:r>
      <w:r>
        <w:rPr>
          <w:rFonts w:ascii="Garamond" w:hAnsi="Garamond"/>
          <w:sz w:val="20"/>
        </w:rPr>
        <w:t xml:space="preserve"> See supra note 17.</w:t>
      </w:r>
    </w:p>
  </w:footnote>
  <w:footnote w:id="121">
    <w:p>
      <w:pPr>
        <w:pStyle w:val="FootnoteText"/>
      </w:pPr>
      <w:r>
        <w:rPr>
          <w:rStyle w:val="FootnoteReference"/>
          <w:rFonts w:ascii="Garamond" w:hAnsi="Garamond"/>
          <w:sz w:val="20"/>
        </w:rPr>
        <w:footnoteRef/>
      </w:r>
      <w:r>
        <w:rPr>
          <w:rFonts w:ascii="Garamond" w:hAnsi="Garamond"/>
          <w:sz w:val="20"/>
        </w:rPr>
        <w:t xml:space="preserve"> Appendix Table A7; tract identifiers are 2020 census tracts.</w:t>
      </w:r>
    </w:p>
  </w:footnote>
  <w:footnote w:id="122">
    <w:p>
      <w:pPr>
        <w:pStyle w:val="FootnoteText"/>
      </w:pPr>
      <w:r>
        <w:rPr>
          <w:rStyle w:val="FootnoteReference"/>
          <w:rFonts w:ascii="Garamond" w:hAnsi="Garamond"/>
          <w:sz w:val="20"/>
        </w:rPr>
        <w:footnoteRef/>
      </w:r>
      <w:r>
        <w:rPr>
          <w:rFonts w:ascii="Garamond" w:hAnsi="Garamond"/>
          <w:sz w:val="20"/>
        </w:rPr>
        <w:t xml:space="preserve"> See supra note 11.</w:t>
      </w:r>
    </w:p>
  </w:footnote>
  <w:footnote w:id="123">
    <w:p>
      <w:pPr>
        <w:pStyle w:val="FootnoteText"/>
      </w:pPr>
      <w:r>
        <w:rPr>
          <w:rStyle w:val="FootnoteReference"/>
          <w:rFonts w:ascii="Garamond" w:hAnsi="Garamond"/>
          <w:sz w:val="20"/>
        </w:rPr>
        <w:footnoteRef/>
      </w:r>
      <w:r>
        <w:rPr>
          <w:rFonts w:ascii="Garamond" w:hAnsi="Garamond"/>
          <w:sz w:val="20"/>
        </w:rPr>
        <w:t xml:space="preserve"> See supra note 12.</w:t>
      </w:r>
    </w:p>
  </w:footnote>
  <w:footnote w:id="124">
    <w:p>
      <w:pPr>
        <w:pStyle w:val="FootnoteText"/>
      </w:pPr>
      <w:r>
        <w:rPr>
          <w:rStyle w:val="FootnoteReference"/>
          <w:rFonts w:ascii="Garamond" w:hAnsi="Garamond"/>
          <w:sz w:val="20"/>
        </w:rPr>
        <w:footnoteRef/>
      </w:r>
      <w:r>
        <w:rPr>
          <w:rFonts w:ascii="Garamond" w:hAnsi="Garamond"/>
          <w:sz w:val="20"/>
        </w:rPr>
        <w:t xml:space="preserve"> See supra note 106.</w:t>
      </w:r>
    </w:p>
  </w:footnote>
  <w:footnote w:id="125">
    <w:p>
      <w:pPr>
        <w:pStyle w:val="FootnoteText"/>
      </w:pPr>
      <w:r>
        <w:rPr>
          <w:rStyle w:val="FootnoteReference"/>
          <w:rFonts w:ascii="Garamond" w:hAnsi="Garamond"/>
          <w:sz w:val="20"/>
        </w:rPr>
        <w:footnoteRef/>
      </w:r>
      <w:r>
        <w:rPr>
          <w:rFonts w:ascii="Garamond" w:hAnsi="Garamond"/>
          <w:sz w:val="20"/>
        </w:rPr>
        <w:t xml:space="preserve"> See supra note 31.</w:t>
      </w:r>
    </w:p>
  </w:footnote>
  <w:footnote w:id="126">
    <w:p>
      <w:pPr>
        <w:pStyle w:val="FootnoteText"/>
      </w:pPr>
      <w:r>
        <w:rPr>
          <w:rStyle w:val="FootnoteReference"/>
          <w:rFonts w:ascii="Garamond" w:hAnsi="Garamond"/>
          <w:sz w:val="20"/>
        </w:rPr>
        <w:footnoteRef/>
      </w:r>
      <w:r>
        <w:rPr>
          <w:rFonts w:ascii="Garamond" w:hAnsi="Garamond"/>
          <w:sz w:val="20"/>
        </w:rPr>
        <w:t xml:space="preserve"> See supra note 65.</w:t>
      </w:r>
    </w:p>
  </w:footnote>
  <w:footnote w:id="127">
    <w:p>
      <w:pPr>
        <w:pStyle w:val="FootnoteText"/>
      </w:pPr>
      <w:r>
        <w:rPr>
          <w:rStyle w:val="FootnoteReference"/>
          <w:rFonts w:ascii="Garamond" w:hAnsi="Garamond"/>
          <w:sz w:val="20"/>
        </w:rPr>
        <w:footnoteRef/>
      </w:r>
      <w:r>
        <w:rPr>
          <w:rFonts w:ascii="Garamond" w:hAnsi="Garamond"/>
          <w:sz w:val="20"/>
        </w:rPr>
        <w:t xml:space="preserve"> Appendix Table A11. The regression uses U.S. Census Bureau, American Community Survey 5-Year Estimates, Tenure (Table B25003) and Tenure by Units in Structure (Table B25032), 2007 to 2011 and 2020 to 2024 vintages, https://api.census.gov/data/2024/acs/acs5?get=group(B25003)&amp;for=tract:&amp;in=state:47+county:037, with the earlier vintage crosswalked to 2020 tract boundaries using the Census Bureau's 2010 to 2020 tract relationship file, https://www.census.gov/geographies/reference-files/time-series/geo/relationship-files.html, and trustee's deeds recorded 2008 to 2013 from the Davidson County Register of Deeds as the foreclosure control.</w:t>
      </w:r>
    </w:p>
  </w:footnote>
  <w:footnote w:id="128">
    <w:p>
      <w:pPr>
        <w:pStyle w:val="FootnoteText"/>
      </w:pPr>
      <w:r>
        <w:rPr>
          <w:rStyle w:val="FootnoteReference"/>
          <w:rFonts w:ascii="Garamond" w:hAnsi="Garamond"/>
          <w:sz w:val="20"/>
        </w:rPr>
        <w:footnoteRef/>
      </w:r>
      <w:r>
        <w:rPr>
          <w:rFonts w:ascii="Garamond" w:hAnsi="Garamond"/>
          <w:sz w:val="20"/>
        </w:rPr>
        <w:t xml:space="preserve"> See supra note 27.</w:t>
      </w:r>
    </w:p>
  </w:footnote>
  <w:footnote w:id="129">
    <w:p>
      <w:pPr>
        <w:pStyle w:val="FootnoteText"/>
      </w:pPr>
      <w:r>
        <w:rPr>
          <w:rStyle w:val="FootnoteReference"/>
          <w:rFonts w:ascii="Garamond" w:hAnsi="Garamond"/>
          <w:sz w:val="20"/>
        </w:rPr>
        <w:footnoteRef/>
      </w:r>
      <w:r>
        <w:rPr>
          <w:rFonts w:ascii="Garamond" w:hAnsi="Garamond"/>
          <w:sz w:val="20"/>
        </w:rPr>
        <w:t xml:space="preserve"> Sabiha Zainulbhai Harun &amp; Ken Chilton, Do Corporate Landlords Target Growing African American Neighborhoods in Nashville, TN? (2025 preprint, on file with the author).</w:t>
      </w:r>
    </w:p>
  </w:footnote>
  <w:footnote w:id="130">
    <w:p>
      <w:pPr>
        <w:pStyle w:val="FootnoteText"/>
      </w:pPr>
      <w:r>
        <w:rPr>
          <w:rStyle w:val="FootnoteReference"/>
          <w:rFonts w:ascii="Garamond" w:hAnsi="Garamond"/>
          <w:sz w:val="20"/>
        </w:rPr>
        <w:footnoteRef/>
      </w:r>
      <w:r>
        <w:rPr>
          <w:rFonts w:ascii="Garamond" w:hAnsi="Garamond"/>
          <w:sz w:val="20"/>
        </w:rPr>
        <w:t xml:space="preserve"> See supra note 96.</w:t>
      </w:r>
    </w:p>
  </w:footnote>
  <w:footnote w:id="131">
    <w:p>
      <w:pPr>
        <w:pStyle w:val="FootnoteText"/>
      </w:pPr>
      <w:r>
        <w:rPr>
          <w:rStyle w:val="FootnoteReference"/>
          <w:rFonts w:ascii="Garamond" w:hAnsi="Garamond"/>
          <w:sz w:val="20"/>
        </w:rPr>
        <w:footnoteRef/>
      </w:r>
      <w:r>
        <w:rPr>
          <w:rFonts w:ascii="Garamond" w:hAnsi="Garamond"/>
          <w:sz w:val="20"/>
        </w:rPr>
        <w:t xml:space="preserve"> See supra note 74.</w:t>
      </w:r>
    </w:p>
  </w:footnote>
  <w:footnote w:id="132">
    <w:p>
      <w:pPr>
        <w:pStyle w:val="FootnoteText"/>
      </w:pPr>
      <w:r>
        <w:rPr>
          <w:rStyle w:val="FootnoteReference"/>
          <w:rFonts w:ascii="Garamond" w:hAnsi="Garamond"/>
          <w:sz w:val="20"/>
        </w:rPr>
        <w:footnoteRef/>
      </w:r>
      <w:r>
        <w:rPr>
          <w:rFonts w:ascii="Garamond" w:hAnsi="Garamond"/>
          <w:sz w:val="20"/>
        </w:rPr>
        <w:t xml:space="preserve"> See supra note 50.</w:t>
      </w:r>
    </w:p>
  </w:footnote>
  <w:footnote w:id="133">
    <w:p>
      <w:pPr>
        <w:pStyle w:val="FootnoteText"/>
      </w:pPr>
      <w:r>
        <w:rPr>
          <w:rStyle w:val="FootnoteReference"/>
          <w:rFonts w:ascii="Garamond" w:hAnsi="Garamond"/>
          <w:sz w:val="20"/>
        </w:rPr>
        <w:footnoteRef/>
      </w:r>
      <w:r>
        <w:rPr>
          <w:rFonts w:ascii="Garamond" w:hAnsi="Garamond"/>
          <w:sz w:val="20"/>
        </w:rPr>
        <w:t xml:space="preserve"> Tenn. Code Ann. § 13-21-301 et seq. (rental inspection districts), https://law.justia.com/codes/tennessee/title-13/chapter-21/part-3/; Metro Code ch. 16.33.</w:t>
      </w:r>
    </w:p>
  </w:footnote>
  <w:footnote w:id="134">
    <w:p>
      <w:pPr>
        <w:pStyle w:val="FootnoteText"/>
      </w:pPr>
      <w:r>
        <w:rPr>
          <w:rStyle w:val="FootnoteReference"/>
          <w:rFonts w:ascii="Garamond" w:hAnsi="Garamond"/>
          <w:sz w:val="20"/>
        </w:rPr>
        <w:footnoteRef/>
      </w:r>
      <w:r>
        <w:rPr>
          <w:rFonts w:ascii="Garamond" w:hAnsi="Garamond"/>
          <w:sz w:val="20"/>
        </w:rPr>
        <w:t xml:space="preserve"> See supra note 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