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28"/>
        </w:rPr>
        <w:t>WHO FINANCES NASHVILLE?</w:t>
      </w:r>
    </w:p>
    <w:p>
      <w:pPr>
        <w:jc w:val="center"/>
      </w:pPr>
      <w:r>
        <w:rPr>
          <w:rFonts w:ascii="Garamond" w:hAnsi="Garamond"/>
          <w:i/>
          <w:sz w:val="24"/>
        </w:rPr>
        <w:t>Tracing Single-Family Rental Securitization from the SEC Filing to the County Deed Record</w:t>
      </w:r>
    </w:p>
    <w:p>
      <w:pPr>
        <w:jc w:val="center"/>
      </w:pPr>
      <w:r>
        <w:rPr>
          <w:rFonts w:ascii="Garamond" w:hAnsi="Garamond"/>
          <w:i/>
          <w:sz w:val="22"/>
        </w:rPr>
        <w:t>By Natalie Baldacci</w:t>
      </w:r>
    </w:p>
    <w:p>
      <w:pPr>
        <w:spacing w:line="480" w:lineRule="auto" w:before="0" w:after="0"/>
        <w:ind w:firstLine="720"/>
      </w:pPr>
      <w:r>
        <w:rPr>
          <w:rFonts w:ascii="Garamond" w:hAnsi="Garamond"/>
          <w:i/>
        </w:rPr>
        <w:t>Part V of the series</w:t>
      </w:r>
      <w:r>
        <w:rPr>
          <w:rFonts w:ascii="Garamond" w:hAnsi="Garamond"/>
        </w:rPr>
        <w:t xml:space="preserve"> Who Owns Nashville? Wall Street's Quiet Takeover of a City's Housing Market</w:t>
      </w:r>
    </w:p>
    <w:p>
      <w:pPr>
        <w:pStyle w:val="Heading1"/>
        <w:spacing w:before="360"/>
      </w:pPr>
      <w:r>
        <w:t>INTRODUCTION</w:t>
      </w:r>
    </w:p>
    <w:p>
      <w:pPr>
        <w:spacing w:line="480" w:lineRule="auto" w:before="0" w:after="0"/>
        <w:ind w:firstLine="720"/>
      </w:pPr>
      <w:r>
        <w:rPr>
          <w:rFonts w:ascii="Garamond" w:hAnsi="Garamond"/>
        </w:rPr>
        <w:t>On October 12, 2018, Morgan Stanley Mortgage Capital Holdings recorded a deed of trust for $1,033,188,000 against 8924 Ristau Court, a rental house in Antioch.</w:t>
      </w:r>
      <w:r>
        <w:rPr>
          <w:rStyle w:val="FootnoteReference"/>
        </w:rPr>
        <w:footnoteReference w:id="1"/>
      </w:r>
      <w:r>
        <w:rPr>
          <w:rFonts w:ascii="Garamond" w:hAnsi="Garamond"/>
        </w:rPr>
        <w:t xml:space="preserve"> The borrower on the instrument is Progress Borrower 5 LLC, a special-purpose entity that took title by quitclaim and whose name appears in no Progress Residential advertisement.</w:t>
      </w:r>
      <w:r>
        <w:rPr>
          <w:rStyle w:val="FootnoteReference"/>
        </w:rPr>
        <w:footnoteReference w:id="2"/>
      </w:r>
      <w:r>
        <w:rPr>
          <w:rFonts w:ascii="Garamond" w:hAnsi="Garamond"/>
        </w:rPr>
        <w:t xml:space="preserve"> Three years later the lien turned over. On October 14, 2021, Goldman Sachs recorded a second deed of trust against the same house for $1,447,545,000.</w:t>
      </w:r>
      <w:r>
        <w:rPr>
          <w:rStyle w:val="FootnoteReference"/>
        </w:rPr>
        <w:footnoteReference w:id="3"/>
      </w:r>
      <w:r>
        <w:rPr>
          <w:rFonts w:ascii="Garamond" w:hAnsi="Garamond"/>
        </w:rPr>
        <w:t xml:space="preserve"> The two instruments state $2,480,733,000 of recorded principal against one Antioch house. Neither figure is the house's debt. Each is the national principal of a bond pool the house collateralizes, recorded at full face amount in every county where any pooled home sits. The county record states the sums but never names the deal. The SEC filing names the deal but never locates the house. Only the join of the two record systems shows what 8924 Ristau Court is: one unit of collateral inside two successive rental-backed securities, pledged by a shell borrower to a Wall Street warehouse bank, and held for the life of each financing.</w:t>
      </w:r>
    </w:p>
    <w:p>
      <w:pPr>
        <w:spacing w:line="480" w:lineRule="auto" w:before="0" w:after="0"/>
        <w:ind w:firstLine="720"/>
      </w:pPr>
      <w:r>
        <w:rPr>
          <w:rFonts w:ascii="Garamond" w:hAnsi="Garamond"/>
        </w:rPr>
        <w:t>This Part traces that join for an entire county. Institutional investors hold roughly 1,800 single-family homes in Davidson County, Tennessee, as collateral for rental-backed securities.</w:t>
      </w:r>
      <w:r>
        <w:rPr>
          <w:rStyle w:val="FootnoteReference"/>
        </w:rPr>
        <w:footnoteReference w:id="4"/>
      </w:r>
      <w:r>
        <w:rPr>
          <w:rFonts w:ascii="Garamond" w:hAnsi="Garamond"/>
        </w:rPr>
        <w:t xml:space="preserve"> The financing structure behind those homes is not new: since the first Invitation Homes transaction in November 2013, single-family rental operators have raised approximately $30 billion by pledging pooled homes to trusts that issue pass-through certificates to bond investors.</w:t>
      </w:r>
      <w:r>
        <w:rPr>
          <w:rStyle w:val="FootnoteReference"/>
        </w:rPr>
        <w:footnoteReference w:id="5"/>
      </w:r>
      <w:r>
        <w:rPr>
          <w:rFonts w:ascii="Garamond" w:hAnsi="Garamond"/>
        </w:rPr>
        <w:t xml:space="preserve"> Whether that capital harms the neighborhoods it enters is, ex ante, unclear. Securitization lowers an operator's cost of capital, and cheaper capital can fund maintenance, stabilize rents, and add professionally managed supply to a tight rental market. The same structure can also lock entry-level homes into rental tenure for the life of the financing and channel their appreciation to bondholders rather than resident owners. Congress acted on the owners in July 2026: the 21st Century ROAD to Housing Act bars an entity holding 350 or more single-family homes from acquiring more.</w:t>
      </w:r>
      <w:r>
        <w:rPr>
          <w:rStyle w:val="FootnoteReference"/>
        </w:rPr>
        <w:footnoteReference w:id="6"/>
      </w:r>
    </w:p>
    <w:p>
      <w:pPr>
        <w:spacing w:line="480" w:lineRule="auto" w:before="0" w:after="0"/>
        <w:ind w:firstLine="720"/>
      </w:pPr>
      <w:r>
        <w:rPr>
          <w:rFonts w:ascii="Garamond" w:hAnsi="Garamond"/>
        </w:rPr>
        <w:t>The empirical literature has not resolved this question at the level of the homes themselves, because it has not located them. The studies that name owners and count houses run one route: from an operator's Form 10-K or its subsidiary schedule to a name search of a county assessor file.</w:t>
      </w:r>
      <w:r>
        <w:rPr>
          <w:rStyle w:val="FootnoteReference"/>
        </w:rPr>
        <w:footnoteReference w:id="7"/>
      </w:r>
      <w:r>
        <w:rPr>
          <w:rFonts w:ascii="Garamond" w:hAnsi="Garamond"/>
        </w:rPr>
        <w:t xml:space="preserve"> That route measures ownership. It cannot see the financing, because the 10-K discloses neither the homes pledged to any particular bond, nor the lender on any particular loan, nor the loan amount, nor the dates the lien attached, moved, or released. Those facts live in a different filing, the Form ABS-15G filed by each deal's depositor, in its Exhibit 99 collateral schedules, and in the deed of trust recorded in the county register. No published study I have identified reads those documents together.</w:t>
      </w:r>
    </w:p>
    <w:p>
      <w:pPr>
        <w:spacing w:line="480" w:lineRule="auto" w:before="0" w:after="0"/>
        <w:ind w:firstLine="720"/>
      </w:pPr>
      <w:r>
        <w:rPr>
          <w:rFonts w:ascii="Garamond" w:hAnsi="Garamond"/>
        </w:rPr>
        <w:t>This Part reads them together. It reconstructs the channel linking the national bond market to the county deed record: from the complete universe of ABS-15G filings, through each deal's collateral exhibits and borrower entity, to the recorded quitclaim that assembled the Davidson pool, the recorded deed of trust that named its Wall Street lender, and the county assessment roll that prices the collateral today. The unit of observation is the parcel-securitization event, and every step replays from public endpoints.</w:t>
      </w:r>
      <w:r>
        <w:rPr>
          <w:rStyle w:val="FootnoteReference"/>
        </w:rPr>
        <w:footnoteReference w:id="8"/>
      </w:r>
    </w:p>
    <w:p>
      <w:pPr>
        <w:spacing w:line="480" w:lineRule="auto" w:before="0" w:after="0"/>
        <w:ind w:firstLine="720"/>
      </w:pPr>
      <w:r>
        <w:rPr>
          <w:rFonts w:ascii="Garamond" w:hAnsi="Garamond"/>
        </w:rPr>
        <w:t>This Part closes the series. Parts I through IV walked the housing pipeline in reverse: the finished ownership map, the tenants inside the homes, the builders producing new rental stock, and the land held before construction. Part V reaches the stage that comes first in the lifecycle and last in the reading order, the origin of the capital, because finance cuts across every stage and the walk ends where the pipeline begins. Its framework section is cross-cutting: the Act's creditor exemptions in section 1001(a)(2)(F) through (H), its enforcement provision in subsection (d), and its 25 percent equity test, the provisions that touch capital. Its stakeholders are the capital sources and their vehicles: sponsors, depositor and borrower shells, warehouse banks, trustees, and the life insurers now lending beside them.</w:t>
      </w:r>
    </w:p>
    <w:p>
      <w:pPr>
        <w:spacing w:line="480" w:lineRule="auto" w:before="0" w:after="0"/>
        <w:ind w:firstLine="720"/>
      </w:pPr>
      <w:r>
        <w:rPr>
          <w:rFonts w:ascii="Garamond" w:hAnsi="Garamond"/>
        </w:rPr>
        <w:t>The findings preview as follows. The match identifies 1,833 Davidson parcels held by 122 securitization borrower entities, resolving to six operator families led by Pretium Partners (923 parcels), Amherst (354), and American Homes 4 Rent (248). The pools selected below-tract-median homes in majority-homeowner neighborhoods that are markedly Blacker than the county's typical tract, and the single-family renter share of those neighborhoods rose from below the county norm to above it during the holding period. The collateral is nearly immobile: 93 percent of parcels remain with their borrowers, and 33 homes, 1.8 percent, have ever returned to an individual owner. The homes pledged in 2014 appraised near $177,000 at loan time and $433,600 on the 2025 roll. And the securities filings conceal the geography that makes these findings possible: 86 percent of collateral-schedule rows carry no address at all, and 116 of 289 deals disclose no city or state anywhere in their schedules, so the county record is not a convenience but the only route.</w:t>
      </w:r>
    </w:p>
    <w:p>
      <w:pPr>
        <w:spacing w:line="480" w:lineRule="auto" w:before="0" w:after="0"/>
        <w:ind w:firstLine="720"/>
      </w:pPr>
      <w:r>
        <w:rPr>
          <w:rFonts w:ascii="Garamond" w:hAnsi="Garamond"/>
        </w:rPr>
        <w:t>The Part pursues three objectives. First, identify the capital sources and structures behind Davidson County's institutional single-family rentals and map their collateral. Second, assess how section 1001 of the 21st Century ROAD to Housing Act treats financing, and whether a statute that regulates purchasers reaches the structures that fund them.</w:t>
      </w:r>
      <w:r>
        <w:rPr>
          <w:rStyle w:val="FootnoteReference"/>
        </w:rPr>
        <w:footnoteReference w:id="9"/>
      </w:r>
      <w:r>
        <w:rPr>
          <w:rFonts w:ascii="Garamond" w:hAnsi="Garamond"/>
        </w:rPr>
        <w:t xml:space="preserve"> Third, investigate the local effects of securitized finance, this Part's owned harm: the commitment of entry-level homes to rental tenure through the pool structure, and the disclosure gap that hides it.</w:t>
      </w:r>
    </w:p>
    <w:p>
      <w:pPr>
        <w:spacing w:line="480" w:lineRule="auto" w:before="0" w:after="0"/>
        <w:ind w:firstLine="720"/>
      </w:pPr>
      <w:r>
        <w:rPr>
          <w:rFonts w:ascii="Garamond" w:hAnsi="Garamond"/>
        </w:rPr>
        <w:t>In this paper, we proceed in five sections. First, Section 1 describes the business of financing single-family rentals: the securitization model, the key players, the issues they raise, and the outcomes they drive. Second, Section 2 reads the Act's financing provisions, explains why the finance layer outruns the 350-home test, and turns to state and local initiatives, including a Tennessee disclosure channel the literature has missed. Next, Section 3 takes Nashville as the case study: the second-wave arrival, the local collateral map, and the local law the instruments run on. Then, Section 4 states the research questions, reviews the literature in five tiers, and describes the data and methods, and Section 5 reports findings that mirror the research questions, then argues what they mean. Recommendations and a conclusion close the series and point to reform.</w:t>
      </w:r>
    </w:p>
    <w:p>
      <w:pPr>
        <w:pStyle w:val="Heading1"/>
        <w:spacing w:before="360"/>
      </w:pPr>
      <w:r>
        <w:t>1. Background on the Financiers</w:t>
      </w:r>
    </w:p>
    <w:p>
      <w:pPr>
        <w:pStyle w:val="Heading2"/>
      </w:pPr>
      <w:r>
        <w:t>A. What Is the Securitization Business Model?</w:t>
      </w:r>
    </w:p>
    <w:p>
      <w:pPr>
        <w:spacing w:line="480" w:lineRule="auto" w:before="0" w:after="0"/>
        <w:ind w:firstLine="720"/>
      </w:pPr>
      <w:r>
        <w:rPr>
          <w:rFonts w:ascii="Garamond" w:hAnsi="Garamond"/>
        </w:rPr>
        <w:t>A single-family rental securitization is a portfolio-level loan secured by pooled rental homes, funded by selling certificates in the loan to bond investors. The structure inverts the familiar residential mortgage-backed security: instead of one trust holding thousands of mortgages made to thousands of homeowners, one corporate borrower holds title to thousands of houses and grants one mortgage, and the collateral's value derives from the rent stream rather than from resale.</w:t>
      </w:r>
      <w:r>
        <w:rPr>
          <w:rStyle w:val="FootnoteReference"/>
        </w:rPr>
        <w:footnoteReference w:id="10"/>
      </w:r>
      <w:r>
        <w:rPr>
          <w:rFonts w:ascii="Garamond" w:hAnsi="Garamond"/>
        </w:rPr>
        <w:t xml:space="preserve"> The operator does not appear on any instrument. A depositor shell files the ABS-15G with the SEC. A borrower entity, formed for the deal, takes title to the pledged homes and grants the deed of trust. A warehouse bank funds the loan and assigns it to the deal's trustee, in the Davidson record within one to seven days of recording.</w:t>
      </w:r>
    </w:p>
    <w:p>
      <w:pPr>
        <w:spacing w:line="480" w:lineRule="auto" w:before="0" w:after="0"/>
        <w:ind w:firstLine="720"/>
      </w:pPr>
      <w:r>
        <w:rPr>
          <w:rFonts w:ascii="Garamond" w:hAnsi="Garamond"/>
        </w:rPr>
        <w:t>The asset class is a product of the foreclosure crisis. Institutional investment in single-family rental housing was near nonexistent before it.</w:t>
      </w:r>
      <w:r>
        <w:rPr>
          <w:rStyle w:val="FootnoteReference"/>
        </w:rPr>
        <w:footnoteReference w:id="11"/>
      </w:r>
      <w:r>
        <w:rPr>
          <w:rFonts w:ascii="Garamond" w:hAnsi="Garamond"/>
        </w:rPr>
        <w:t xml:space="preserve"> By 2012, low prices, rising post-crisis rental demand, and constrained mortgage credit drew large investors into the distressed-property market, with a federal assist from the FHFA's REO-to-rental pilot.</w:t>
      </w:r>
      <w:r>
        <w:rPr>
          <w:rStyle w:val="FootnoteReference"/>
        </w:rPr>
        <w:footnoteReference w:id="12"/>
      </w:r>
      <w:r>
        <w:rPr>
          <w:rFonts w:ascii="Garamond" w:hAnsi="Garamond"/>
        </w:rPr>
        <w:t xml:space="preserve"> Blackstone readied the first single-family rental securitization by autumn 2013 in a deal backed by Deutsche Bank: Invitation Homes 2013-SFR1, collateralized by 3,207 homes selected from the roughly 40,000 Blackstone then owned.</w:t>
      </w:r>
      <w:r>
        <w:rPr>
          <w:rStyle w:val="FootnoteReference"/>
        </w:rPr>
        <w:footnoteReference w:id="13"/>
      </w:r>
      <w:r>
        <w:rPr>
          <w:rFonts w:ascii="Garamond" w:hAnsi="Garamond"/>
        </w:rPr>
        <w:t xml:space="preserve"> Laurie Goodman analyzed the $479 million transaction the following spring and observed that the senior tranche priced at 115 basis points over swaps, a tighter spread than comparable commercial mortgage-backed securities at the time.</w:t>
      </w:r>
      <w:r>
        <w:rPr>
          <w:rStyle w:val="FootnoteReference"/>
        </w:rPr>
        <w:footnoteReference w:id="14"/>
      </w:r>
      <w:r>
        <w:rPr>
          <w:rFonts w:ascii="Garamond" w:hAnsi="Garamond"/>
        </w:rPr>
        <w:t xml:space="preserve"> Institutions bought approximately 350,000 homes between 2011 and 2013, and analysts projected a market with near-trillion-dollar potential.</w:t>
      </w:r>
      <w:r>
        <w:rPr>
          <w:rStyle w:val="FootnoteReference"/>
        </w:rPr>
        <w:footnoteReference w:id="15"/>
      </w:r>
      <w:r>
        <w:rPr>
          <w:rFonts w:ascii="Garamond" w:hAnsi="Garamond"/>
        </w:rPr>
        <w:t xml:space="preserve"> By January 2016 the seven largest firms held about 170,000 homes, and Blackstone took Invitation Homes public in February 2017 in a $1.54 billion offering.</w:t>
      </w:r>
      <w:r>
        <w:rPr>
          <w:rStyle w:val="FootnoteReference"/>
        </w:rPr>
        <w:footnoteReference w:id="16"/>
      </w:r>
      <w:r>
        <w:rPr>
          <w:rFonts w:ascii="Garamond" w:hAnsi="Garamond"/>
        </w:rPr>
        <w:t xml:space="preserve"> The structural innovation mattered more than the scale: instead of tens of thousands of individual loans secured by individual mortgages, "there is typically one huge loan to the company, secured by thousands of mortgages on the individual properties it owns and rents out."</w:t>
      </w:r>
      <w:r>
        <w:rPr>
          <w:rStyle w:val="FootnoteReference"/>
        </w:rPr>
        <w:footnoteReference w:id="17"/>
      </w:r>
      <w:r>
        <w:rPr>
          <w:rFonts w:ascii="Garamond" w:hAnsi="Garamond"/>
        </w:rPr>
        <w:t xml:space="preserve"> The template held. A single-purpose entity holds a non-recourse first-lien deed of trust on a pool of homes and distributes cash flow across rated tranches, and every subsequent issuance through 2025 follows it. Master-trust architectures later enabled repeat issuance, rolling collateral substitution, and the layered release of individual parcels from a pool without a new collateral recording event.</w:t>
      </w:r>
      <w:r>
        <w:rPr>
          <w:rStyle w:val="FootnoteReference"/>
        </w:rPr>
        <w:footnoteReference w:id="18"/>
      </w:r>
      <w:r>
        <w:rPr>
          <w:rFonts w:ascii="Garamond" w:hAnsi="Garamond"/>
        </w:rPr>
        <w:t xml:space="preserve"> Federal credit support entered in 2017 when Fannie Mae completed Grantor Trust 2017-T1, a $1 billion securitization backed by Invitation Homes properties, the moment the asset class crossed from private capital into the federal credit envelope.</w:t>
      </w:r>
      <w:r>
        <w:rPr>
          <w:rStyle w:val="FootnoteReference"/>
        </w:rPr>
        <w:footnoteReference w:id="19"/>
      </w:r>
    </w:p>
    <w:p>
      <w:pPr>
        <w:spacing w:line="480" w:lineRule="auto" w:before="0" w:after="0"/>
        <w:ind w:firstLine="720"/>
      </w:pPr>
      <w:r>
        <w:rPr>
          <w:rFonts w:ascii="Garamond" w:hAnsi="Garamond"/>
        </w:rPr>
        <w:t>The first wave had a geography, and Nashville was not in it. Between November 2013 and June 2015, eight firms completed twenty-one securitizations covering 84,142 properties with a market value of $16.5 billion. Florida, California, Arizona, Georgia, and Texas absorbed 82.5 percent of the collateral, and seventeen metropolitan areas held more than 1,000 securitized homes each, led by Phoenix (8,080) and Atlanta (7,306). Nashville did not appear on that list.</w:t>
      </w:r>
      <w:r>
        <w:rPr>
          <w:rStyle w:val="FootnoteReference"/>
        </w:rPr>
        <w:footnoteReference w:id="20"/>
      </w:r>
      <w:r>
        <w:rPr>
          <w:rFonts w:ascii="Garamond" w:hAnsi="Garamond"/>
        </w:rPr>
        <w:t xml:space="preserve"> The conditions that selected the first-wave markets, deep foreclosure inventories, depressed price-to-rent ratios, and young suburban housing stock, applied to Davidson County only in part. That makes Nashville a second-wave market: the earliest Davidson pools in this study's record are the 2014 American Homes 4 Rent and American Residential Properties deals, and the volume arrives after 2017 (Section 3.A).</w:t>
      </w:r>
    </w:p>
    <w:p>
      <w:pPr>
        <w:pStyle w:val="Heading2"/>
      </w:pPr>
      <w:r>
        <w:t>B. Who Are the Key Players?</w:t>
      </w:r>
    </w:p>
    <w:p>
      <w:pPr>
        <w:spacing w:line="480" w:lineRule="auto" w:before="0" w:after="0"/>
        <w:ind w:firstLine="720"/>
      </w:pPr>
      <w:r>
        <w:rPr>
          <w:rFonts w:ascii="Garamond" w:hAnsi="Garamond"/>
        </w:rPr>
        <w:t>One example fixes the cast. SFR JV-2 2022-2 Depositor LLC filed a Form ABS-15G whose exhibits name the borrower (SFR JV-2 2022-2 Borrower LLC), the lender (German American Capital Corporation, Deutsche Bank's U.S. mortgage arm), and the sponsor's actual address in Tustin, California.</w:t>
      </w:r>
      <w:r>
        <w:rPr>
          <w:rStyle w:val="FootnoteReference"/>
        </w:rPr>
        <w:footnoteReference w:id="21"/>
      </w:r>
      <w:r>
        <w:rPr>
          <w:rFonts w:ascii="Garamond" w:hAnsi="Garamond"/>
        </w:rPr>
        <w:t xml:space="preserve"> In Davidson County, the borrower recorded a quitclaim assembling its parcels and a deed of trust for $379,044,000.</w:t>
      </w:r>
      <w:r>
        <w:rPr>
          <w:rStyle w:val="FootnoteReference"/>
        </w:rPr>
        <w:footnoteReference w:id="22"/>
      </w:r>
    </w:p>
    <w:p>
      <w:pPr>
        <w:spacing w:line="480" w:lineRule="auto" w:before="0" w:after="0"/>
        <w:ind w:firstLine="720"/>
      </w:pPr>
      <w:r>
        <w:rPr>
          <w:rFonts w:ascii="Garamond" w:hAnsi="Garamond"/>
        </w:rPr>
        <w:t>The players at this stage stand three layers deep. The operators from Part I appear here as sponsors. Beneath them, deal-built shells hold the assets: a depositor that files with the Commission and a borrower that takes county title, each named to the deal rather than the brand. Around them stand the banks. Six warehouse lenders fund the Davidson pools, Goldman Sachs Mortgage, Morgan Stanley Mortgage Capital, German American Capital, Wells Fargo, Barclays Bank PLC, and Royal Bank of Canada, joined by the conduit lenders CoreVest American Finance, B2R Finance, and Colony American Finance, and each recorded loan moves to the deal's trustee, Wilmington Trust, U.S. Bank, or, from March 2024, Computershare Trust, within days of recording.</w:t>
      </w:r>
      <w:r>
        <w:rPr>
          <w:rStyle w:val="FootnoteReference"/>
        </w:rPr>
        <w:footnoteReference w:id="23"/>
      </w:r>
      <w:r>
        <w:rPr>
          <w:rFonts w:ascii="Garamond" w:hAnsi="Garamond"/>
        </w:rPr>
        <w:t xml:space="preserve"> The borrower-to-lender pairing is itself the securitization fingerprint: FKH SFR PropCo J to Morgan Stanley, Progress Residential Borrower 25 to Barclays, Progress Residential Borrower 3 to Wells Fargo, Progress Residential Borrower 12 to German American Capital, Progress Residential Borrower 9 to Royal Bank of Canada, each a "Borrower N" special-purpose entity paired with a Wall Street warehouse bank.</w:t>
      </w:r>
      <w:r>
        <w:rPr>
          <w:rStyle w:val="FootnoteReference"/>
        </w:rPr>
        <w:footnoteReference w:id="24"/>
      </w:r>
      <w:r>
        <w:rPr>
          <w:rFonts w:ascii="Garamond" w:hAnsi="Garamond"/>
        </w:rPr>
        <w:t xml:space="preserve"> The single largest recorded instrument in the local record shows the scale of the pairing: on May 26, 2021, HOME SFR Borrower LLC, a Home Partners of America vehicle, granted a deed of trust to Royal Bank of Canada with a recorded amount of $989,311,000, naming roughly seventy Davidson parcels.</w:t>
      </w:r>
      <w:r>
        <w:rPr>
          <w:rStyle w:val="FootnoteReference"/>
        </w:rPr>
        <w:footnoteReference w:id="25"/>
      </w:r>
    </w:p>
    <w:p>
      <w:pPr>
        <w:spacing w:line="480" w:lineRule="auto" w:before="0" w:after="0"/>
        <w:ind w:firstLine="720"/>
      </w:pPr>
      <w:r>
        <w:rPr>
          <w:rFonts w:ascii="Garamond" w:hAnsi="Garamond"/>
        </w:rPr>
        <w:t>Freddie Mac, which financed part of the market under its Duty to Serve pilot, tabulated the rated deals: fifty-nine single-family rental securitizations from November 2013 through November 2018, roughly $29 billion, with Invitation Homes (thirteen deals, $11.4 billion) and Progress Residential (eleven deals, $5.9 billion) accounting for half of all transactions.</w:t>
      </w:r>
      <w:r>
        <w:rPr>
          <w:rStyle w:val="FootnoteReference"/>
        </w:rPr>
        <w:footnoteReference w:id="26"/>
      </w:r>
      <w:r>
        <w:rPr>
          <w:rFonts w:ascii="Garamond" w:hAnsi="Garamond"/>
        </w:rPr>
        <w:t xml:space="preserve"> That list is this Part's completeness baseline (Section 4): it covers rated deals only, so it floors rather than caps the universe, and the pipeline matched fifty-seven of the fifty-nine. The market it describes kept growing. Kroll's surveillance counted forty-one outstanding deals with $27.9 billion in remaining principal across 121,523 properties as of its August 2024 report.</w:t>
      </w:r>
      <w:r>
        <w:rPr>
          <w:rStyle w:val="FootnoteReference"/>
        </w:rPr>
        <w:footnoteReference w:id="27"/>
      </w:r>
      <w:r>
        <w:rPr>
          <w:rFonts w:ascii="Garamond" w:hAnsi="Garamond"/>
        </w:rPr>
        <w:t xml:space="preserve"> The agencies do more than count. Their criteria set the deals' cost of capital: each derives a sustainable net cash flow, tests coverage against loan-to-value hurdles, and, for the single-borrower deals that hold Nashville homes, assumes the loan defaults and rates the deal on recovery alone, applying market-value declines of 15 percent at the 'B' level and 40 percent at 'AAA', with Fitch refusing investment-grade ratings where its determined leverage exceeds 80 percent at the trust level.</w:t>
      </w:r>
      <w:r>
        <w:rPr>
          <w:rStyle w:val="FootnoteReference"/>
        </w:rPr>
        <w:footnoteReference w:id="28"/>
      </w:r>
      <w:r>
        <w:rPr>
          <w:rFonts w:ascii="Garamond" w:hAnsi="Garamond"/>
        </w:rPr>
        <w:t xml:space="preserve"> The surveillance side records whether the homes deliver: Kroll's August 2025 report flagged one Nashville-exposed trust, STAR 2022-SFR3, for a 23.2 percent decline in net operating income, the only non-performing designation in its book.</w:t>
      </w:r>
      <w:r>
        <w:rPr>
          <w:rStyle w:val="FootnoteReference"/>
        </w:rPr>
        <w:footnoteReference w:id="29"/>
      </w:r>
      <w:r>
        <w:rPr>
          <w:rFonts w:ascii="Garamond" w:hAnsi="Garamond"/>
        </w:rPr>
        <w:t xml:space="preserve"> Congress noticed in between, with the House Financial Services Committee's June 2022 hearing, </w:t>
      </w:r>
      <w:r>
        <w:rPr>
          <w:rFonts w:ascii="Garamond" w:hAnsi="Garamond"/>
          <w:i/>
        </w:rPr>
        <w:t>Where Have All the Houses Gone?</w:t>
      </w:r>
      <w:r>
        <w:rPr>
          <w:rFonts w:ascii="Garamond" w:hAnsi="Garamond"/>
        </w:rPr>
        <w:t>, marking the first sustained federal attention to the sector.</w:t>
      </w:r>
      <w:r>
        <w:rPr>
          <w:rStyle w:val="FootnoteReference"/>
        </w:rPr>
        <w:footnoteReference w:id="30"/>
      </w:r>
    </w:p>
    <w:p>
      <w:pPr>
        <w:spacing w:line="480" w:lineRule="auto" w:before="0" w:after="0"/>
        <w:ind w:firstLine="720"/>
      </w:pPr>
      <w:r>
        <w:rPr>
          <w:rFonts w:ascii="Garamond" w:hAnsi="Garamond"/>
        </w:rPr>
        <w:t>A parallel channel has recently joined the warehouse banks. Life insurers now lend against the same collateral and hold the debt on balance sheet, outside the securitization disclosure regime entirely: Athene Annuity &amp; Life (Apollo) recorded a $7,773,450 deed of trust refinancing out Goldman Sachs Bank; Forethought Life (KKR/Global Atlantic) recorded a modification on an Amherst-family vehicle; S USA Life amended a $4,180,000 deed of trust in January 2025.</w:t>
      </w:r>
      <w:r>
        <w:rPr>
          <w:rStyle w:val="FootnoteReference"/>
        </w:rPr>
        <w:footnoteReference w:id="31"/>
      </w:r>
      <w:r>
        <w:rPr>
          <w:rFonts w:ascii="Garamond" w:hAnsi="Garamond"/>
        </w:rPr>
        <w:t xml:space="preserve"> The financing of single-family rent, in other words, no longer runs through one pipe. The rated securitization is the visible channel. The insurance balance sheet is the invisible one.</w:t>
      </w:r>
    </w:p>
    <w:p>
      <w:pPr>
        <w:pStyle w:val="Heading2"/>
      </w:pPr>
      <w:r>
        <w:t>C. What Issues Do These Players Raise?</w:t>
      </w:r>
    </w:p>
    <w:p>
      <w:pPr>
        <w:spacing w:line="480" w:lineRule="auto" w:before="0" w:after="0"/>
        <w:ind w:firstLine="720"/>
      </w:pPr>
      <w:r>
        <w:rPr>
          <w:rFonts w:ascii="Garamond" w:hAnsi="Garamond"/>
        </w:rPr>
        <w:t>The issue these players raise first is opacity. The names are engineered not to match: the depositor, the borrower, the local property entity, and the sponsor carry four different names for one deal, and none of them is "Tricon," the operator whose homes these are (Section 1.B). The record systems repeat the pattern: the documents that would carry a study from the bond to the house are engineered not to meet. Section 5 measures the concealment. Most collateral rows carry no address at all, and no reader can travel from a parcel to its tranche within either record alone.</w:t>
      </w:r>
    </w:p>
    <w:p>
      <w:pPr>
        <w:pStyle w:val="Heading2"/>
      </w:pPr>
      <w:r>
        <w:t>D. Who Is Impacted, and Through What Outcomes?</w:t>
      </w:r>
    </w:p>
    <w:p>
      <w:pPr>
        <w:spacing w:line="480" w:lineRule="auto" w:before="0" w:after="0"/>
        <w:ind w:firstLine="720"/>
      </w:pPr>
      <w:r>
        <w:rPr>
          <w:rFonts w:ascii="Garamond" w:hAnsi="Garamond"/>
        </w:rPr>
        <w:t>The outcomes this Part owns are systemic. A pool loan commits every home it covers to rental tenure for the life of the financing, because the structure cannot release one house without substitution or paydown, and Section 5 measures that commitment directly: how many pledged homes ever return to an individual owner, what value accrued inside the pools while they did not, and how the tenure of the neighborhoods changed around them. The second outcome is the disclosure gap. The SEC filing names the deal and hides the place; the county instrument names the place and hides the deal; and the households, inspectors, and regulators who deal with these homes see neither. The other outcomes belong to the other Parts and are cross-referenced rather than argued here: the ownership map and its geography (Part I), the tenants' registration, rent, and eviction record (Part II), the builders now constructing homes directly as collateral (Part III), and the land assembled before any home exists (Part IV).</w:t>
      </w:r>
    </w:p>
    <w:p>
      <w:pPr>
        <w:pStyle w:val="Heading1"/>
        <w:spacing w:before="360"/>
      </w:pPr>
      <w:r>
        <w:t>2. The 21st Century Housing Act Framework</w:t>
      </w:r>
    </w:p>
    <w:p>
      <w:pPr>
        <w:pStyle w:val="Heading2"/>
      </w:pPr>
      <w:r>
        <w:t>A. Provisions Applicable</w:t>
      </w:r>
    </w:p>
    <w:p>
      <w:pPr>
        <w:spacing w:line="480" w:lineRule="auto" w:before="0" w:after="0"/>
        <w:ind w:firstLine="720"/>
      </w:pPr>
      <w:r>
        <w:rPr>
          <w:rFonts w:ascii="Garamond" w:hAnsi="Garamond"/>
        </w:rPr>
        <w:t>Congress enacted the 21st Century ROAD to Housing Act on July 11, 2026, without presidential signature.</w:t>
      </w:r>
      <w:r>
        <w:rPr>
          <w:rStyle w:val="FootnoteReference"/>
        </w:rPr>
        <w:footnoteReference w:id="32"/>
      </w:r>
      <w:r>
        <w:rPr>
          <w:rFonts w:ascii="Garamond" w:hAnsi="Garamond"/>
        </w:rPr>
        <w:t xml:space="preserve"> Section 1001 bars a covered entity holding 350 or more single-family homes from acquiring more. Part I read the definitional spine: the two-unit definition of a single-family home, the 350-home line, and the prohibition. Part II read where the ban lands, Part III its build-to-rent exemption, and Part IV its silence on land. This Part reads the provisions that touch capital, and they are exemptions.</w:t>
      </w:r>
      <w:r>
        <w:rPr>
          <w:rStyle w:val="FootnoteReference"/>
        </w:rPr>
        <w:footnoteReference w:id="33"/>
      </w:r>
    </w:p>
    <w:p>
      <w:pPr>
        <w:spacing w:line="480" w:lineRule="auto" w:before="0" w:after="0"/>
        <w:ind w:firstLine="720"/>
      </w:pPr>
      <w:r>
        <w:rPr>
          <w:rFonts w:ascii="Garamond" w:hAnsi="Garamond"/>
        </w:rPr>
        <w:t>Three exemptions insulate the finance layer. Section 1001(a)(2)(F) exempts homes acquired in satisfaction of debts previously contracted, the classic creditor's carve-out: a lender that forecloses on pooled collateral takes the homes outside the ban.</w:t>
      </w:r>
      <w:r>
        <w:rPr>
          <w:rStyle w:val="FootnoteReference"/>
        </w:rPr>
        <w:footnoteReference w:id="34"/>
      </w:r>
      <w:r>
        <w:rPr>
          <w:rFonts w:ascii="Garamond" w:hAnsi="Garamond"/>
        </w:rPr>
        <w:t xml:space="preserve"> Section 1001(a)(2)(G) exempts acquisitions in connection with a lender's loss-mitigation activity, so the workout of a distressed pool can proceed at any scale.</w:t>
      </w:r>
      <w:r>
        <w:rPr>
          <w:rStyle w:val="FootnoteReference"/>
        </w:rPr>
        <w:footnoteReference w:id="35"/>
      </w:r>
      <w:r>
        <w:rPr>
          <w:rFonts w:ascii="Garamond" w:hAnsi="Garamond"/>
        </w:rPr>
        <w:t xml:space="preserve"> Section 1001(a)(2)(H) exempts sales to a compliant investor, so a wound-down pool can liquidate to another institutional buyer rather than to owner-occupants.</w:t>
      </w:r>
      <w:r>
        <w:rPr>
          <w:rStyle w:val="FootnoteReference"/>
        </w:rPr>
        <w:footnoteReference w:id="36"/>
      </w:r>
      <w:r>
        <w:rPr>
          <w:rFonts w:ascii="Garamond" w:hAnsi="Garamond"/>
        </w:rPr>
        <w:t xml:space="preserve"> The enforcement provision, section 1001(d)(1), prices a violation at the greater of $1,000,000 or three times the purchase price, a penalty architecture built for purchasers, not for lenders, trustees, or certificate holders, none of whom purchases anything.</w:t>
      </w:r>
      <w:r>
        <w:rPr>
          <w:rStyle w:val="FootnoteReference"/>
        </w:rPr>
        <w:footnoteReference w:id="37"/>
      </w:r>
    </w:p>
    <w:p>
      <w:pPr>
        <w:spacing w:line="480" w:lineRule="auto" w:before="0" w:after="0"/>
        <w:ind w:firstLine="720"/>
      </w:pPr>
      <w:r>
        <w:rPr>
          <w:rFonts w:ascii="Garamond" w:hAnsi="Garamond"/>
        </w:rPr>
        <w:t>One attribution rule reaches toward capital and stops. Under section 1001(a)(3)(B)(iv), an entity's homes count toward a covered entity that holds more than 25 percent of its equity, the control test that aggregates a sponsor's borrower shells into one covered total.</w:t>
      </w:r>
      <w:r>
        <w:rPr>
          <w:rStyle w:val="FootnoteReference"/>
        </w:rPr>
        <w:footnoteReference w:id="38"/>
      </w:r>
      <w:r>
        <w:rPr>
          <w:rFonts w:ascii="Garamond" w:hAnsi="Garamond"/>
        </w:rPr>
        <w:t xml:space="preserve"> The test reaches equity and only equity. And the statute's one gesture toward the investors behind the equity, the phrase "unless such entity is a passive investor," appears once, inside that clause, without a definition.</w:t>
      </w:r>
      <w:r>
        <w:rPr>
          <w:rStyle w:val="FootnoteReference"/>
        </w:rPr>
        <w:footnoteReference w:id="39"/>
      </w:r>
      <w:r>
        <w:rPr>
          <w:rFonts w:ascii="Garamond" w:hAnsi="Garamond"/>
        </w:rPr>
        <w:t xml:space="preserve"> The drafting gap is the finding: Congress wrote a control test that sees a sponsor's shells, wrote exemptions that protect the sponsor's creditors, and left undefined the category that holds the cash flow.</w:t>
      </w:r>
    </w:p>
    <w:p>
      <w:pPr>
        <w:pStyle w:val="Heading2"/>
      </w:pPr>
      <w:r>
        <w:t>B. How They Apply to These Players</w:t>
      </w:r>
    </w:p>
    <w:p>
      <w:pPr>
        <w:spacing w:line="480" w:lineRule="auto" w:before="0" w:after="0"/>
        <w:ind w:firstLine="720"/>
      </w:pPr>
      <w:r>
        <w:rPr>
          <w:rFonts w:ascii="Garamond" w:hAnsi="Garamond"/>
        </w:rPr>
        <w:t>Apply the provisions to the record this Part assembles and the mismatch is mechanical. The 122 Davidson borrower entities are shells of six operator families; the 25 percent equity test aggregates them to their sponsors, and the sponsors are covered.</w:t>
      </w:r>
      <w:r>
        <w:rPr>
          <w:rStyle w:val="FootnoteReference"/>
        </w:rPr>
        <w:footnoteReference w:id="40"/>
      </w:r>
      <w:r>
        <w:rPr>
          <w:rFonts w:ascii="Garamond" w:hAnsi="Garamond"/>
        </w:rPr>
        <w:t xml:space="preserve"> But the capital is not. Goldman Sachs Mortgage recorded over a billion dollars of pool principal against Davidson homes and holds not one of them; its interest is debt, which the control test does not count.</w:t>
      </w:r>
      <w:r>
        <w:rPr>
          <w:rStyle w:val="FootnoteReference"/>
        </w:rPr>
        <w:footnoteReference w:id="41"/>
      </w:r>
      <w:r>
        <w:rPr>
          <w:rFonts w:ascii="Garamond" w:hAnsi="Garamond"/>
        </w:rPr>
        <w:t xml:space="preserve"> The trustee holds legal title under the deed of trust and is a creditor's fiduciary, not a purchaser. The certificate holders own the rent stream and fall, if anywhere, into the undefined passive-investor category. If a pool defaults tomorrow, subsection (a)(2)(F) lets the lender take 878 Antioch homes in one foreclosure; subsection (a)(2)(G) lets it operate them as loss mitigation; and subsection (a)(2)(H) lets it sell them to the next compliant investor. At every node of the capital stack, the statute either exempts the actor or fails to define it.</w:t>
      </w:r>
    </w:p>
    <w:p>
      <w:pPr>
        <w:spacing w:line="480" w:lineRule="auto" w:before="0" w:after="0"/>
        <w:ind w:firstLine="720"/>
      </w:pPr>
      <w:r>
        <w:rPr>
          <w:rFonts w:ascii="Garamond" w:hAnsi="Garamond"/>
        </w:rPr>
        <w:t>The statute also runs on a count the finance layer does not use. The 350-home test measures a purchaser's holdings. The securitization measures a pool's collateral, and the pool holds homes across dozens of counties in amounts no county record aggregates and no SEC schedule locates. A statute that counts homes needs to find them, and Finding 2c shows that the securities filings are built so that no one can. The 350-home test is administrable only against an owner whose holdings a public record aggregates. For the finance layer, no such record exists.</w:t>
      </w:r>
    </w:p>
    <w:p>
      <w:pPr>
        <w:spacing w:line="480" w:lineRule="auto" w:before="0" w:after="0"/>
        <w:ind w:firstLine="720"/>
      </w:pPr>
      <w:r>
        <w:rPr>
          <w:rFonts w:ascii="Garamond" w:hAnsi="Garamond"/>
        </w:rPr>
        <w:t>The series' recurring policy finding is that the statute's coverage and the phenomenon's geography are different populations. This Part states the finance version. Section 1001 regulates purchasers. The record here shows that purchase is the cheapest act in the chain: the borrower shell that takes title is disposable, renamed, and orphaned by mergers, while the capital relationship above it, warehouse bank to trustee to certificate holder, persists across deals and decades. The statute freezes acquisitions and leaves the pools intact; the 1,708 Davidson homes still held by securitization borrowers are untouched, and the pools' economics run on holding, not buying.</w:t>
      </w:r>
      <w:r>
        <w:rPr>
          <w:rStyle w:val="FootnoteReference"/>
        </w:rPr>
        <w:footnoteReference w:id="42"/>
      </w:r>
      <w:r>
        <w:rPr>
          <w:rFonts w:ascii="Garamond" w:hAnsi="Garamond"/>
        </w:rPr>
        <w:t xml:space="preserve"> The Act closes the acquisition door going forward. It does not reopen the tenure door behind it. Capital is the layer the statute cannot see, and the rest of this Part measures what that layer did.</w:t>
      </w:r>
    </w:p>
    <w:p>
      <w:pPr>
        <w:pStyle w:val="Heading2"/>
      </w:pPr>
      <w:r>
        <w:t>C. Other Initiatives, State and Local</w:t>
      </w:r>
    </w:p>
    <w:p>
      <w:pPr>
        <w:spacing w:line="480" w:lineRule="auto" w:before="0" w:after="0"/>
        <w:ind w:firstLine="720"/>
      </w:pPr>
      <w:r>
        <w:rPr>
          <w:rFonts w:ascii="Garamond" w:hAnsi="Garamond"/>
        </w:rPr>
        <w:t>Tennessee law contains a disclosure channel the securities regime lacks. The state taxes recorded indebtedness, and Tennessee Code Annotated section 67-4-409(b) governs how a multi-state loan apportions to Tennessee: the instrument states on its face a maximum principal indebtedness for Tennessee recording-tax purposes, apportioned to the Tennessee collateral when the loan is secured by property in more than one state.</w:t>
      </w:r>
      <w:r>
        <w:rPr>
          <w:rStyle w:val="FootnoteReference"/>
        </w:rPr>
        <w:footnoteReference w:id="43"/>
      </w:r>
      <w:r>
        <w:rPr>
          <w:rFonts w:ascii="Garamond" w:hAnsi="Garamond"/>
        </w:rPr>
        <w:t xml:space="preserve"> That statement hands a reader the Nashville share of a national bond pool from a free public document, which is precisely the figure no SEC schedule discloses. The Davidson instruments show the channel working. The SWH 2017-1 deed of trust states its $771,240,000 national pool principal on its face while the county database carries a Tennessee-apportioned $47,816,880, the sworn local share of a national loan.</w:t>
      </w:r>
      <w:r>
        <w:rPr>
          <w:rStyle w:val="FootnoteReference"/>
        </w:rPr>
        <w:footnoteReference w:id="44"/>
      </w:r>
      <w:r>
        <w:rPr>
          <w:rFonts w:ascii="Garamond" w:hAnsi="Garamond"/>
        </w:rPr>
        <w:t xml:space="preserve"> The instruments also show the channel's limit: transfers, as opposed to loans, record at a stated consideration of $0 by recording-tax election, recited verbatim, as in the SWH 2017-1 assignment's "Maximum Principle Indebtedness for Tennessee Recording Tax Purpose is $0.00."</w:t>
      </w:r>
      <w:r>
        <w:rPr>
          <w:rStyle w:val="FootnoteReference"/>
        </w:rPr>
        <w:footnoteReference w:id="45"/>
      </w:r>
      <w:r>
        <w:rPr>
          <w:rFonts w:ascii="Garamond" w:hAnsi="Garamond"/>
        </w:rPr>
        <w:t xml:space="preserve"> The exception proves the rule. Progress Borrower 13 is the only Progress vehicle with a non-zero recorded consideration, $6,224,450, because it took title by deed of bargain and sale, an arm's-length transfer, rather than by intra-operator quitclaim.</w:t>
      </w:r>
      <w:r>
        <w:rPr>
          <w:rStyle w:val="FootnoteReference"/>
        </w:rPr>
        <w:footnoteReference w:id="46"/>
      </w:r>
    </w:p>
    <w:p>
      <w:pPr>
        <w:pStyle w:val="Heading1"/>
        <w:spacing w:before="360"/>
      </w:pPr>
      <w:r>
        <w:t>3. Nashville as a Case Study</w:t>
      </w:r>
    </w:p>
    <w:p>
      <w:pPr>
        <w:pStyle w:val="Heading2"/>
      </w:pPr>
      <w:r>
        <w:t>A. Background on Institutional Finance in Nashville</w:t>
      </w:r>
    </w:p>
    <w:p>
      <w:pPr>
        <w:spacing w:line="480" w:lineRule="auto" w:before="0" w:after="0"/>
        <w:ind w:firstLine="720"/>
      </w:pPr>
      <w:r>
        <w:rPr>
          <w:rFonts w:ascii="Garamond" w:hAnsi="Garamond"/>
        </w:rPr>
        <w:t>Nashville's securitized capital arrived in the second wave, and one operator's disclosures date it. American Homes 4 Rent disclosed 994 Nashville-area homes worth $199.2 million in its 2013 Form 10-K, ranking Nashville ninth in the firm's national portfolio.</w:t>
      </w:r>
      <w:r>
        <w:rPr>
          <w:rStyle w:val="FootnoteReference"/>
        </w:rPr>
        <w:footnoteReference w:id="47"/>
      </w:r>
      <w:r>
        <w:rPr>
          <w:rFonts w:ascii="Garamond" w:hAnsi="Garamond"/>
        </w:rPr>
        <w:t xml:space="preserve"> Its most recent 10-K discloses 3,392 Nashville-area homes carrying $893.4 million in gross book value, ranked fourth nationally behind Atlanta, Dallas, and Charlotte.</w:t>
      </w:r>
      <w:r>
        <w:rPr>
          <w:rStyle w:val="FootnoteReference"/>
        </w:rPr>
        <w:footnoteReference w:id="48"/>
      </w:r>
      <w:r>
        <w:rPr>
          <w:rFonts w:ascii="Garamond" w:hAnsi="Garamond"/>
        </w:rPr>
        <w:t xml:space="preserve"> The deed record dates the financing to the same window: the earliest Davidson pools are the 2014 AMH and American Residential Properties deals, the borrower-entity form itself has a Davidson birthdate of August 2014, when ARP 2014-1 Borrower arrived, and before that month no parcel in the county was held by an entity with "Borrower" in its name.</w:t>
      </w:r>
      <w:r>
        <w:rPr>
          <w:rStyle w:val="FootnoteReference"/>
        </w:rPr>
        <w:footnoteReference w:id="49"/>
      </w:r>
      <w:r>
        <w:rPr>
          <w:rFonts w:ascii="Garamond" w:hAnsi="Garamond"/>
        </w:rPr>
        <w:t xml:space="preserve"> Deal volume then tracked the operators' local growth, peaking in 2022 with 312 Davidson parcels pledged in that year's deals (Table A-4).</w:t>
      </w:r>
    </w:p>
    <w:p>
      <w:pPr>
        <w:pStyle w:val="Heading2"/>
      </w:pPr>
      <w:r>
        <w:t>B. Identifying the Local Key Players</w:t>
      </w:r>
    </w:p>
    <w:p>
      <w:pPr>
        <w:spacing w:line="480" w:lineRule="auto" w:before="0" w:after="0"/>
        <w:ind w:firstLine="720"/>
      </w:pPr>
      <w:r>
        <w:rPr>
          <w:rFonts w:ascii="Garamond" w:hAnsi="Garamond"/>
        </w:rPr>
        <w:t>The borrower-entity match identifies 1,833 Davidson parcels that have ever been securitization collateral, held through 122 borrower entities and resolving to six operator families: Pretium Partners/Progress Residential with 923 parcels, Amherst with 354, American Homes 4 Rent with 248, Blackstone (with Home Partners) with 234, Starwood Capital with 101, and Cerberus (with FirstKey) with 69 (Table A-1).</w:t>
      </w:r>
      <w:r>
        <w:rPr>
          <w:rStyle w:val="FootnoteReference"/>
        </w:rPr>
        <w:footnoteReference w:id="50"/>
      </w:r>
      <w:r>
        <w:rPr>
          <w:rFonts w:ascii="Garamond" w:hAnsi="Garamond"/>
        </w:rPr>
        <w:t xml:space="preserve"> The concentration is the first fact. One ZIP code, 37013 in Antioch, holds 878 pledged parcels, nearly half the county total. The Antioch to Priest Lake planning area holds 633. Council District 8 leads districts at 345. The parcels touch 107 of the county's 174 census tracts and 742 named subdivisions.</w:t>
      </w:r>
      <w:r>
        <w:rPr>
          <w:rStyle w:val="FootnoteReference"/>
        </w:rPr>
        <w:footnoteReference w:id="51"/>
      </w:r>
      <w:r>
        <w:rPr>
          <w:rFonts w:ascii="Garamond" w:hAnsi="Garamond"/>
        </w:rPr>
        <w:t xml:space="preserve"> Securitization is not a background abstraction in these places. In census tract 191.17, in southeast Davidson County, securitization borrowers hold 129 single-family homes and the tract contains only 271 single-family rentals in total: nearly half of every rented house in the tract is collateral for a Wall Street bond.</w:t>
      </w:r>
      <w:r>
        <w:rPr>
          <w:rStyle w:val="FootnoteReference"/>
        </w:rPr>
        <w:footnoteReference w:id="52"/>
      </w:r>
    </w:p>
    <w:p>
      <w:pPr>
        <w:spacing w:line="480" w:lineRule="auto" w:before="0" w:after="0"/>
        <w:ind w:firstLine="720"/>
      </w:pPr>
      <w:r>
        <w:rPr>
          <w:rFonts w:ascii="Garamond" w:hAnsi="Garamond"/>
        </w:rPr>
        <w:t>The securitized subset sits inside a larger institutional footprint. On the July 2026 operator rollup, Progress Residential holds 1,222 Davidson parcels, American Homes 4 Rent 1,173, Amherst 657, Tricon 276, Starwood 251, FirstKey 92, Sparrow-Nuveen 37, Invesco 12, and Invitation Homes 10.</w:t>
      </w:r>
      <w:r>
        <w:rPr>
          <w:rStyle w:val="FootnoteReference"/>
        </w:rPr>
        <w:footnoteReference w:id="53"/>
      </w:r>
      <w:r>
        <w:rPr>
          <w:rFonts w:ascii="Garamond" w:hAnsi="Garamond"/>
        </w:rPr>
        <w:t xml:space="preserve"> The rollup also carries an ownership detail the securitization record alone would miss: the Mile High Borrower entities register with the county at Progress Residential's Scottsdale addresses, while their Tennessee Secretary of State principal office is 2300 N. Field Street, Suite 1200, Dallas, the address of Invesco Real Estate, an owner-versus-operator split in which one firm's capital holds what another firm's brand manages.</w:t>
      </w:r>
      <w:r>
        <w:rPr>
          <w:rStyle w:val="FootnoteReference"/>
        </w:rPr>
        <w:footnoteReference w:id="54"/>
      </w:r>
    </w:p>
    <w:p>
      <w:pPr>
        <w:spacing w:line="480" w:lineRule="auto" w:before="0" w:after="0"/>
        <w:ind w:firstLine="720"/>
      </w:pPr>
      <w:r>
        <w:rPr>
          <w:rFonts w:ascii="Garamond" w:hAnsi="Garamond"/>
        </w:rPr>
        <w:t>Nashville is not marginal to the pools it sits in. Rating-agency pre-sales name Nashville a top-three market in several rated deals, up to 16.2 percent of Progress 2021-SFR6, a $556.9 million loan over 2,116 homes, and in Amherst's AMSR 2024-SFR2 Tennessee is the largest state at 20.3 percent of the pool, ahead of Texas and Florida.</w:t>
      </w:r>
      <w:r>
        <w:rPr>
          <w:rStyle w:val="FootnoteReference"/>
        </w:rPr>
        <w:footnoteReference w:id="55"/>
      </w:r>
    </w:p>
    <w:p>
      <w:pPr>
        <w:spacing w:line="480" w:lineRule="auto" w:before="0" w:after="0"/>
        <w:ind w:firstLine="720"/>
      </w:pPr>
      <w:r>
        <w:rPr>
          <w:rFonts w:ascii="Garamond" w:hAnsi="Garamond"/>
        </w:rPr>
        <w:t>The newest deals change what the collateral is. Progress Residential's 2025-SFR3, a $778.5 million loan over twenty-one communities and 2,020 homes, is the first single-borrower SFR securitization collateralized entirely by build-to-rent communities: homes constructed to be pool collateral rather than acquired from the owner-occupied stock.</w:t>
      </w:r>
      <w:r>
        <w:rPr>
          <w:rStyle w:val="FootnoteReference"/>
        </w:rPr>
        <w:footnoteReference w:id="56"/>
      </w:r>
      <w:r>
        <w:rPr>
          <w:rFonts w:ascii="Garamond" w:hAnsi="Garamond"/>
        </w:rPr>
        <w:t xml:space="preserve"> The Davidson record shows the same turn locally. The ratio of the pledged homes' appraisals to their tracts' median values sat below 1.0 for a decade and crossed above it in 2025 and 2026, with the 2026 Amherst ALTO Asset Company 6 bundle at a median $514,000 and a ratio of 1.23 (Table A-4).</w:t>
      </w:r>
      <w:r>
        <w:rPr>
          <w:rStyle w:val="FootnoteReference"/>
        </w:rPr>
        <w:footnoteReference w:id="57"/>
      </w:r>
      <w:r>
        <w:rPr>
          <w:rFonts w:ascii="Garamond" w:hAnsi="Garamond"/>
        </w:rPr>
        <w:t xml:space="preserve"> Where the first wave converted existing starter homes into collateral, the current wave builds the collateral directly. The distinction matters under the Act, whose acquisition bar exempts new construction for rental under section 1001(a)(2)(B); this is the point where Part III's pipeline and Part V's pool meet.</w:t>
      </w:r>
      <w:r>
        <w:rPr>
          <w:rStyle w:val="FootnoteReference"/>
        </w:rPr>
        <w:footnoteReference w:id="58"/>
      </w:r>
    </w:p>
    <w:p>
      <w:pPr>
        <w:pStyle w:val="Heading2"/>
      </w:pPr>
      <w:r>
        <w:t>C. Local Frameworks and Laws Applicable</w:t>
      </w:r>
    </w:p>
    <w:p>
      <w:pPr>
        <w:spacing w:line="480" w:lineRule="auto" w:before="0" w:after="0"/>
        <w:ind w:firstLine="720"/>
      </w:pPr>
      <w:r>
        <w:rPr>
          <w:rFonts w:ascii="Garamond" w:hAnsi="Garamond"/>
        </w:rPr>
        <w:t>The instruments themselves run on Tennessee's deed-of-trust framework. The state secures real estate debt through a three-party deed of trust rather than a mortgage: the borrower conveys title to a trustee who holds it as security for the lender, records govern every step, release removes the lien on payoff, and the trustee can foreclose by power of sale without court order.</w:t>
      </w:r>
      <w:r>
        <w:rPr>
          <w:rStyle w:val="FootnoteReference"/>
        </w:rPr>
        <w:footnoteReference w:id="59"/>
      </w:r>
      <w:r>
        <w:rPr>
          <w:rFonts w:ascii="Garamond" w:hAnsi="Garamond"/>
        </w:rPr>
        <w:t xml:space="preserve"> Reading the chain of recordings against a single parcel, deed of trust, assignment, amendment, release, reconstructs the financing history of that parcel from purchase through its current capital stack, and Section 4 builds the county-wide version of exactly that reading.</w:t>
      </w:r>
    </w:p>
    <w:p>
      <w:pPr>
        <w:pStyle w:val="Heading1"/>
        <w:spacing w:before="360"/>
      </w:pPr>
      <w:r>
        <w:t>4. Methods, Data, and Literature</w:t>
      </w:r>
    </w:p>
    <w:p>
      <w:pPr>
        <w:pStyle w:val="Heading2"/>
      </w:pPr>
      <w:r>
        <w:t>A. Research Questions</w:t>
      </w:r>
    </w:p>
    <w:p>
      <w:pPr>
        <w:spacing w:line="480" w:lineRule="auto" w:before="0" w:after="0"/>
        <w:ind w:firstLine="720"/>
      </w:pPr>
      <w:r>
        <w:rPr>
          <w:rFonts w:ascii="Garamond" w:hAnsi="Garamond"/>
        </w:rPr>
        <w:t>Three questions organize the empirical work, drawn from the series crosswalk between the scholarship's standing questions and this record.</w:t>
      </w:r>
      <w:r>
        <w:rPr>
          <w:rStyle w:val="FootnoteReference"/>
        </w:rPr>
        <w:footnoteReference w:id="60"/>
      </w:r>
    </w:p>
    <w:p>
      <w:pPr>
        <w:spacing w:line="480" w:lineRule="auto" w:before="0" w:after="0"/>
        <w:ind w:firstLine="720"/>
      </w:pPr>
      <w:r>
        <w:rPr>
          <w:rFonts w:ascii="Garamond" w:hAnsi="Garamond"/>
        </w:rPr>
        <w:t>RQ1. Where does the capital come from across operator types? The record splits the question in two: where securitized collateral sits in Davidson County and who holds it, and what the pools selected, within neighborhoods and within operators.</w:t>
      </w:r>
    </w:p>
    <w:p>
      <w:pPr>
        <w:spacing w:line="480" w:lineRule="auto" w:before="0" w:after="0"/>
        <w:ind w:firstLine="720"/>
      </w:pPr>
      <w:r>
        <w:rPr>
          <w:rFonts w:ascii="Garamond" w:hAnsi="Garamond"/>
        </w:rPr>
        <w:t>RQ2. Which recorded Davidson deeds of trust link to which SEC securitization tranches? The linkage carries three further questions. Does the collateral circulate: does a securitized home return to an individual owner? What value accrued inside the pools, and what happened to the neighborhoods' tenure while it did? What do the two record systems disclose, and what do they conceal?</w:t>
      </w:r>
    </w:p>
    <w:p>
      <w:pPr>
        <w:spacing w:line="480" w:lineRule="auto" w:before="0" w:after="0"/>
        <w:ind w:firstLine="720"/>
      </w:pPr>
      <w:r>
        <w:rPr>
          <w:rFonts w:ascii="Garamond" w:hAnsi="Garamond"/>
        </w:rPr>
        <w:t>RQ3. Does regulating purchasers accomplish anything when the financing structures are untouched?</w:t>
      </w:r>
    </w:p>
    <w:p>
      <w:pPr>
        <w:spacing w:line="480" w:lineRule="auto" w:before="0" w:after="0"/>
        <w:ind w:firstLine="720"/>
      </w:pPr>
      <w:r>
        <w:rPr>
          <w:rFonts w:ascii="Garamond" w:hAnsi="Garamond"/>
        </w:rPr>
        <w:t>The collateral-location half of RQ1 was asked once in the literature, at metro scale, in 2016.</w:t>
      </w:r>
      <w:r>
        <w:rPr>
          <w:rStyle w:val="FootnoteReference"/>
        </w:rPr>
        <w:footnoteReference w:id="61"/>
      </w:r>
      <w:r>
        <w:rPr>
          <w:rFonts w:ascii="Garamond" w:hAnsi="Garamond"/>
        </w:rPr>
        <w:t xml:space="preserve"> The questions under RQ2 have not been asked, because no dataset could answer them. RQ3 is the series' statutory question in its finance posture.</w:t>
      </w:r>
    </w:p>
    <w:p>
      <w:pPr>
        <w:pStyle w:val="Heading2"/>
      </w:pPr>
      <w:r>
        <w:t>B. Literature Review</w:t>
      </w:r>
    </w:p>
    <w:p>
      <w:pPr>
        <w:spacing w:line="480" w:lineRule="auto" w:before="0" w:after="0"/>
        <w:ind w:firstLine="720"/>
      </w:pPr>
      <w:r>
        <w:rPr>
          <w:rFonts w:ascii="Garamond" w:hAnsi="Garamond"/>
        </w:rPr>
        <w:t>The finance literature approaches these arrangements in five tiers, and each tier stops short of the parcel, because the records that would link bond to house are engineered not to meet (Section 1.C).</w:t>
      </w:r>
    </w:p>
    <w:p>
      <w:pPr>
        <w:spacing w:line="480" w:lineRule="auto" w:before="0" w:after="0"/>
        <w:ind w:firstLine="720"/>
      </w:pPr>
      <w:r>
        <w:rPr>
          <w:rFonts w:ascii="Garamond" w:hAnsi="Garamond"/>
        </w:rPr>
        <w:t>The first tier describes origins and mechanics. Three economists at the Federal Reserve Board first quantified the institutional buy-to-rent class in 2015, counting approximately 28,000 institutional purchases across eighteen U.S. cities through 2014 and naming the new asset class.</w:t>
      </w:r>
      <w:r>
        <w:rPr>
          <w:rStyle w:val="FootnoteReference"/>
        </w:rPr>
        <w:footnoteReference w:id="62"/>
      </w:r>
      <w:r>
        <w:rPr>
          <w:rFonts w:ascii="Garamond" w:hAnsi="Garamond"/>
        </w:rPr>
        <w:t xml:space="preserve"> Goodman's Urban Institute analysis supplied the deal anatomy, and the legal literature supplied the doctrine: Chaudhry frames the instrument as debt-based property that extracts economic rent through payments routed through the tenant, and Boyack describes the single-loan inversion of the RMBS.</w:t>
      </w:r>
      <w:r>
        <w:rPr>
          <w:rStyle w:val="FootnoteReference"/>
        </w:rPr>
        <w:footnoteReference w:id="63"/>
      </w:r>
      <w:r>
        <w:rPr>
          <w:rFonts w:ascii="Garamond" w:hAnsi="Garamond"/>
        </w:rPr>
        <w:t xml:space="preserve"> Mayer Brown's practitioners explained the master-trust machinery.</w:t>
      </w:r>
      <w:r>
        <w:rPr>
          <w:rStyle w:val="FootnoteReference"/>
        </w:rPr>
        <w:footnoteReference w:id="64"/>
      </w:r>
      <w:r>
        <w:rPr>
          <w:rFonts w:ascii="Garamond" w:hAnsi="Garamond"/>
        </w:rPr>
        <w:t xml:space="preserve"> This tier reads the structure from the offering documents. It does not locate any collateral.</w:t>
      </w:r>
    </w:p>
    <w:p>
      <w:pPr>
        <w:spacing w:line="480" w:lineRule="auto" w:before="0" w:after="0"/>
        <w:ind w:firstLine="720"/>
      </w:pPr>
      <w:r>
        <w:rPr>
          <w:rFonts w:ascii="Garamond" w:hAnsi="Garamond"/>
        </w:rPr>
        <w:t>The second tier maps geography. Fields, Kohli, and Schafran produced the first geographic mapping of securitized collateral in 2016, at the state and metro scale.</w:t>
      </w:r>
      <w:r>
        <w:rPr>
          <w:rStyle w:val="FootnoteReference"/>
        </w:rPr>
        <w:footnoteReference w:id="65"/>
      </w:r>
      <w:r>
        <w:rPr>
          <w:rFonts w:ascii="Garamond" w:hAnsi="Garamond"/>
        </w:rPr>
        <w:t xml:space="preserve"> Seymour, Shelton, Sherman, and Akers updated that geography in 2023, documenting racialized clustering in majority-Black tracts across Atlanta, Charlotte, Tampa, and Memphis.</w:t>
      </w:r>
      <w:r>
        <w:rPr>
          <w:rStyle w:val="FootnoteReference"/>
        </w:rPr>
        <w:footnoteReference w:id="66"/>
      </w:r>
      <w:r>
        <w:rPr>
          <w:rFonts w:ascii="Garamond" w:hAnsi="Garamond"/>
        </w:rPr>
        <w:t xml:space="preserve"> Call's parcel-level case study of Fulton County, Georgia, used the county assessor's records to identify post-crisis institutional acquisitions building by building.</w:t>
      </w:r>
      <w:r>
        <w:rPr>
          <w:rStyle w:val="FootnoteReference"/>
        </w:rPr>
        <w:footnoteReference w:id="67"/>
      </w:r>
      <w:r>
        <w:rPr>
          <w:rFonts w:ascii="Garamond" w:hAnsi="Garamond"/>
        </w:rPr>
        <w:t xml:space="preserve"> For Nashville, Chilton, Silverman, Chaudhry, and Wang mapped REIT holdings clustering in newer, whiter, middle-income suburbs in 2017, the study closest to this series, and Harun and Chilton now ask directly whether corporate landlords target growing African American neighborhoods.</w:t>
      </w:r>
      <w:r>
        <w:rPr>
          <w:rStyle w:val="FootnoteReference"/>
        </w:rPr>
        <w:footnoteReference w:id="68"/>
      </w:r>
      <w:r>
        <w:rPr>
          <w:rFonts w:ascii="Garamond" w:hAnsi="Garamond"/>
        </w:rPr>
        <w:t xml:space="preserve"> This tier locates owners. It does not link any parcel to any bond.</w:t>
      </w:r>
    </w:p>
    <w:p>
      <w:pPr>
        <w:spacing w:line="480" w:lineRule="auto" w:before="0" w:after="0"/>
        <w:ind w:firstLine="720"/>
      </w:pPr>
      <w:r>
        <w:rPr>
          <w:rFonts w:ascii="Garamond" w:hAnsi="Garamond"/>
        </w:rPr>
        <w:t>The third tier weighs returns against critique. Eisfeldt and Demers computed total returns to single-family rentals competitive with multifamily, office, and industrial real estate, the empirical predicate for the institutional case.</w:t>
      </w:r>
      <w:r>
        <w:rPr>
          <w:rStyle w:val="FootnoteReference"/>
        </w:rPr>
        <w:footnoteReference w:id="69"/>
      </w:r>
      <w:r>
        <w:rPr>
          <w:rFonts w:ascii="Garamond" w:hAnsi="Garamond"/>
        </w:rPr>
        <w:t xml:space="preserve"> The Center for American Progress framed the first major critique in February 2014, linking pool-bond economics to fee extraction, debt-service-driven rent increases, and deferred maintenance.</w:t>
      </w:r>
      <w:r>
        <w:rPr>
          <w:rStyle w:val="FootnoteReference"/>
        </w:rPr>
        <w:footnoteReference w:id="70"/>
      </w:r>
      <w:r>
        <w:rPr>
          <w:rFonts w:ascii="Garamond" w:hAnsi="Garamond"/>
        </w:rPr>
        <w:t xml:space="preserve"> Amherst's competing tenant profile described voluntary suburban migrants.</w:t>
      </w:r>
      <w:r>
        <w:rPr>
          <w:rStyle w:val="FootnoteReference"/>
        </w:rPr>
        <w:footnoteReference w:id="71"/>
      </w:r>
      <w:r>
        <w:rPr>
          <w:rFonts w:ascii="Garamond" w:hAnsi="Garamond"/>
        </w:rPr>
        <w:t xml:space="preserve"> The industry-aligned rebuttals argue the institutional share is too small to bind affordability outcomes and that no measurable competitive harm exists where institutional single-family rental concentrates.</w:t>
      </w:r>
      <w:r>
        <w:rPr>
          <w:rStyle w:val="FootnoteReference"/>
        </w:rPr>
        <w:footnoteReference w:id="72"/>
      </w:r>
      <w:r>
        <w:rPr>
          <w:rFonts w:ascii="Garamond" w:hAnsi="Garamond"/>
        </w:rPr>
        <w:t xml:space="preserve"> The financialization literature places the asset class in a forty-year transformation of housing into a financial asset, with tenants as its unwilling subjects.</w:t>
      </w:r>
      <w:r>
        <w:rPr>
          <w:rStyle w:val="FootnoteReference"/>
        </w:rPr>
        <w:footnoteReference w:id="73"/>
      </w:r>
      <w:r>
        <w:rPr>
          <w:rFonts w:ascii="Garamond" w:hAnsi="Garamond"/>
        </w:rPr>
        <w:t xml:space="preserve"> Congress and the FTC supplied the scrutiny.</w:t>
      </w:r>
      <w:r>
        <w:rPr>
          <w:rStyle w:val="FootnoteReference"/>
        </w:rPr>
        <w:footnoteReference w:id="74"/>
      </w:r>
      <w:r>
        <w:rPr>
          <w:rFonts w:ascii="Garamond" w:hAnsi="Garamond"/>
        </w:rPr>
        <w:t xml:space="preserve"> This tier argues about effects. It measures none of them at the collateral's address.</w:t>
      </w:r>
    </w:p>
    <w:p>
      <w:pPr>
        <w:spacing w:line="480" w:lineRule="auto" w:before="0" w:after="0"/>
        <w:ind w:firstLine="720"/>
      </w:pPr>
      <w:r>
        <w:rPr>
          <w:rFonts w:ascii="Garamond" w:hAnsi="Garamond"/>
        </w:rPr>
        <w:t>The fourth tier builds identification methods. An clusters deed-record owner names and rolls them to parents through state registries, and finds the homeownership displacement falls hardest on Black would-be buyers.</w:t>
      </w:r>
      <w:r>
        <w:rPr>
          <w:rStyle w:val="FootnoteReference"/>
        </w:rPr>
        <w:footnoteReference w:id="75"/>
      </w:r>
      <w:r>
        <w:rPr>
          <w:rFonts w:ascii="Garamond" w:hAnsi="Garamond"/>
        </w:rPr>
        <w:t xml:space="preserve"> Shelton and Seymour follow shell networks through shared mailing addresses.</w:t>
      </w:r>
      <w:r>
        <w:rPr>
          <w:rStyle w:val="FootnoteReference"/>
        </w:rPr>
        <w:footnoteReference w:id="76"/>
      </w:r>
      <w:r>
        <w:rPr>
          <w:rFonts w:ascii="Garamond" w:hAnsi="Garamond"/>
        </w:rPr>
        <w:t xml:space="preserve"> The Philadelphia Fed's ownership profile sorts owners into portfolio tiers, and its recovery-era papers trace institutional purchases' effect on homeownership rates across metropolitan areas.</w:t>
      </w:r>
      <w:r>
        <w:rPr>
          <w:rStyle w:val="FootnoteReference"/>
        </w:rPr>
        <w:footnoteReference w:id="77"/>
      </w:r>
      <w:r>
        <w:rPr>
          <w:rFonts w:ascii="Garamond" w:hAnsi="Garamond"/>
        </w:rPr>
        <w:t xml:space="preserve"> Raymond and coauthors established the eviction finding for large corporate landlords in Atlanta.</w:t>
      </w:r>
      <w:r>
        <w:rPr>
          <w:rStyle w:val="FootnoteReference"/>
        </w:rPr>
        <w:footnoteReference w:id="78"/>
      </w:r>
      <w:r>
        <w:rPr>
          <w:rFonts w:ascii="Garamond" w:hAnsi="Garamond"/>
        </w:rPr>
        <w:t xml:space="preserve"> The GAO, reviewing the national evidence, begins from the absence of any consistent definition and reports tenant outcomes as unclear for want of data.</w:t>
      </w:r>
      <w:r>
        <w:rPr>
          <w:rStyle w:val="FootnoteReference"/>
        </w:rPr>
        <w:footnoteReference w:id="79"/>
      </w:r>
      <w:r>
        <w:rPr>
          <w:rFonts w:ascii="Garamond" w:hAnsi="Garamond"/>
        </w:rPr>
        <w:t xml:space="preserve"> This tier supplies the joins this series uses. It runs them on deeds of conveyance, not deeds of trust.</w:t>
      </w:r>
    </w:p>
    <w:p>
      <w:pPr>
        <w:spacing w:line="480" w:lineRule="auto" w:before="0" w:after="0"/>
        <w:ind w:firstLine="720"/>
      </w:pPr>
      <w:r>
        <w:rPr>
          <w:rFonts w:ascii="Garamond" w:hAnsi="Garamond"/>
        </w:rPr>
        <w:t>The fifth tier is the instrument-level literature, and it is nearly empty. Freddie Mac's tabulation and the rating agencies' criteria and surveillance describe the deals from the pool downward, without locating collateral in any county.</w:t>
      </w:r>
      <w:r>
        <w:rPr>
          <w:rStyle w:val="FootnoteReference"/>
        </w:rPr>
        <w:footnoteReference w:id="80"/>
      </w:r>
      <w:r>
        <w:rPr>
          <w:rFonts w:ascii="Garamond" w:hAnsi="Garamond"/>
        </w:rPr>
        <w:t xml:space="preserve"> Goodman and Kaul documented the GSE entry.</w:t>
      </w:r>
      <w:r>
        <w:rPr>
          <w:rStyle w:val="FootnoteReference"/>
        </w:rPr>
        <w:footnoteReference w:id="81"/>
      </w:r>
      <w:r>
        <w:rPr>
          <w:rFonts w:ascii="Garamond" w:hAnsi="Garamond"/>
        </w:rPr>
        <w:t xml:space="preserve"> What no tier of this literature does is link a specific local parcel to the specific securitization vehicle that took title to it and the national pool it collateralizes. That is the gap this Part fills, and the reason it can ask questions the ownership literature cannot: not who owns the house, but which bond owns its cash flow, at what loan, since when, and with what exit. The parcel-to-tranche linkage is the contribution, and the disclosure concealment that has prevented it is itself a finding.</w:t>
      </w:r>
    </w:p>
    <w:p>
      <w:pPr>
        <w:pStyle w:val="Heading2"/>
      </w:pPr>
      <w:r>
        <w:t>C. Datasets and Methods</w:t>
      </w:r>
    </w:p>
    <w:p>
      <w:pPr>
        <w:spacing w:line="480" w:lineRule="auto" w:before="0" w:after="0"/>
        <w:ind w:firstLine="720"/>
      </w:pPr>
      <w:r>
        <w:rPr>
          <w:rFonts w:ascii="Garamond" w:hAnsi="Garamond"/>
        </w:rPr>
        <w:t>Two record systems each hold half the object. The SEC side comprises the complete population of Form ABS-15G filings, swept from EDGAR's quarterly indices for 2012 through 2026 Q3: 33,033 filings by 3,700 depositors across all asset classes, with every exhibit of every in-scope filing downloaded and archived, 4,546 exhibits parsed to 1,859,585 collateral rows, 4,277 party rows, and 558 entity-address blocks.</w:t>
      </w:r>
      <w:r>
        <w:rPr>
          <w:rStyle w:val="FootnoteReference"/>
        </w:rPr>
        <w:footnoteReference w:id="82"/>
      </w:r>
      <w:r>
        <w:rPr>
          <w:rFonts w:ascii="Garamond" w:hAnsi="Garamond"/>
        </w:rPr>
        <w:t xml:space="preserve"> The county side comprises the Davidson ownership history, the deed-of-trust record with its assignments and releases, and the parcel-level assessment history including the 2025 reappraisal roll.</w:t>
      </w:r>
      <w:r>
        <w:rPr>
          <w:rStyle w:val="FootnoteReference"/>
        </w:rPr>
        <w:footnoteReference w:id="83"/>
      </w:r>
      <w:r>
        <w:rPr>
          <w:rFonts w:ascii="Garamond" w:hAnsi="Garamond"/>
        </w:rPr>
        <w:t xml:space="preserve"> Neighborhood profiles come from American Community Survey five-year vintages, 2007-2011 through 2020-2024, parcel-joined at the vintage whose midpoint sits closest to each loan year, so a 2014 loan reads 2014-era neighbors, not today's.</w:t>
      </w:r>
      <w:r>
        <w:rPr>
          <w:rStyle w:val="FootnoteReference"/>
        </w:rPr>
        <w:footnoteReference w:id="84"/>
      </w:r>
    </w:p>
    <w:p>
      <w:pPr>
        <w:spacing w:line="480" w:lineRule="auto" w:before="0" w:after="0"/>
        <w:ind w:firstLine="720"/>
      </w:pPr>
      <w:r>
        <w:rPr>
          <w:rFonts w:ascii="Garamond" w:hAnsi="Garamond"/>
        </w:rPr>
        <w:t>The design rule is universe-first: the complete population of filings comes before any keyword filter, so the filter is a classification applied to everything rather than a search that caps discovery. Three independent tests classified the single-family-rental subset: an operator-token name test (254 hits), an EDGAR full-text test over five phrases (946 CIKs), and a deal-name test built from the 59 known rated-deal names plus 152 pattern extensions (82 CIKs, of which seven depositors, the RCO and Visio conduit lineage, were caught by this test alone). The final classification is 181 SFR depositors, with 871 ambiguous filers retained for review rather than dropped. Validation against Freddie Mac's ground-truth list of the 59 rated deals of 2013 to 2018 matched 57; the two gaps are one deal each from B2R Finance and Silver Bay, reported rather than patched.</w:t>
      </w:r>
      <w:r>
        <w:rPr>
          <w:rStyle w:val="FootnoteReference"/>
        </w:rPr>
        <w:footnoteReference w:id="85"/>
      </w:r>
    </w:p>
    <w:p>
      <w:pPr>
        <w:spacing w:line="480" w:lineRule="auto" w:before="0" w:after="0"/>
        <w:ind w:firstLine="720"/>
      </w:pPr>
      <w:r>
        <w:rPr>
          <w:rFonts w:ascii="Garamond" w:hAnsi="Garamond"/>
        </w:rPr>
        <w:t>Deals attach to parcels through the borrower, never the depositor or the operator, because the borrower entity takes county title and its name matches nothing else by design. The local record independently confirms the class: securitization special-purpose entities name themselves "Borrower" on the deed, so a single query of the ownership history for names containing that string surfaces the whole class.</w:t>
      </w:r>
      <w:r>
        <w:rPr>
          <w:rStyle w:val="FootnoteReference"/>
        </w:rPr>
        <w:footnoteReference w:id="86"/>
      </w:r>
      <w:r>
        <w:rPr>
          <w:rFonts w:ascii="Garamond" w:hAnsi="Garamond"/>
        </w:rPr>
        <w:t xml:space="preserve"> Normalized borrower and grantor names from the exhibits, matched against the Davidson ownership history, return 1,930 ownership rows, 1,833 distinct parcels, and 122 borrower entities, joined to 587 instruments. Each instrument was then searched against the local deed-of-trust record, yielding 245 original deeds of trust and 124 assignments naming the lenders.</w:t>
      </w:r>
      <w:r>
        <w:rPr>
          <w:rStyle w:val="FootnoteReference"/>
        </w:rPr>
        <w:footnoteReference w:id="87"/>
      </w:r>
      <w:r>
        <w:rPr>
          <w:rFonts w:ascii="Garamond" w:hAnsi="Garamond"/>
        </w:rPr>
        <w:t xml:space="preserve"> Two independently constructed routes, the borrower-entity ownership match and the per-deal quitclaim bundles, produce the identical 1,833-parcel set, with zero symmetric difference.</w:t>
      </w:r>
      <w:r>
        <w:rPr>
          <w:rStyle w:val="FootnoteReference"/>
        </w:rPr>
        <w:footnoteReference w:id="88"/>
      </w:r>
    </w:p>
    <w:p>
      <w:pPr>
        <w:spacing w:line="480" w:lineRule="auto" w:before="0" w:after="0"/>
        <w:ind w:firstLine="720"/>
      </w:pPr>
      <w:r>
        <w:rPr>
          <w:rFonts w:ascii="Garamond" w:hAnsi="Garamond"/>
        </w:rPr>
        <w:t>Because a parcel can be securitized more than once, the unit of observation is the parcel-securitization event, defined by requiring the acquisition date, loan date, deed-of-trust recording date, and SEC filing date to fall within roughly a two-month window; the 1,833 parcels produce 1,921 events, with 87 parcels appearing in two or more deals. Date-cluster failures flag for review rather than join.</w:t>
      </w:r>
      <w:r>
        <w:rPr>
          <w:rStyle w:val="FootnoteReference"/>
        </w:rPr>
        <w:footnoteReference w:id="89"/>
      </w:r>
      <w:r>
        <w:rPr>
          <w:rFonts w:ascii="Garamond" w:hAnsi="Garamond"/>
        </w:rPr>
        <w:t xml:space="preserve"> Each event carries its tract's ACS profile at loan year and each parcel its assessment history, including its appraised value at loan year and on the 2025 roll.</w:t>
      </w:r>
      <w:r>
        <w:rPr>
          <w:rStyle w:val="FootnoteReference"/>
        </w:rPr>
        <w:footnoteReference w:id="90"/>
      </w:r>
    </w:p>
    <w:p>
      <w:pPr>
        <w:spacing w:line="480" w:lineRule="auto" w:before="0" w:after="0"/>
        <w:ind w:firstLine="720"/>
      </w:pPr>
      <w:r>
        <w:rPr>
          <w:rFonts w:ascii="Garamond" w:hAnsi="Garamond"/>
        </w:rPr>
        <w:t>The SEC-disclosed Davidson count is a floor, 1,698 properties, because most schedules disclose street addresses without city or state; the authoritative count is the deed-record match. Renamed entities that convey nothing record nothing, so the operator crosswalk, not the deed, catches renames. Appraised values lag market prices, so all value findings are floors. A borrower whose county spelling diverges beyond punctuation from its exhibit name would be missed, though securitization borrowers record under their exact deal names. One deed-of-trust allocation broadcast across multiple Progress borrowers by a name match, so the Progress per-home loan figure is not reported. And the design observes the pools' Davidson slice; the same borrowers hold homes in other counties that the SEC schedules will not locate either.</w:t>
      </w:r>
      <w:r>
        <w:rPr>
          <w:rStyle w:val="FootnoteReference"/>
        </w:rPr>
        <w:footnoteReference w:id="91"/>
      </w:r>
      <w:r>
        <w:rPr>
          <w:rFonts w:ascii="Garamond" w:hAnsi="Garamond"/>
        </w:rPr>
        <w:t xml:space="preserve"> The design is descriptive, and its verification is structural: every join reports matched and unmatched counts before use, a rule instituted after the pipeline's first tract join returned zero matches from a silent field-name mismatch.</w:t>
      </w:r>
      <w:r>
        <w:rPr>
          <w:rStyle w:val="FootnoteReference"/>
        </w:rPr>
        <w:footnoteReference w:id="92"/>
      </w:r>
    </w:p>
    <w:p>
      <w:pPr>
        <w:pStyle w:val="Heading1"/>
        <w:spacing w:before="360"/>
      </w:pPr>
      <w:r>
        <w:t>5. Findings and Discussion</w:t>
      </w:r>
    </w:p>
    <w:p>
      <w:pPr>
        <w:pStyle w:val="Heading2"/>
      </w:pPr>
      <w:r>
        <w:t>A. Quantitative Findings</w:t>
      </w:r>
    </w:p>
    <w:p>
      <w:pPr>
        <w:spacing w:line="480" w:lineRule="auto" w:before="0" w:after="0"/>
        <w:ind w:firstLine="720"/>
      </w:pPr>
      <w:r>
        <w:rPr>
          <w:rFonts w:ascii="Garamond" w:hAnsi="Garamond"/>
        </w:rPr>
        <w:t>Three findings answer the three research questions in order; the record's finer results fold under the first two.</w:t>
      </w:r>
    </w:p>
    <w:p>
      <w:pPr>
        <w:spacing w:line="480" w:lineRule="auto" w:before="0" w:after="0"/>
        <w:ind w:firstLine="720"/>
      </w:pPr>
      <w:r>
        <w:rPr>
          <w:rFonts w:ascii="Garamond" w:hAnsi="Garamond"/>
          <w:b/>
        </w:rPr>
        <w:t>Finding 1 (RQ1): Where the capital comes from.</w:t>
      </w:r>
      <w:r>
        <w:rPr>
          <w:rFonts w:ascii="Garamond" w:hAnsi="Garamond"/>
        </w:rPr>
        <w:t xml:space="preserve"> Two results answer the first question.</w:t>
      </w:r>
    </w:p>
    <w:p>
      <w:pPr>
        <w:spacing w:line="480" w:lineRule="auto" w:before="0" w:after="0"/>
        <w:ind w:firstLine="720"/>
      </w:pPr>
      <w:r>
        <w:rPr>
          <w:rFonts w:ascii="Garamond" w:hAnsi="Garamond"/>
          <w:b/>
        </w:rPr>
        <w:t>Finding 1a: Where the collateral sits.</w:t>
      </w:r>
      <w:r>
        <w:rPr>
          <w:rFonts w:ascii="Garamond" w:hAnsi="Garamond"/>
        </w:rPr>
        <w:t xml:space="preserve"> The 1,833 parcels resolve to six operator families led by Pretium/Progress at 923 (Table A-1). One ZIP code, 37013, holds 878 parcels; the Antioch to Priest Lake planning area holds 633; Council District 8 leads at 345; the parcels touch 107 tracts and 742 subdivisions.</w:t>
      </w:r>
      <w:r>
        <w:rPr>
          <w:rStyle w:val="FootnoteReference"/>
        </w:rPr>
        <w:footnoteReference w:id="93"/>
      </w:r>
      <w:r>
        <w:rPr>
          <w:rFonts w:ascii="Garamond" w:hAnsi="Garamond"/>
        </w:rPr>
        <w:t xml:space="preserve"> The neighborhoods are not the county's renter districts. At loan year, the securitized tracts ran 69 percent owner-occupied against 54 percent county-wide, and 82 percent of parcels sit in majority-homeowner tracts; poverty runs at the county average (Table A-2). The tracts are markedly Blacker than the county's typical tract, 28.8 against 18.6 percent, and the gap predates the deals, 31.5 against 19.6 percent in 2007 to 2011, so the pools selected Blacker neighborhoods rather than changed them. Sixty-one percent of the homes sit in tracts where a majority of renters are cost-burdened, against 53 percent of county tracts.</w:t>
      </w:r>
      <w:r>
        <w:rPr>
          <w:rStyle w:val="FootnoteReference"/>
        </w:rPr>
        <w:footnoteReference w:id="94"/>
      </w:r>
    </w:p>
    <w:p>
      <w:pPr>
        <w:spacing w:line="480" w:lineRule="auto" w:before="0" w:after="0"/>
        <w:ind w:firstLine="720"/>
      </w:pPr>
      <w:r>
        <w:rPr>
          <w:rFonts w:ascii="Garamond" w:hAnsi="Garamond"/>
          <w:b/>
        </w:rPr>
        <w:t>Finding 1b: What the pools selected.</w:t>
      </w:r>
      <w:r>
        <w:rPr>
          <w:rFonts w:ascii="Garamond" w:hAnsi="Garamond"/>
        </w:rPr>
        <w:t xml:space="preserve"> Every operator's portfolio appraises below its own tracts' median home value, from 0.65 (Starwood) to 0.84 (AMH); the pools bought each neighborhood's cheaper homes, the entry-level band where first-time buyers shop. Operators split on poverty exposure: Amherst and Cerberus bundle tracts 60 to 75 percent above the county's median poverty rate, while Blackstone and Starwood hold the low-poverty end; the racial split mirrors it, with Pretium, Amherst, and Cerberus bundling tracts averaging 31 to 33 percent Black against Starwood's 7.5 percent.</w:t>
      </w:r>
      <w:r>
        <w:rPr>
          <w:rStyle w:val="FootnoteReference"/>
        </w:rPr>
        <w:footnoteReference w:id="95"/>
      </w:r>
      <w:r>
        <w:rPr>
          <w:rFonts w:ascii="Garamond" w:hAnsi="Garamond"/>
        </w:rPr>
        <w:t xml:space="preserve"> Selection also operates within a single operator over time: Progress Residential's first twelve borrower vehicles (352 Davidson parcels) sit in tracts with a parcel-weighted mean household income of $90,294, its thirteenth through twenty-fifth (281 parcels) in tracts at $84,128, a 6.8 percent step down.</w:t>
      </w:r>
      <w:r>
        <w:rPr>
          <w:rStyle w:val="FootnoteReference"/>
        </w:rPr>
        <w:footnoteReference w:id="96"/>
      </w:r>
      <w:r>
        <w:rPr>
          <w:rFonts w:ascii="Garamond" w:hAnsi="Garamond"/>
        </w:rPr>
        <w:t xml:space="preserve"> Parent-level analyses cannot see this fracture; it is visible only at the borrower-entity grain.</w:t>
      </w:r>
    </w:p>
    <w:p>
      <w:pPr>
        <w:spacing w:line="480" w:lineRule="auto" w:before="0" w:after="0"/>
        <w:ind w:firstLine="720"/>
      </w:pPr>
      <w:r>
        <w:rPr>
          <w:rFonts w:ascii="Garamond" w:hAnsi="Garamond"/>
          <w:b/>
        </w:rPr>
        <w:t>Finding 2 (RQ2): What the deed-to-tranche link shows.</w:t>
      </w:r>
      <w:r>
        <w:rPr>
          <w:rFonts w:ascii="Garamond" w:hAnsi="Garamond"/>
        </w:rPr>
        <w:t xml:space="preserve"> Three results answer the second question.</w:t>
      </w:r>
    </w:p>
    <w:p>
      <w:pPr>
        <w:spacing w:line="480" w:lineRule="auto" w:before="0" w:after="0"/>
        <w:ind w:firstLine="720"/>
      </w:pPr>
      <w:r>
        <w:rPr>
          <w:rFonts w:ascii="Garamond" w:hAnsi="Garamond"/>
          <w:b/>
        </w:rPr>
        <w:t>Finding 2a: The one-way door.</w:t>
      </w:r>
      <w:r>
        <w:rPr>
          <w:rFonts w:ascii="Garamond" w:hAnsi="Garamond"/>
        </w:rPr>
        <w:t xml:space="preserve"> Of the 1,833 parcels, 1,708, 93 percent, remain with their securitization borrowers. Of the 125 that moved, 92 went to another institutional entity, and 33, 1.8 percent of the total, have ever returned to an individual owner. The exits that occur are the tail of completed deals: the borrower held for a median of roughly nine years, the deal wound down, the lien released, and only then did the home sell, twenty-five of the thirty-three sales in 2024 and 2025. Re-pledging outpaces release: at least 87 parcels passed through two or more securitization borrowers, 124 assignment recordings stand against 245 original deeds of trust, and the recorded lenders rotate behind an unchanged front door (Table A-5).</w:t>
      </w:r>
      <w:r>
        <w:rPr>
          <w:rStyle w:val="FootnoteReference"/>
        </w:rPr>
        <w:footnoteReference w:id="97"/>
      </w:r>
      <w:r>
        <w:rPr>
          <w:rFonts w:ascii="Garamond" w:hAnsi="Garamond"/>
        </w:rPr>
        <w:t xml:space="preserve"> A first-time buyer competing for one of these houses does not get another chance the following year. The house enters the pool and stays for the life of the financing, and when one pool ends it is more often re-pledged into the next than sold to a family.</w:t>
      </w:r>
    </w:p>
    <w:p>
      <w:pPr>
        <w:spacing w:line="480" w:lineRule="auto" w:before="0" w:after="0"/>
        <w:ind w:firstLine="720"/>
      </w:pPr>
      <w:r>
        <w:rPr>
          <w:rFonts w:ascii="Garamond" w:hAnsi="Garamond"/>
          <w:b/>
        </w:rPr>
        <w:t>Finding 2b: Value inside the pool, tenure outside it.</w:t>
      </w:r>
      <w:r>
        <w:rPr>
          <w:rFonts w:ascii="Garamond" w:hAnsi="Garamond"/>
        </w:rPr>
        <w:t xml:space="preserve"> The 1,833 homes appraise at $764.0 million on the 2025 roll, a median of $388,900 per home. Matching each acquisition cohort's loan-year appraisal to the same parcels' 2025 values, the homes pledged in 2014 appraised near $177,000 then and $433,600 now, approximately 145 percent appreciation inside the pool; each later vintage captured monotonically less, 91 percent for 2019, 32 percent for 2022, and the 2026 bundles bought at appraisal (Table A-3).</w:t>
      </w:r>
      <w:r>
        <w:rPr>
          <w:rStyle w:val="FootnoteReference"/>
        </w:rPr>
        <w:footnoteReference w:id="98"/>
      </w:r>
      <w:r>
        <w:rPr>
          <w:rFonts w:ascii="Garamond" w:hAnsi="Garamond"/>
        </w:rPr>
        <w:t xml:space="preserve"> Because the collateral does not circulate (Finding 2a), that appreciation accrued to the pools rather than to resident owners. Over the same period the neighborhoods' tenure crossed over: in 2007 to 2011 the future-securitized tracts had a lower single-family-detached renter share than the typical county tract, 12.8 against 16.0 percent, and by 2020 to 2024 they had crossed above it, 18.5 against 16.4 percent, while the county's own share stayed flat.</w:t>
      </w:r>
      <w:r>
        <w:rPr>
          <w:rStyle w:val="FootnoteReference"/>
        </w:rPr>
        <w:footnoteReference w:id="99"/>
      </w:r>
      <w:r>
        <w:rPr>
          <w:rFonts w:ascii="Garamond" w:hAnsi="Garamond"/>
        </w:rPr>
        <w:t xml:space="preserve"> The county did not convert its houses to rentals. These neighborhoods did, and they are the neighborhoods where the pools bought.</w:t>
      </w:r>
    </w:p>
    <w:p>
      <w:pPr>
        <w:spacing w:line="480" w:lineRule="auto" w:before="0" w:after="0"/>
        <w:ind w:firstLine="720"/>
      </w:pPr>
      <w:r>
        <w:rPr>
          <w:rFonts w:ascii="Garamond" w:hAnsi="Garamond"/>
          <w:b/>
        </w:rPr>
        <w:t>Finding 2c: What the filings hide.</w:t>
      </w:r>
      <w:r>
        <w:rPr>
          <w:rFonts w:ascii="Garamond" w:hAnsi="Garamond"/>
        </w:rPr>
        <w:t xml:space="preserve"> Across 695,174 rental-deal collateral rows, 146 say "Nashville"; 86 percent carry no address at all, only an internal file number; 116 of 289 deals disclose no city or state anywhere in their schedules. The recorded instruments hide the money symmetrically: the median recorded consideration on a securitization deed is $0, a Tennessee recording-tax election the instruments state on their face, and the recorded loan is the national pool amount, re-recorded in every collateral county, so that one Antioch house carries recorded pool principal of $2,480,733,000 across its two successive deals.</w:t>
      </w:r>
      <w:r>
        <w:rPr>
          <w:rStyle w:val="FootnoteReference"/>
        </w:rPr>
        <w:footnoteReference w:id="100"/>
      </w:r>
      <w:r>
        <w:rPr>
          <w:rFonts w:ascii="Garamond" w:hAnsi="Garamond"/>
        </w:rPr>
        <w:t xml:space="preserve"> Where the deed does state an amount, the allocation across 1,256 parcels totals $195.0 million, and the 19 deals whose national size is known total $6.43 billion; a Davidson home in one of these pools is a small slice of a loan written at national scale.</w:t>
      </w:r>
      <w:r>
        <w:rPr>
          <w:rStyle w:val="FootnoteReference"/>
        </w:rPr>
        <w:footnoteReference w:id="101"/>
      </w:r>
      <w:r>
        <w:rPr>
          <w:rFonts w:ascii="Garamond" w:hAnsi="Garamond"/>
        </w:rPr>
        <w:t xml:space="preserve"> Neither record alone locates the financing; only the join does. The disclosure gap widens over time, as mergers orphan deal-time borrower names from any current filer, "ARP 2014-1 Borrower, LLC" still holds Davidson title a decade after American Residential Properties ceased to exist, and the newest borrower entities shed even the naming fingerprint, recording as "PR BORROWER 26" and "PR BORROWER 27," which a "Progress Residential" search misses.</w:t>
      </w:r>
      <w:r>
        <w:rPr>
          <w:rStyle w:val="FootnoteReference"/>
        </w:rPr>
        <w:footnoteReference w:id="102"/>
      </w:r>
    </w:p>
    <w:p>
      <w:pPr>
        <w:spacing w:line="480" w:lineRule="auto" w:before="0" w:after="0"/>
        <w:ind w:firstLine="720"/>
      </w:pPr>
      <w:r>
        <w:rPr>
          <w:rFonts w:ascii="Garamond" w:hAnsi="Garamond"/>
          <w:b/>
        </w:rPr>
        <w:t>Finding 3 (RQ3): The statute and the structures.</w:t>
      </w:r>
      <w:r>
        <w:rPr>
          <w:rFonts w:ascii="Garamond" w:hAnsi="Garamond"/>
        </w:rPr>
        <w:t xml:space="preserve"> Section 1001 regulates purchasers, and the purchasing has largely stopped; the pools' economics run on holding, and the statute does not reach a single held home. The control test counts equity while the record's largest exposures are debt. The exemptions in subsections (a)(2)(F) through (H) map one-to-one onto the exits a distressed pool would take.</w:t>
      </w:r>
    </w:p>
    <w:p>
      <w:pPr>
        <w:pStyle w:val="Heading2"/>
      </w:pPr>
      <w:r>
        <w:t>B. Discussion</w:t>
      </w:r>
    </w:p>
    <w:p>
      <w:pPr>
        <w:spacing w:line="480" w:lineRule="auto" w:before="0" w:after="0"/>
        <w:ind w:firstLine="720"/>
      </w:pPr>
      <w:r>
        <w:rPr>
          <w:rFonts w:ascii="Garamond" w:hAnsi="Garamond"/>
        </w:rPr>
        <w:t>The mechanism the parcel-level record adds to the literature is commitment. The aggregate studies show institutional buying lowers homeownership rates, and An shows the displacement falls hardest on Black would-be buyers;</w:t>
      </w:r>
      <w:r>
        <w:rPr>
          <w:rStyle w:val="FootnoteReference"/>
        </w:rPr>
        <w:footnoteReference w:id="103"/>
      </w:r>
      <w:r>
        <w:rPr>
          <w:rFonts w:ascii="Garamond" w:hAnsi="Garamond"/>
        </w:rPr>
        <w:t xml:space="preserve"> the Davidson record is consistent with both, and identifies why the effect persists. A leveraged individual landlord can sell any year. A securitized pool cannot release one house without substitution or paydown mechanics, so the rational operator holds the pool intact for the life of the deal, and the exit data show exactly that: nine-year median holds, releases only at wind-down, 1.8 percent of homes ever returning to owner-occupancy. Securitization does not merely fund the conversion of starter homes to rentals; it commits the conversion for roughly a decade at a time, which is why the tenure crossover tracks the pool vintages rather than the housing cycle.</w:t>
      </w:r>
    </w:p>
    <w:p>
      <w:pPr>
        <w:spacing w:line="480" w:lineRule="auto" w:before="0" w:after="0"/>
        <w:ind w:firstLine="720"/>
      </w:pPr>
      <w:r>
        <w:rPr>
          <w:rFonts w:ascii="Garamond" w:hAnsi="Garamond"/>
        </w:rPr>
        <w:t>The welfare accounting follows the same channel. The homes the pools selected were the below-median, entry-level stock in majority-homeowner, disproportionately Black neighborhoods, precisely the stock through which prior cohorts of local families built equity. The 145 percent appreciation on the 2014 vintage accrued instead inside the collateral. The households that could not buy those homes now also strain to rent them: at the 2026 three-bedroom Small Area Fair Market Rent, the median securitized home requires roughly $95,600 in annual income against a neighborhood median of $78,263, and metro rents rose 80 percent from 2017 to 2026 against 69 percent income growth.</w:t>
      </w:r>
      <w:r>
        <w:rPr>
          <w:rStyle w:val="FootnoteReference"/>
        </w:rPr>
        <w:footnoteReference w:id="104"/>
      </w:r>
      <w:r>
        <w:rPr>
          <w:rFonts w:ascii="Garamond" w:hAnsi="Garamond"/>
        </w:rPr>
        <w:t xml:space="preserve"> The securitization captured both sides of the ledger, the asset's appreciation and the cash flow's growth. The geography of the rent burden matches the geography of the collateral. The three ZIPs holding the most securitized homes carry 2026 three-bedroom Small Area Fair Market Rents of $2,390 in 37013, $2,280 in 37076, and $2,490 in 37209, each above what a median household in those tracts can carry at the 30-percent standard.</w:t>
      </w:r>
      <w:r>
        <w:rPr>
          <w:rStyle w:val="FootnoteReference"/>
        </w:rPr>
        <w:footnoteReference w:id="105"/>
      </w:r>
      <w:r>
        <w:rPr>
          <w:rFonts w:ascii="Garamond" w:hAnsi="Garamond"/>
        </w:rPr>
        <w:t xml:space="preserve"> The gap lands hardest at the bottom: a four-person household at the 2026 extremely-low-income limit of $34,850 can afford $871 a month, so the $1,730 metro two-bedroom rent would consume roughly 60 percent of its income. The household that could not buy the house in 2014 now can neither buy it nor comfortably rent it.</w:t>
      </w:r>
    </w:p>
    <w:p>
      <w:pPr>
        <w:spacing w:line="480" w:lineRule="auto" w:before="0" w:after="0"/>
        <w:ind w:firstLine="720"/>
      </w:pPr>
      <w:r>
        <w:rPr>
          <w:rFonts w:ascii="Garamond" w:hAnsi="Garamond"/>
        </w:rPr>
        <w:t>Finding 3 answers RQ3, and the answer is the Part's posture made concrete. The disclosure that would let any regulator see the collateral does not exist on the federal side: this Part could be written only because Tennessee's recording system, including the section 67-4-409(b) apportionment statement, discloses what the SEC schedules conceal. A statute aimed at the visible act, purchase, misses the durable structure, the pool, because the pool was built to be durable and disclosed so as not to be seen. Regulating purchasers while leaving the financing untouched freezes the conversion this record documents. It reverses none of it.</w:t>
      </w:r>
    </w:p>
    <w:p>
      <w:pPr>
        <w:pStyle w:val="Heading1"/>
        <w:spacing w:before="360"/>
      </w:pPr>
      <w:r>
        <w:t>Recommendations</w:t>
      </w:r>
    </w:p>
    <w:p>
      <w:pPr>
        <w:spacing w:line="480" w:lineRule="auto" w:before="0" w:after="0"/>
        <w:ind w:firstLine="720"/>
      </w:pPr>
      <w:r>
        <w:rPr>
          <w:rFonts w:ascii="Garamond" w:hAnsi="Garamond"/>
        </w:rPr>
        <w:t>Two recommendations follow from the record. First, the Act's acquisition bar does not require divestiture, so the 1,708 held homes are unaffected for the life of their financings.</w:t>
      </w:r>
      <w:r>
        <w:rPr>
          <w:rStyle w:val="FootnoteReference"/>
        </w:rPr>
        <w:footnoteReference w:id="106"/>
      </w:r>
      <w:r>
        <w:rPr>
          <w:rFonts w:ascii="Garamond" w:hAnsi="Garamond"/>
        </w:rPr>
        <w:t xml:space="preserve"> Second, the disclosure gap is a policy variable in its own right. Every fact in this Part is public, but assembled from two record systems engineered not to meet: the SEC filing that names the deal but hides the place, and the county instrument that names the place but hides the deal. A modest schedule-disclosure requirement, county and state on the collateral schedule, would let any county replicate this accounting from the SEC record alone. Tennessee's own recording-tax statement shows the form such disclosure takes when a state wants the local share stated on the instrument.</w:t>
      </w:r>
    </w:p>
    <w:p>
      <w:pPr>
        <w:pStyle w:val="Heading1"/>
        <w:spacing w:before="360"/>
      </w:pPr>
      <w:r>
        <w:t>Conclusion</w:t>
      </w:r>
    </w:p>
    <w:p>
      <w:pPr>
        <w:spacing w:line="480" w:lineRule="auto" w:before="0" w:after="0"/>
        <w:ind w:firstLine="720"/>
      </w:pPr>
      <w:r>
        <w:rPr>
          <w:rFonts w:ascii="Garamond" w:hAnsi="Garamond"/>
        </w:rPr>
        <w:t>This series began with a map of who owns Nashville and ends at the layer that paid for the map. Part I counted 205,933 single-family homes and found the institutional owners among them. Parts II through IV followed the tenants, the builders, and the land. This Part opened the instruments the institutional-housing literature cites but does not read, and matched them to the county deed record they are engineered not to meet. In one county, the match shows a bond-financed acquisition channel that selected entry-level homes in majority-homeowner, disproportionately Black neighborhoods, held them behind a one-way door for the life of each deal, captured a decade of appreciation inside the pools, and disclosed none of the geography that would let a reader see any of it.</w:t>
      </w:r>
    </w:p>
    <w:p>
      <w:pPr>
        <w:spacing w:line="480" w:lineRule="auto" w:before="0" w:after="0"/>
        <w:ind w:firstLine="720"/>
      </w:pPr>
      <w:r>
        <w:rPr>
          <w:rFonts w:ascii="Garamond" w:hAnsi="Garamond"/>
        </w:rPr>
        <w:t>The house on Ristau Court states the whole argument. Its owner is a shell named for a deal. Its recorded debt is $2.48 billion it does not owe. Its rent services bonds its tenant has never heard of, rated by agencies its neighbors will never read, exempt from a statute written about houses exactly like it. The method that found it replays from public endpoints and extends to any county with digitized deeds. The natural next steps are the bond-investor side of the same chain, the rate spread between pool debt and the mortgages the displaced buyers would have carried, and the first pool default, which will test whether the one-way door swings under stress. The reform that follows from five Parts of record-building is not a new prohibition. It is disclosure at the capital layer: the collateral schedule that says where the homes are, and the sworn local share that says what they secure. Who finances Nashville is knowable. This series knows it only because two record systems failed to keep their secret at the same time.</w:t>
      </w:r>
    </w:p>
    <w:p>
      <w:pPr>
        <w:pStyle w:val="Heading1"/>
        <w:spacing w:before="360"/>
      </w:pPr>
      <w:r>
        <w:t>APPENDIX: TABLES</w:t>
      </w:r>
    </w:p>
    <w:p>
      <w:pPr>
        <w:spacing w:line="480" w:lineRule="auto" w:before="0" w:after="0"/>
        <w:ind w:firstLine="720"/>
      </w:pPr>
      <w:r>
        <w:rPr>
          <w:rFonts w:ascii="Garamond" w:hAnsi="Garamond"/>
        </w:rPr>
        <w:t>Tables are lettered A-1 through A-5 and referenced by content in the text.</w:t>
      </w:r>
    </w:p>
    <w:p>
      <w:pPr>
        <w:spacing w:line="240" w:lineRule="auto" w:before="0" w:after="120"/>
      </w:pPr>
      <w:r>
        <w:rPr>
          <w:rFonts w:ascii="Garamond" w:hAnsi="Garamond"/>
          <w:b/>
          <w:sz w:val="19"/>
        </w:rPr>
        <w:t>Table A-1. Securitized Davidson County parcels by operator family</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Operator (ultimate parent)</w:t>
            </w:r>
          </w:p>
        </w:tc>
        <w:tc>
          <w:tcPr>
            <w:tcW w:type="dxa" w:w="2340"/>
            <w:tcBorders>
              <w:bottom w:val="single" w:sz="4" w:color="000000"/>
            </w:tcBorders>
          </w:tcPr>
          <w:p>
            <w:pPr>
              <w:spacing w:line="240" w:lineRule="auto"/>
            </w:pPr>
            <w:r>
              <w:rPr>
                <w:b/>
              </w:rPr>
            </w:r>
            <w:r>
              <w:rPr>
                <w:rFonts w:ascii="Garamond" w:hAnsi="Garamond"/>
                <w:b/>
                <w:sz w:val="18"/>
              </w:rPr>
              <w:t>Parcels</w:t>
            </w:r>
          </w:p>
        </w:tc>
        <w:tc>
          <w:tcPr>
            <w:tcW w:type="dxa" w:w="2340"/>
            <w:tcBorders>
              <w:bottom w:val="single" w:sz="4" w:color="000000"/>
            </w:tcBorders>
          </w:tcPr>
          <w:p>
            <w:pPr>
              <w:spacing w:line="240" w:lineRule="auto"/>
            </w:pPr>
            <w:r>
              <w:rPr>
                <w:b/>
              </w:rPr>
            </w:r>
            <w:r>
              <w:rPr>
                <w:rFonts w:ascii="Garamond" w:hAnsi="Garamond"/>
                <w:b/>
                <w:sz w:val="18"/>
              </w:rPr>
              <w:t>Median 2025 appraisal</w:t>
            </w:r>
          </w:p>
        </w:tc>
        <w:tc>
          <w:tcPr>
            <w:tcW w:type="dxa" w:w="2340"/>
            <w:tcBorders>
              <w:bottom w:val="single" w:sz="4" w:color="000000"/>
            </w:tcBorders>
          </w:tcPr>
          <w:p>
            <w:pPr>
              <w:spacing w:line="240" w:lineRule="auto"/>
            </w:pPr>
            <w:r>
              <w:rPr>
                <w:b/>
              </w:rPr>
            </w:r>
            <w:r>
              <w:rPr>
                <w:rFonts w:ascii="Garamond" w:hAnsi="Garamond"/>
                <w:b/>
                <w:sz w:val="18"/>
              </w:rPr>
              <w:t>Total 2025 appraised value</w:t>
            </w:r>
          </w:p>
        </w:tc>
      </w:tr>
      <w:tr>
        <w:tc>
          <w:tcPr>
            <w:tcW w:type="dxa" w:w="2340"/>
          </w:tcPr>
          <w:p>
            <w:pPr>
              <w:spacing w:line="240" w:lineRule="auto"/>
            </w:pPr>
            <w:r/>
            <w:r>
              <w:rPr>
                <w:rFonts w:ascii="Garamond" w:hAnsi="Garamond"/>
                <w:sz w:val="18"/>
              </w:rPr>
              <w:t>Pretium Partners / Progress Residential</w:t>
            </w:r>
          </w:p>
        </w:tc>
        <w:tc>
          <w:tcPr>
            <w:tcW w:type="dxa" w:w="2340"/>
          </w:tcPr>
          <w:p>
            <w:pPr>
              <w:spacing w:line="240" w:lineRule="auto"/>
              <w:jc w:val="right"/>
            </w:pPr>
            <w:r/>
            <w:r>
              <w:rPr>
                <w:rFonts w:ascii="Garamond" w:hAnsi="Garamond"/>
                <w:sz w:val="18"/>
              </w:rPr>
              <w:t>923</w:t>
            </w:r>
          </w:p>
        </w:tc>
        <w:tc>
          <w:tcPr>
            <w:tcW w:type="dxa" w:w="2340"/>
          </w:tcPr>
          <w:p>
            <w:pPr>
              <w:spacing w:line="240" w:lineRule="auto"/>
              <w:jc w:val="right"/>
            </w:pPr>
            <w:r/>
            <w:r>
              <w:rPr>
                <w:rFonts w:ascii="Garamond" w:hAnsi="Garamond"/>
                <w:sz w:val="18"/>
              </w:rPr>
              <w:t>$373,700</w:t>
            </w:r>
          </w:p>
        </w:tc>
        <w:tc>
          <w:tcPr>
            <w:tcW w:type="dxa" w:w="2340"/>
          </w:tcPr>
          <w:p>
            <w:pPr>
              <w:spacing w:line="240" w:lineRule="auto"/>
            </w:pPr>
            <w:r/>
            <w:r>
              <w:rPr>
                <w:rFonts w:ascii="Garamond" w:hAnsi="Garamond"/>
                <w:sz w:val="18"/>
              </w:rPr>
              <w:t>$345.8M</w:t>
            </w:r>
          </w:p>
        </w:tc>
      </w:tr>
      <w:tr>
        <w:tc>
          <w:tcPr>
            <w:tcW w:type="dxa" w:w="2340"/>
          </w:tcPr>
          <w:p>
            <w:pPr>
              <w:spacing w:line="240" w:lineRule="auto"/>
            </w:pPr>
            <w:r/>
            <w:r>
              <w:rPr>
                <w:rFonts w:ascii="Garamond" w:hAnsi="Garamond"/>
                <w:sz w:val="18"/>
              </w:rPr>
              <w:t>Amherst Group</w:t>
            </w:r>
          </w:p>
        </w:tc>
        <w:tc>
          <w:tcPr>
            <w:tcW w:type="dxa" w:w="2340"/>
          </w:tcPr>
          <w:p>
            <w:pPr>
              <w:spacing w:line="240" w:lineRule="auto"/>
              <w:jc w:val="right"/>
            </w:pPr>
            <w:r/>
            <w:r>
              <w:rPr>
                <w:rFonts w:ascii="Garamond" w:hAnsi="Garamond"/>
                <w:sz w:val="18"/>
              </w:rPr>
              <w:t>354</w:t>
            </w:r>
          </w:p>
        </w:tc>
        <w:tc>
          <w:tcPr>
            <w:tcW w:type="dxa" w:w="2340"/>
          </w:tcPr>
          <w:p>
            <w:pPr>
              <w:spacing w:line="240" w:lineRule="auto"/>
              <w:jc w:val="right"/>
            </w:pPr>
            <w:r/>
            <w:r>
              <w:rPr>
                <w:rFonts w:ascii="Garamond" w:hAnsi="Garamond"/>
                <w:sz w:val="18"/>
              </w:rPr>
              <w:t>$354,400</w:t>
            </w:r>
          </w:p>
        </w:tc>
        <w:tc>
          <w:tcPr>
            <w:tcW w:type="dxa" w:w="2340"/>
          </w:tcPr>
          <w:p>
            <w:pPr>
              <w:spacing w:line="240" w:lineRule="auto"/>
            </w:pPr>
            <w:r/>
            <w:r>
              <w:rPr>
                <w:rFonts w:ascii="Garamond" w:hAnsi="Garamond"/>
                <w:sz w:val="18"/>
              </w:rPr>
              <w:t>$123.7M</w:t>
            </w:r>
          </w:p>
        </w:tc>
      </w:tr>
      <w:tr>
        <w:tc>
          <w:tcPr>
            <w:tcW w:type="dxa" w:w="2340"/>
          </w:tcPr>
          <w:p>
            <w:pPr>
              <w:spacing w:line="240" w:lineRule="auto"/>
            </w:pPr>
            <w:r/>
            <w:r>
              <w:rPr>
                <w:rFonts w:ascii="Garamond" w:hAnsi="Garamond"/>
                <w:sz w:val="18"/>
              </w:rPr>
              <w:t>American Homes 4 Rent</w:t>
            </w:r>
          </w:p>
        </w:tc>
        <w:tc>
          <w:tcPr>
            <w:tcW w:type="dxa" w:w="2340"/>
          </w:tcPr>
          <w:p>
            <w:pPr>
              <w:spacing w:line="240" w:lineRule="auto"/>
              <w:jc w:val="right"/>
            </w:pPr>
            <w:r/>
            <w:r>
              <w:rPr>
                <w:rFonts w:ascii="Garamond" w:hAnsi="Garamond"/>
                <w:sz w:val="18"/>
              </w:rPr>
              <w:t>248</w:t>
            </w:r>
          </w:p>
        </w:tc>
        <w:tc>
          <w:tcPr>
            <w:tcW w:type="dxa" w:w="2340"/>
          </w:tcPr>
          <w:p>
            <w:pPr>
              <w:spacing w:line="240" w:lineRule="auto"/>
              <w:jc w:val="right"/>
            </w:pPr>
            <w:r/>
            <w:r>
              <w:rPr>
                <w:rFonts w:ascii="Garamond" w:hAnsi="Garamond"/>
                <w:sz w:val="18"/>
              </w:rPr>
              <w:t>$433,100</w:t>
            </w:r>
          </w:p>
        </w:tc>
        <w:tc>
          <w:tcPr>
            <w:tcW w:type="dxa" w:w="2340"/>
          </w:tcPr>
          <w:p>
            <w:pPr>
              <w:spacing w:line="240" w:lineRule="auto"/>
            </w:pPr>
            <w:r/>
            <w:r>
              <w:rPr>
                <w:rFonts w:ascii="Garamond" w:hAnsi="Garamond"/>
                <w:sz w:val="18"/>
              </w:rPr>
              <w:t>$108.5M</w:t>
            </w:r>
          </w:p>
        </w:tc>
      </w:tr>
      <w:tr>
        <w:tc>
          <w:tcPr>
            <w:tcW w:type="dxa" w:w="2340"/>
          </w:tcPr>
          <w:p>
            <w:pPr>
              <w:spacing w:line="240" w:lineRule="auto"/>
            </w:pPr>
            <w:r/>
            <w:r>
              <w:rPr>
                <w:rFonts w:ascii="Garamond" w:hAnsi="Garamond"/>
                <w:sz w:val="18"/>
              </w:rPr>
              <w:t>Blackstone (with Home Partners)</w:t>
            </w:r>
          </w:p>
        </w:tc>
        <w:tc>
          <w:tcPr>
            <w:tcW w:type="dxa" w:w="2340"/>
          </w:tcPr>
          <w:p>
            <w:pPr>
              <w:spacing w:line="240" w:lineRule="auto"/>
              <w:jc w:val="right"/>
            </w:pPr>
            <w:r/>
            <w:r>
              <w:rPr>
                <w:rFonts w:ascii="Garamond" w:hAnsi="Garamond"/>
                <w:sz w:val="18"/>
              </w:rPr>
              <w:t>234</w:t>
            </w:r>
          </w:p>
        </w:tc>
        <w:tc>
          <w:tcPr>
            <w:tcW w:type="dxa" w:w="2340"/>
          </w:tcPr>
          <w:p>
            <w:pPr>
              <w:spacing w:line="240" w:lineRule="auto"/>
              <w:jc w:val="right"/>
            </w:pPr>
            <w:r/>
            <w:r>
              <w:rPr>
                <w:rFonts w:ascii="Garamond" w:hAnsi="Garamond"/>
                <w:sz w:val="18"/>
              </w:rPr>
              <w:t>$418,600</w:t>
            </w:r>
          </w:p>
        </w:tc>
        <w:tc>
          <w:tcPr>
            <w:tcW w:type="dxa" w:w="2340"/>
          </w:tcPr>
          <w:p>
            <w:pPr>
              <w:spacing w:line="240" w:lineRule="auto"/>
            </w:pPr>
            <w:r/>
            <w:r>
              <w:rPr>
                <w:rFonts w:ascii="Garamond" w:hAnsi="Garamond"/>
                <w:sz w:val="18"/>
              </w:rPr>
              <w:t>$103.8M</w:t>
            </w:r>
          </w:p>
        </w:tc>
      </w:tr>
      <w:tr>
        <w:tc>
          <w:tcPr>
            <w:tcW w:type="dxa" w:w="2340"/>
          </w:tcPr>
          <w:p>
            <w:pPr>
              <w:spacing w:line="240" w:lineRule="auto"/>
            </w:pPr>
            <w:r/>
            <w:r>
              <w:rPr>
                <w:rFonts w:ascii="Garamond" w:hAnsi="Garamond"/>
                <w:sz w:val="18"/>
              </w:rPr>
              <w:t>Starwood Capital</w:t>
            </w:r>
          </w:p>
        </w:tc>
        <w:tc>
          <w:tcPr>
            <w:tcW w:type="dxa" w:w="2340"/>
          </w:tcPr>
          <w:p>
            <w:pPr>
              <w:spacing w:line="240" w:lineRule="auto"/>
              <w:jc w:val="right"/>
            </w:pPr>
            <w:r/>
            <w:r>
              <w:rPr>
                <w:rFonts w:ascii="Garamond" w:hAnsi="Garamond"/>
                <w:sz w:val="18"/>
              </w:rPr>
              <w:t>101</w:t>
            </w:r>
          </w:p>
        </w:tc>
        <w:tc>
          <w:tcPr>
            <w:tcW w:type="dxa" w:w="2340"/>
          </w:tcPr>
          <w:p>
            <w:pPr>
              <w:spacing w:line="240" w:lineRule="auto"/>
              <w:jc w:val="right"/>
            </w:pPr>
            <w:r/>
            <w:r>
              <w:rPr>
                <w:rFonts w:ascii="Garamond" w:hAnsi="Garamond"/>
                <w:sz w:val="18"/>
              </w:rPr>
              <w:t>$560,500</w:t>
            </w:r>
          </w:p>
        </w:tc>
        <w:tc>
          <w:tcPr>
            <w:tcW w:type="dxa" w:w="2340"/>
          </w:tcPr>
          <w:p>
            <w:pPr>
              <w:spacing w:line="240" w:lineRule="auto"/>
            </w:pPr>
            <w:r/>
            <w:r>
              <w:rPr>
                <w:rFonts w:ascii="Garamond" w:hAnsi="Garamond"/>
                <w:sz w:val="18"/>
              </w:rPr>
              <w:t>$55.5M</w:t>
            </w:r>
          </w:p>
        </w:tc>
      </w:tr>
      <w:tr>
        <w:tc>
          <w:tcPr>
            <w:tcW w:type="dxa" w:w="2340"/>
          </w:tcPr>
          <w:p>
            <w:pPr>
              <w:spacing w:line="240" w:lineRule="auto"/>
            </w:pPr>
            <w:r/>
            <w:r>
              <w:rPr>
                <w:rFonts w:ascii="Garamond" w:hAnsi="Garamond"/>
                <w:sz w:val="18"/>
              </w:rPr>
              <w:t>Cerberus (with FirstKey)</w:t>
            </w:r>
          </w:p>
        </w:tc>
        <w:tc>
          <w:tcPr>
            <w:tcW w:type="dxa" w:w="2340"/>
          </w:tcPr>
          <w:p>
            <w:pPr>
              <w:spacing w:line="240" w:lineRule="auto"/>
              <w:jc w:val="right"/>
            </w:pPr>
            <w:r/>
            <w:r>
              <w:rPr>
                <w:rFonts w:ascii="Garamond" w:hAnsi="Garamond"/>
                <w:sz w:val="18"/>
              </w:rPr>
              <w:t>69</w:t>
            </w:r>
          </w:p>
        </w:tc>
        <w:tc>
          <w:tcPr>
            <w:tcW w:type="dxa" w:w="2340"/>
          </w:tcPr>
          <w:p>
            <w:pPr>
              <w:spacing w:line="240" w:lineRule="auto"/>
              <w:jc w:val="right"/>
            </w:pPr>
            <w:r/>
            <w:r>
              <w:rPr>
                <w:rFonts w:ascii="Garamond" w:hAnsi="Garamond"/>
                <w:sz w:val="18"/>
              </w:rPr>
              <w:t>$397,750</w:t>
            </w:r>
          </w:p>
        </w:tc>
        <w:tc>
          <w:tcPr>
            <w:tcW w:type="dxa" w:w="2340"/>
          </w:tcPr>
          <w:p>
            <w:pPr>
              <w:spacing w:line="240" w:lineRule="auto"/>
            </w:pPr>
            <w:r/>
            <w:r>
              <w:rPr>
                <w:rFonts w:ascii="Garamond" w:hAnsi="Garamond"/>
                <w:sz w:val="18"/>
              </w:rPr>
              <w:t>$26.7M</w:t>
            </w:r>
          </w:p>
        </w:tc>
      </w:tr>
      <w:tr>
        <w:tc>
          <w:tcPr>
            <w:tcW w:type="dxa" w:w="2340"/>
          </w:tcPr>
          <w:p>
            <w:pPr>
              <w:spacing w:line="240" w:lineRule="auto"/>
            </w:pPr>
            <w:r/>
            <w:r>
              <w:rPr>
                <w:rFonts w:ascii="Garamond" w:hAnsi="Garamond"/>
                <w:sz w:val="18"/>
              </w:rPr>
              <w:t>Total</w:t>
            </w:r>
          </w:p>
        </w:tc>
        <w:tc>
          <w:tcPr>
            <w:tcW w:type="dxa" w:w="2340"/>
          </w:tcPr>
          <w:p>
            <w:pPr>
              <w:spacing w:line="240" w:lineRule="auto"/>
              <w:jc w:val="right"/>
            </w:pPr>
            <w:r/>
            <w:r>
              <w:rPr>
                <w:rFonts w:ascii="Garamond" w:hAnsi="Garamond"/>
                <w:sz w:val="18"/>
              </w:rPr>
              <w:t>1,833</w:t>
            </w:r>
          </w:p>
        </w:tc>
        <w:tc>
          <w:tcPr>
            <w:tcW w:type="dxa" w:w="2340"/>
          </w:tcPr>
          <w:p>
            <w:pPr>
              <w:spacing w:line="240" w:lineRule="auto"/>
              <w:jc w:val="right"/>
            </w:pPr>
            <w:r/>
            <w:r>
              <w:rPr>
                <w:rFonts w:ascii="Garamond" w:hAnsi="Garamond"/>
                <w:sz w:val="18"/>
              </w:rPr>
              <w:t>$388,900</w:t>
            </w:r>
          </w:p>
        </w:tc>
        <w:tc>
          <w:tcPr>
            <w:tcW w:type="dxa" w:w="2340"/>
          </w:tcPr>
          <w:p>
            <w:pPr>
              <w:spacing w:line="240" w:lineRule="auto"/>
            </w:pPr>
            <w:r/>
            <w:r>
              <w:rPr>
                <w:rFonts w:ascii="Garamond" w:hAnsi="Garamond"/>
                <w:sz w:val="18"/>
              </w:rPr>
              <w:t>$764.0M</w:t>
            </w:r>
          </w:p>
        </w:tc>
      </w:tr>
    </w:tbl>
    <w:p>
      <w:pPr>
        <w:spacing w:after="0"/>
      </w:pPr>
    </w:p>
    <w:p>
      <w:pPr>
        <w:spacing w:line="240" w:lineRule="auto" w:before="0" w:after="120"/>
      </w:pPr>
      <w:r>
        <w:rPr>
          <w:rFonts w:ascii="Garamond" w:hAnsi="Garamond"/>
          <w:i/>
          <w:sz w:val="19"/>
        </w:rPr>
        <w:t>Notes: Parcels attributed by matching securitization borrower entities to the Davidson ownership record; ultimate parents assigned through the project's operator crosswalk, with merger history applied (American Residential Properties to AMH; Tricon to Blackstone). Values from the 2025 county reappraisal roll; value columns computed on the one-row-per-parcel map file, whose per-operator counts differ from the attribution column by at most seven parcels. Source: Author's calculation from SEC EDGAR ABS-15G filings, Davidson County ownership records, and the 2025 assessment roll.</w:t>
      </w:r>
    </w:p>
    <w:p>
      <w:pPr>
        <w:spacing w:line="240" w:lineRule="auto" w:before="0" w:after="120"/>
      </w:pPr>
      <w:r>
        <w:rPr>
          <w:rFonts w:ascii="Garamond" w:hAnsi="Garamond"/>
          <w:b/>
          <w:sz w:val="19"/>
        </w:rPr>
        <w:t>Table A-2. Neighborhood characteristics at loan year</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Measure</w:t>
            </w:r>
          </w:p>
        </w:tc>
        <w:tc>
          <w:tcPr>
            <w:tcW w:type="dxa" w:w="3120"/>
            <w:tcBorders>
              <w:bottom w:val="single" w:sz="4" w:color="000000"/>
            </w:tcBorders>
          </w:tcPr>
          <w:p>
            <w:pPr>
              <w:spacing w:line="240" w:lineRule="auto"/>
            </w:pPr>
            <w:r>
              <w:rPr>
                <w:b/>
              </w:rPr>
            </w:r>
            <w:r>
              <w:rPr>
                <w:rFonts w:ascii="Garamond" w:hAnsi="Garamond"/>
                <w:b/>
                <w:sz w:val="18"/>
              </w:rPr>
              <w:t>Securitized tracts</w:t>
            </w:r>
          </w:p>
        </w:tc>
        <w:tc>
          <w:tcPr>
            <w:tcW w:type="dxa" w:w="3120"/>
            <w:tcBorders>
              <w:bottom w:val="single" w:sz="4" w:color="000000"/>
            </w:tcBorders>
          </w:tcPr>
          <w:p>
            <w:pPr>
              <w:spacing w:line="240" w:lineRule="auto"/>
            </w:pPr>
            <w:r>
              <w:rPr>
                <w:b/>
              </w:rPr>
            </w:r>
            <w:r>
              <w:rPr>
                <w:rFonts w:ascii="Garamond" w:hAnsi="Garamond"/>
                <w:b/>
                <w:sz w:val="18"/>
              </w:rPr>
              <w:t>Typical county tract</w:t>
            </w:r>
          </w:p>
        </w:tc>
      </w:tr>
      <w:tr>
        <w:tc>
          <w:tcPr>
            <w:tcW w:type="dxa" w:w="3120"/>
          </w:tcPr>
          <w:p>
            <w:pPr>
              <w:spacing w:line="240" w:lineRule="auto"/>
            </w:pPr>
            <w:r/>
            <w:r>
              <w:rPr>
                <w:rFonts w:ascii="Garamond" w:hAnsi="Garamond"/>
                <w:sz w:val="18"/>
              </w:rPr>
              <w:t>Share renter</w:t>
            </w:r>
          </w:p>
        </w:tc>
        <w:tc>
          <w:tcPr>
            <w:tcW w:type="dxa" w:w="3120"/>
          </w:tcPr>
          <w:p>
            <w:pPr>
              <w:spacing w:line="240" w:lineRule="auto"/>
              <w:jc w:val="right"/>
            </w:pPr>
            <w:r/>
            <w:r>
              <w:rPr>
                <w:rFonts w:ascii="Garamond" w:hAnsi="Garamond"/>
                <w:sz w:val="18"/>
              </w:rPr>
              <w:t>31.0%</w:t>
            </w:r>
          </w:p>
        </w:tc>
        <w:tc>
          <w:tcPr>
            <w:tcW w:type="dxa" w:w="3120"/>
          </w:tcPr>
          <w:p>
            <w:pPr>
              <w:spacing w:line="240" w:lineRule="auto"/>
              <w:jc w:val="right"/>
            </w:pPr>
            <w:r/>
            <w:r>
              <w:rPr>
                <w:rFonts w:ascii="Garamond" w:hAnsi="Garamond"/>
                <w:sz w:val="18"/>
              </w:rPr>
              <w:t>46.4%</w:t>
            </w:r>
          </w:p>
        </w:tc>
      </w:tr>
      <w:tr>
        <w:tc>
          <w:tcPr>
            <w:tcW w:type="dxa" w:w="3120"/>
          </w:tcPr>
          <w:p>
            <w:pPr>
              <w:spacing w:line="240" w:lineRule="auto"/>
            </w:pPr>
            <w:r/>
            <w:r>
              <w:rPr>
                <w:rFonts w:ascii="Garamond" w:hAnsi="Garamond"/>
                <w:sz w:val="18"/>
              </w:rPr>
              <w:t>Share in poverty</w:t>
            </w:r>
          </w:p>
        </w:tc>
        <w:tc>
          <w:tcPr>
            <w:tcW w:type="dxa" w:w="3120"/>
          </w:tcPr>
          <w:p>
            <w:pPr>
              <w:spacing w:line="240" w:lineRule="auto"/>
              <w:jc w:val="right"/>
            </w:pPr>
            <w:r/>
            <w:r>
              <w:rPr>
                <w:rFonts w:ascii="Garamond" w:hAnsi="Garamond"/>
                <w:sz w:val="18"/>
              </w:rPr>
              <w:t>11.3%</w:t>
            </w:r>
          </w:p>
        </w:tc>
        <w:tc>
          <w:tcPr>
            <w:tcW w:type="dxa" w:w="3120"/>
          </w:tcPr>
          <w:p>
            <w:pPr>
              <w:spacing w:line="240" w:lineRule="auto"/>
              <w:jc w:val="right"/>
            </w:pPr>
            <w:r/>
            <w:r>
              <w:rPr>
                <w:rFonts w:ascii="Garamond" w:hAnsi="Garamond"/>
                <w:sz w:val="18"/>
              </w:rPr>
              <w:t>12.1%</w:t>
            </w:r>
          </w:p>
        </w:tc>
      </w:tr>
      <w:tr>
        <w:tc>
          <w:tcPr>
            <w:tcW w:type="dxa" w:w="3120"/>
          </w:tcPr>
          <w:p>
            <w:pPr>
              <w:spacing w:line="240" w:lineRule="auto"/>
            </w:pPr>
            <w:r/>
            <w:r>
              <w:rPr>
                <w:rFonts w:ascii="Garamond" w:hAnsi="Garamond"/>
                <w:sz w:val="18"/>
              </w:rPr>
              <w:t>Share Black (2020 to 2024)</w:t>
            </w:r>
          </w:p>
        </w:tc>
        <w:tc>
          <w:tcPr>
            <w:tcW w:type="dxa" w:w="3120"/>
          </w:tcPr>
          <w:p>
            <w:pPr>
              <w:spacing w:line="240" w:lineRule="auto"/>
              <w:jc w:val="right"/>
            </w:pPr>
            <w:r/>
            <w:r>
              <w:rPr>
                <w:rFonts w:ascii="Garamond" w:hAnsi="Garamond"/>
                <w:sz w:val="18"/>
              </w:rPr>
              <w:t>28.8%</w:t>
            </w:r>
          </w:p>
        </w:tc>
        <w:tc>
          <w:tcPr>
            <w:tcW w:type="dxa" w:w="3120"/>
          </w:tcPr>
          <w:p>
            <w:pPr>
              <w:spacing w:line="240" w:lineRule="auto"/>
              <w:jc w:val="right"/>
            </w:pPr>
            <w:r/>
            <w:r>
              <w:rPr>
                <w:rFonts w:ascii="Garamond" w:hAnsi="Garamond"/>
                <w:sz w:val="18"/>
              </w:rPr>
              <w:t>18.6%</w:t>
            </w:r>
          </w:p>
        </w:tc>
      </w:tr>
      <w:tr>
        <w:tc>
          <w:tcPr>
            <w:tcW w:type="dxa" w:w="3120"/>
          </w:tcPr>
          <w:p>
            <w:pPr>
              <w:spacing w:line="240" w:lineRule="auto"/>
            </w:pPr>
            <w:r/>
            <w:r>
              <w:rPr>
                <w:rFonts w:ascii="Garamond" w:hAnsi="Garamond"/>
                <w:sz w:val="18"/>
              </w:rPr>
              <w:t>Share Hispanic (2020 to 2024)</w:t>
            </w:r>
          </w:p>
        </w:tc>
        <w:tc>
          <w:tcPr>
            <w:tcW w:type="dxa" w:w="3120"/>
          </w:tcPr>
          <w:p>
            <w:pPr>
              <w:spacing w:line="240" w:lineRule="auto"/>
              <w:jc w:val="right"/>
            </w:pPr>
            <w:r/>
            <w:r>
              <w:rPr>
                <w:rFonts w:ascii="Garamond" w:hAnsi="Garamond"/>
                <w:sz w:val="18"/>
              </w:rPr>
              <w:t>13.8%</w:t>
            </w:r>
          </w:p>
        </w:tc>
        <w:tc>
          <w:tcPr>
            <w:tcW w:type="dxa" w:w="3120"/>
          </w:tcPr>
          <w:p>
            <w:pPr>
              <w:spacing w:line="240" w:lineRule="auto"/>
              <w:jc w:val="right"/>
            </w:pPr>
            <w:r/>
            <w:r>
              <w:rPr>
                <w:rFonts w:ascii="Garamond" w:hAnsi="Garamond"/>
                <w:sz w:val="18"/>
              </w:rPr>
              <w:t>8.4%</w:t>
            </w:r>
          </w:p>
        </w:tc>
      </w:tr>
      <w:tr>
        <w:tc>
          <w:tcPr>
            <w:tcW w:type="dxa" w:w="3120"/>
          </w:tcPr>
          <w:p>
            <w:pPr>
              <w:spacing w:line="240" w:lineRule="auto"/>
            </w:pPr>
            <w:r/>
            <w:r>
              <w:rPr>
                <w:rFonts w:ascii="Garamond" w:hAnsi="Garamond"/>
                <w:sz w:val="18"/>
              </w:rPr>
              <w:t>Median home value</w:t>
            </w:r>
          </w:p>
        </w:tc>
        <w:tc>
          <w:tcPr>
            <w:tcW w:type="dxa" w:w="3120"/>
          </w:tcPr>
          <w:p>
            <w:pPr>
              <w:spacing w:line="240" w:lineRule="auto"/>
              <w:jc w:val="right"/>
            </w:pPr>
            <w:r/>
            <w:r>
              <w:rPr>
                <w:rFonts w:ascii="Garamond" w:hAnsi="Garamond"/>
                <w:sz w:val="18"/>
              </w:rPr>
              <w:t>$309,800</w:t>
            </w:r>
          </w:p>
        </w:tc>
        <w:tc>
          <w:tcPr>
            <w:tcW w:type="dxa" w:w="3120"/>
          </w:tcPr>
          <w:p>
            <w:pPr>
              <w:spacing w:line="240" w:lineRule="auto"/>
              <w:jc w:val="right"/>
            </w:pPr>
            <w:r/>
            <w:r>
              <w:rPr>
                <w:rFonts w:ascii="Garamond" w:hAnsi="Garamond"/>
                <w:sz w:val="18"/>
              </w:rPr>
              <w:t>$393,800</w:t>
            </w:r>
          </w:p>
        </w:tc>
      </w:tr>
      <w:tr>
        <w:tc>
          <w:tcPr>
            <w:tcW w:type="dxa" w:w="3120"/>
          </w:tcPr>
          <w:p>
            <w:pPr>
              <w:spacing w:line="240" w:lineRule="auto"/>
            </w:pPr>
            <w:r/>
            <w:r>
              <w:rPr>
                <w:rFonts w:ascii="Garamond" w:hAnsi="Garamond"/>
                <w:sz w:val="18"/>
              </w:rPr>
              <w:t>Median household income</w:t>
            </w:r>
          </w:p>
        </w:tc>
        <w:tc>
          <w:tcPr>
            <w:tcW w:type="dxa" w:w="3120"/>
          </w:tcPr>
          <w:p>
            <w:pPr>
              <w:spacing w:line="240" w:lineRule="auto"/>
              <w:jc w:val="right"/>
            </w:pPr>
            <w:r/>
            <w:r>
              <w:rPr>
                <w:rFonts w:ascii="Garamond" w:hAnsi="Garamond"/>
                <w:sz w:val="18"/>
              </w:rPr>
              <w:t>$78,263</w:t>
            </w:r>
          </w:p>
        </w:tc>
        <w:tc>
          <w:tcPr>
            <w:tcW w:type="dxa" w:w="3120"/>
          </w:tcPr>
          <w:p>
            <w:pPr>
              <w:spacing w:line="240" w:lineRule="auto"/>
              <w:jc w:val="right"/>
            </w:pPr>
            <w:r/>
            <w:r>
              <w:rPr>
                <w:rFonts w:ascii="Garamond" w:hAnsi="Garamond"/>
                <w:sz w:val="18"/>
              </w:rPr>
              <w:t>$75,769</w:t>
            </w:r>
          </w:p>
        </w:tc>
      </w:tr>
    </w:tbl>
    <w:p>
      <w:pPr>
        <w:spacing w:after="0"/>
      </w:pPr>
    </w:p>
    <w:p>
      <w:pPr>
        <w:spacing w:line="240" w:lineRule="auto" w:before="0" w:after="120"/>
      </w:pPr>
      <w:r>
        <w:rPr>
          <w:rFonts w:ascii="Garamond" w:hAnsi="Garamond"/>
          <w:i/>
          <w:sz w:val="19"/>
        </w:rPr>
        <w:t>Notes: Securitized-tract values are parcel-weighted; tenure, poverty, value, and income are measured at each parcel's loan-year ACS vintage; racial composition from the 2020 to 2024 vintage (the disparity is stable across vintages). County column is the unweighted tract median. Source: Author's calculation from vintage-matched ACS 5-year estimates and the securitized-parcel file.</w:t>
      </w:r>
    </w:p>
    <w:p>
      <w:pPr>
        <w:spacing w:line="240" w:lineRule="auto" w:before="0" w:after="120"/>
      </w:pPr>
      <w:r>
        <w:rPr>
          <w:rFonts w:ascii="Garamond" w:hAnsi="Garamond"/>
          <w:b/>
          <w:sz w:val="19"/>
        </w:rPr>
        <w:t>Table A-3. Appreciation by securitization vintage</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bottom w:val="single" w:sz="4" w:color="000000"/>
            </w:tcBorders>
          </w:tcPr>
          <w:p>
            <w:pPr>
              <w:spacing w:line="240" w:lineRule="auto"/>
            </w:pPr>
            <w:r>
              <w:rPr>
                <w:b/>
              </w:rPr>
            </w:r>
            <w:r>
              <w:rPr>
                <w:rFonts w:ascii="Garamond" w:hAnsi="Garamond"/>
                <w:b/>
                <w:sz w:val="18"/>
              </w:rPr>
              <w:t>Acquired</w:t>
            </w:r>
          </w:p>
        </w:tc>
        <w:tc>
          <w:tcPr>
            <w:tcW w:type="dxa" w:w="1872"/>
            <w:tcBorders>
              <w:bottom w:val="single" w:sz="4" w:color="000000"/>
            </w:tcBorders>
          </w:tcPr>
          <w:p>
            <w:pPr>
              <w:spacing w:line="240" w:lineRule="auto"/>
            </w:pPr>
            <w:r>
              <w:rPr>
                <w:b/>
              </w:rPr>
            </w:r>
            <w:r>
              <w:rPr>
                <w:rFonts w:ascii="Garamond" w:hAnsi="Garamond"/>
                <w:b/>
                <w:sz w:val="18"/>
              </w:rPr>
              <w:t>Parcels</w:t>
            </w:r>
          </w:p>
        </w:tc>
        <w:tc>
          <w:tcPr>
            <w:tcW w:type="dxa" w:w="1872"/>
            <w:tcBorders>
              <w:bottom w:val="single" w:sz="4" w:color="000000"/>
            </w:tcBorders>
          </w:tcPr>
          <w:p>
            <w:pPr>
              <w:spacing w:line="240" w:lineRule="auto"/>
            </w:pPr>
            <w:r>
              <w:rPr>
                <w:b/>
              </w:rPr>
            </w:r>
            <w:r>
              <w:rPr>
                <w:rFonts w:ascii="Garamond" w:hAnsi="Garamond"/>
                <w:b/>
                <w:sz w:val="18"/>
              </w:rPr>
              <w:t>Appraisal at loan year</w:t>
            </w:r>
          </w:p>
        </w:tc>
        <w:tc>
          <w:tcPr>
            <w:tcW w:type="dxa" w:w="1872"/>
            <w:tcBorders>
              <w:bottom w:val="single" w:sz="4" w:color="000000"/>
            </w:tcBorders>
          </w:tcPr>
          <w:p>
            <w:pPr>
              <w:spacing w:line="240" w:lineRule="auto"/>
            </w:pPr>
            <w:r>
              <w:rPr>
                <w:b/>
              </w:rPr>
            </w:r>
            <w:r>
              <w:rPr>
                <w:rFonts w:ascii="Garamond" w:hAnsi="Garamond"/>
                <w:b/>
                <w:sz w:val="18"/>
              </w:rPr>
              <w:t>Median 2025 appraisal</w:t>
            </w:r>
          </w:p>
        </w:tc>
        <w:tc>
          <w:tcPr>
            <w:tcW w:type="dxa" w:w="1872"/>
            <w:tcBorders>
              <w:bottom w:val="single" w:sz="4" w:color="000000"/>
            </w:tcBorders>
          </w:tcPr>
          <w:p>
            <w:pPr>
              <w:spacing w:line="240" w:lineRule="auto"/>
            </w:pPr>
            <w:r>
              <w:rPr>
                <w:b/>
              </w:rPr>
            </w:r>
            <w:r>
              <w:rPr>
                <w:rFonts w:ascii="Garamond" w:hAnsi="Garamond"/>
                <w:b/>
                <w:sz w:val="18"/>
              </w:rPr>
              <w:t>Change</w:t>
            </w:r>
          </w:p>
        </w:tc>
      </w:tr>
      <w:tr>
        <w:tc>
          <w:tcPr>
            <w:tcW w:type="dxa" w:w="1872"/>
          </w:tcPr>
          <w:p>
            <w:pPr>
              <w:spacing w:line="240" w:lineRule="auto"/>
            </w:pPr>
            <w:r/>
            <w:r>
              <w:rPr>
                <w:rFonts w:ascii="Garamond" w:hAnsi="Garamond"/>
                <w:sz w:val="18"/>
              </w:rPr>
              <w:t>2014</w:t>
            </w:r>
          </w:p>
        </w:tc>
        <w:tc>
          <w:tcPr>
            <w:tcW w:type="dxa" w:w="1872"/>
          </w:tcPr>
          <w:p>
            <w:pPr>
              <w:spacing w:line="240" w:lineRule="auto"/>
              <w:jc w:val="right"/>
            </w:pPr>
            <w:r/>
            <w:r>
              <w:rPr>
                <w:rFonts w:ascii="Garamond" w:hAnsi="Garamond"/>
                <w:sz w:val="18"/>
              </w:rPr>
              <w:t>199</w:t>
            </w:r>
          </w:p>
        </w:tc>
        <w:tc>
          <w:tcPr>
            <w:tcW w:type="dxa" w:w="1872"/>
          </w:tcPr>
          <w:p>
            <w:pPr>
              <w:spacing w:line="240" w:lineRule="auto"/>
            </w:pPr>
            <w:r/>
            <w:r>
              <w:rPr>
                <w:rFonts w:ascii="Garamond" w:hAnsi="Garamond"/>
                <w:sz w:val="18"/>
              </w:rPr>
              <w:t>~$176,800</w:t>
            </w:r>
          </w:p>
        </w:tc>
        <w:tc>
          <w:tcPr>
            <w:tcW w:type="dxa" w:w="1872"/>
          </w:tcPr>
          <w:p>
            <w:pPr>
              <w:spacing w:line="240" w:lineRule="auto"/>
              <w:jc w:val="right"/>
            </w:pPr>
            <w:r/>
            <w:r>
              <w:rPr>
                <w:rFonts w:ascii="Garamond" w:hAnsi="Garamond"/>
                <w:sz w:val="18"/>
              </w:rPr>
              <w:t>$433,600</w:t>
            </w:r>
          </w:p>
        </w:tc>
        <w:tc>
          <w:tcPr>
            <w:tcW w:type="dxa" w:w="1872"/>
          </w:tcPr>
          <w:p>
            <w:pPr>
              <w:spacing w:line="240" w:lineRule="auto"/>
            </w:pPr>
            <w:r/>
            <w:r>
              <w:rPr>
                <w:rFonts w:ascii="Garamond" w:hAnsi="Garamond"/>
                <w:sz w:val="18"/>
              </w:rPr>
              <w:t>+145%</w:t>
            </w:r>
          </w:p>
        </w:tc>
      </w:tr>
      <w:tr>
        <w:tc>
          <w:tcPr>
            <w:tcW w:type="dxa" w:w="1872"/>
          </w:tcPr>
          <w:p>
            <w:pPr>
              <w:spacing w:line="240" w:lineRule="auto"/>
            </w:pPr>
            <w:r/>
            <w:r>
              <w:rPr>
                <w:rFonts w:ascii="Garamond" w:hAnsi="Garamond"/>
                <w:sz w:val="18"/>
              </w:rPr>
              <w:t>2017</w:t>
            </w:r>
          </w:p>
        </w:tc>
        <w:tc>
          <w:tcPr>
            <w:tcW w:type="dxa" w:w="1872"/>
          </w:tcPr>
          <w:p>
            <w:pPr>
              <w:spacing w:line="240" w:lineRule="auto"/>
              <w:jc w:val="right"/>
            </w:pPr>
            <w:r/>
            <w:r>
              <w:rPr>
                <w:rFonts w:ascii="Garamond" w:hAnsi="Garamond"/>
                <w:sz w:val="18"/>
              </w:rPr>
              <w:t>70</w:t>
            </w:r>
          </w:p>
        </w:tc>
        <w:tc>
          <w:tcPr>
            <w:tcW w:type="dxa" w:w="1872"/>
          </w:tcPr>
          <w:p>
            <w:pPr>
              <w:spacing w:line="240" w:lineRule="auto"/>
            </w:pPr>
            <w:r/>
            <w:r>
              <w:rPr>
                <w:rFonts w:ascii="Garamond" w:hAnsi="Garamond"/>
                <w:sz w:val="18"/>
              </w:rPr>
              <w:t>~$200,300</w:t>
            </w:r>
          </w:p>
        </w:tc>
        <w:tc>
          <w:tcPr>
            <w:tcW w:type="dxa" w:w="1872"/>
          </w:tcPr>
          <w:p>
            <w:pPr>
              <w:spacing w:line="240" w:lineRule="auto"/>
              <w:jc w:val="right"/>
            </w:pPr>
            <w:r/>
            <w:r>
              <w:rPr>
                <w:rFonts w:ascii="Garamond" w:hAnsi="Garamond"/>
                <w:sz w:val="18"/>
              </w:rPr>
              <w:t>$392,950</w:t>
            </w:r>
          </w:p>
        </w:tc>
        <w:tc>
          <w:tcPr>
            <w:tcW w:type="dxa" w:w="1872"/>
          </w:tcPr>
          <w:p>
            <w:pPr>
              <w:spacing w:line="240" w:lineRule="auto"/>
            </w:pPr>
            <w:r/>
            <w:r>
              <w:rPr>
                <w:rFonts w:ascii="Garamond" w:hAnsi="Garamond"/>
                <w:sz w:val="18"/>
              </w:rPr>
              <w:t>+96%</w:t>
            </w:r>
          </w:p>
        </w:tc>
      </w:tr>
      <w:tr>
        <w:tc>
          <w:tcPr>
            <w:tcW w:type="dxa" w:w="1872"/>
          </w:tcPr>
          <w:p>
            <w:pPr>
              <w:spacing w:line="240" w:lineRule="auto"/>
            </w:pPr>
            <w:r/>
            <w:r>
              <w:rPr>
                <w:rFonts w:ascii="Garamond" w:hAnsi="Garamond"/>
                <w:sz w:val="18"/>
              </w:rPr>
              <w:t>2019</w:t>
            </w:r>
          </w:p>
        </w:tc>
        <w:tc>
          <w:tcPr>
            <w:tcW w:type="dxa" w:w="1872"/>
          </w:tcPr>
          <w:p>
            <w:pPr>
              <w:spacing w:line="240" w:lineRule="auto"/>
              <w:jc w:val="right"/>
            </w:pPr>
            <w:r/>
            <w:r>
              <w:rPr>
                <w:rFonts w:ascii="Garamond" w:hAnsi="Garamond"/>
                <w:sz w:val="18"/>
              </w:rPr>
              <w:t>276</w:t>
            </w:r>
          </w:p>
        </w:tc>
        <w:tc>
          <w:tcPr>
            <w:tcW w:type="dxa" w:w="1872"/>
          </w:tcPr>
          <w:p>
            <w:pPr>
              <w:spacing w:line="240" w:lineRule="auto"/>
            </w:pPr>
            <w:r/>
            <w:r>
              <w:rPr>
                <w:rFonts w:ascii="Garamond" w:hAnsi="Garamond"/>
                <w:sz w:val="18"/>
              </w:rPr>
              <w:t>~$195,200</w:t>
            </w:r>
          </w:p>
        </w:tc>
        <w:tc>
          <w:tcPr>
            <w:tcW w:type="dxa" w:w="1872"/>
          </w:tcPr>
          <w:p>
            <w:pPr>
              <w:spacing w:line="240" w:lineRule="auto"/>
              <w:jc w:val="right"/>
            </w:pPr>
            <w:r/>
            <w:r>
              <w:rPr>
                <w:rFonts w:ascii="Garamond" w:hAnsi="Garamond"/>
                <w:sz w:val="18"/>
              </w:rPr>
              <w:t>$373,150</w:t>
            </w:r>
          </w:p>
        </w:tc>
        <w:tc>
          <w:tcPr>
            <w:tcW w:type="dxa" w:w="1872"/>
          </w:tcPr>
          <w:p>
            <w:pPr>
              <w:spacing w:line="240" w:lineRule="auto"/>
            </w:pPr>
            <w:r/>
            <w:r>
              <w:rPr>
                <w:rFonts w:ascii="Garamond" w:hAnsi="Garamond"/>
                <w:sz w:val="18"/>
              </w:rPr>
              <w:t>+91%</w:t>
            </w:r>
          </w:p>
        </w:tc>
      </w:tr>
      <w:tr>
        <w:tc>
          <w:tcPr>
            <w:tcW w:type="dxa" w:w="1872"/>
          </w:tcPr>
          <w:p>
            <w:pPr>
              <w:spacing w:line="240" w:lineRule="auto"/>
            </w:pPr>
            <w:r/>
            <w:r>
              <w:rPr>
                <w:rFonts w:ascii="Garamond" w:hAnsi="Garamond"/>
                <w:sz w:val="18"/>
              </w:rPr>
              <w:t>2020</w:t>
            </w:r>
          </w:p>
        </w:tc>
        <w:tc>
          <w:tcPr>
            <w:tcW w:type="dxa" w:w="1872"/>
          </w:tcPr>
          <w:p>
            <w:pPr>
              <w:spacing w:line="240" w:lineRule="auto"/>
              <w:jc w:val="right"/>
            </w:pPr>
            <w:r/>
            <w:r>
              <w:rPr>
                <w:rFonts w:ascii="Garamond" w:hAnsi="Garamond"/>
                <w:sz w:val="18"/>
              </w:rPr>
              <w:t>251</w:t>
            </w:r>
          </w:p>
        </w:tc>
        <w:tc>
          <w:tcPr>
            <w:tcW w:type="dxa" w:w="1872"/>
          </w:tcPr>
          <w:p>
            <w:pPr>
              <w:spacing w:line="240" w:lineRule="auto"/>
            </w:pPr>
            <w:r/>
            <w:r>
              <w:rPr>
                <w:rFonts w:ascii="Garamond" w:hAnsi="Garamond"/>
                <w:sz w:val="18"/>
              </w:rPr>
              <w:t>~$254,300</w:t>
            </w:r>
          </w:p>
        </w:tc>
        <w:tc>
          <w:tcPr>
            <w:tcW w:type="dxa" w:w="1872"/>
          </w:tcPr>
          <w:p>
            <w:pPr>
              <w:spacing w:line="240" w:lineRule="auto"/>
              <w:jc w:val="right"/>
            </w:pPr>
            <w:r/>
            <w:r>
              <w:rPr>
                <w:rFonts w:ascii="Garamond" w:hAnsi="Garamond"/>
                <w:sz w:val="18"/>
              </w:rPr>
              <w:t>$402,200</w:t>
            </w:r>
          </w:p>
        </w:tc>
        <w:tc>
          <w:tcPr>
            <w:tcW w:type="dxa" w:w="1872"/>
          </w:tcPr>
          <w:p>
            <w:pPr>
              <w:spacing w:line="240" w:lineRule="auto"/>
            </w:pPr>
            <w:r/>
            <w:r>
              <w:rPr>
                <w:rFonts w:ascii="Garamond" w:hAnsi="Garamond"/>
                <w:sz w:val="18"/>
              </w:rPr>
              <w:t>+58%</w:t>
            </w:r>
          </w:p>
        </w:tc>
      </w:tr>
      <w:tr>
        <w:tc>
          <w:tcPr>
            <w:tcW w:type="dxa" w:w="1872"/>
          </w:tcPr>
          <w:p>
            <w:pPr>
              <w:spacing w:line="240" w:lineRule="auto"/>
            </w:pPr>
            <w:r/>
            <w:r>
              <w:rPr>
                <w:rFonts w:ascii="Garamond" w:hAnsi="Garamond"/>
                <w:sz w:val="18"/>
              </w:rPr>
              <w:t>2022</w:t>
            </w:r>
          </w:p>
        </w:tc>
        <w:tc>
          <w:tcPr>
            <w:tcW w:type="dxa" w:w="1872"/>
          </w:tcPr>
          <w:p>
            <w:pPr>
              <w:spacing w:line="240" w:lineRule="auto"/>
              <w:jc w:val="right"/>
            </w:pPr>
            <w:r/>
            <w:r>
              <w:rPr>
                <w:rFonts w:ascii="Garamond" w:hAnsi="Garamond"/>
                <w:sz w:val="18"/>
              </w:rPr>
              <w:t>309</w:t>
            </w:r>
          </w:p>
        </w:tc>
        <w:tc>
          <w:tcPr>
            <w:tcW w:type="dxa" w:w="1872"/>
          </w:tcPr>
          <w:p>
            <w:pPr>
              <w:spacing w:line="240" w:lineRule="auto"/>
            </w:pPr>
            <w:r/>
            <w:r>
              <w:rPr>
                <w:rFonts w:ascii="Garamond" w:hAnsi="Garamond"/>
                <w:sz w:val="18"/>
              </w:rPr>
              <w:t>~$313,100</w:t>
            </w:r>
          </w:p>
        </w:tc>
        <w:tc>
          <w:tcPr>
            <w:tcW w:type="dxa" w:w="1872"/>
          </w:tcPr>
          <w:p>
            <w:pPr>
              <w:spacing w:line="240" w:lineRule="auto"/>
              <w:jc w:val="right"/>
            </w:pPr>
            <w:r/>
            <w:r>
              <w:rPr>
                <w:rFonts w:ascii="Garamond" w:hAnsi="Garamond"/>
                <w:sz w:val="18"/>
              </w:rPr>
              <w:t>$413,000</w:t>
            </w:r>
          </w:p>
        </w:tc>
        <w:tc>
          <w:tcPr>
            <w:tcW w:type="dxa" w:w="1872"/>
          </w:tcPr>
          <w:p>
            <w:pPr>
              <w:spacing w:line="240" w:lineRule="auto"/>
            </w:pPr>
            <w:r/>
            <w:r>
              <w:rPr>
                <w:rFonts w:ascii="Garamond" w:hAnsi="Garamond"/>
                <w:sz w:val="18"/>
              </w:rPr>
              <w:t>+32%</w:t>
            </w:r>
          </w:p>
        </w:tc>
      </w:tr>
      <w:tr>
        <w:tc>
          <w:tcPr>
            <w:tcW w:type="dxa" w:w="1872"/>
          </w:tcPr>
          <w:p>
            <w:pPr>
              <w:spacing w:line="240" w:lineRule="auto"/>
            </w:pPr>
            <w:r/>
            <w:r>
              <w:rPr>
                <w:rFonts w:ascii="Garamond" w:hAnsi="Garamond"/>
                <w:sz w:val="18"/>
              </w:rPr>
              <w:t>2024</w:t>
            </w:r>
          </w:p>
        </w:tc>
        <w:tc>
          <w:tcPr>
            <w:tcW w:type="dxa" w:w="1872"/>
          </w:tcPr>
          <w:p>
            <w:pPr>
              <w:spacing w:line="240" w:lineRule="auto"/>
              <w:jc w:val="right"/>
            </w:pPr>
            <w:r/>
            <w:r>
              <w:rPr>
                <w:rFonts w:ascii="Garamond" w:hAnsi="Garamond"/>
                <w:sz w:val="18"/>
              </w:rPr>
              <w:t>112</w:t>
            </w:r>
          </w:p>
        </w:tc>
        <w:tc>
          <w:tcPr>
            <w:tcW w:type="dxa" w:w="1872"/>
          </w:tcPr>
          <w:p>
            <w:pPr>
              <w:spacing w:line="240" w:lineRule="auto"/>
            </w:pPr>
            <w:r/>
            <w:r>
              <w:rPr>
                <w:rFonts w:ascii="Garamond" w:hAnsi="Garamond"/>
                <w:sz w:val="18"/>
              </w:rPr>
              <w:t>~$269,500</w:t>
            </w:r>
          </w:p>
        </w:tc>
        <w:tc>
          <w:tcPr>
            <w:tcW w:type="dxa" w:w="1872"/>
          </w:tcPr>
          <w:p>
            <w:pPr>
              <w:spacing w:line="240" w:lineRule="auto"/>
              <w:jc w:val="right"/>
            </w:pPr>
            <w:r/>
            <w:r>
              <w:rPr>
                <w:rFonts w:ascii="Garamond" w:hAnsi="Garamond"/>
                <w:sz w:val="18"/>
              </w:rPr>
              <w:t>$370,450</w:t>
            </w:r>
          </w:p>
        </w:tc>
        <w:tc>
          <w:tcPr>
            <w:tcW w:type="dxa" w:w="1872"/>
          </w:tcPr>
          <w:p>
            <w:pPr>
              <w:spacing w:line="240" w:lineRule="auto"/>
            </w:pPr>
            <w:r/>
            <w:r>
              <w:rPr>
                <w:rFonts w:ascii="Garamond" w:hAnsi="Garamond"/>
                <w:sz w:val="18"/>
              </w:rPr>
              <w:t>+37%</w:t>
            </w:r>
          </w:p>
        </w:tc>
      </w:tr>
      <w:tr>
        <w:tc>
          <w:tcPr>
            <w:tcW w:type="dxa" w:w="1872"/>
          </w:tcPr>
          <w:p>
            <w:pPr>
              <w:spacing w:line="240" w:lineRule="auto"/>
            </w:pPr>
            <w:r/>
            <w:r>
              <w:rPr>
                <w:rFonts w:ascii="Garamond" w:hAnsi="Garamond"/>
                <w:sz w:val="18"/>
              </w:rPr>
              <w:t>2026</w:t>
            </w:r>
          </w:p>
        </w:tc>
        <w:tc>
          <w:tcPr>
            <w:tcW w:type="dxa" w:w="1872"/>
          </w:tcPr>
          <w:p>
            <w:pPr>
              <w:spacing w:line="240" w:lineRule="auto"/>
              <w:jc w:val="right"/>
            </w:pPr>
            <w:r/>
            <w:r>
              <w:rPr>
                <w:rFonts w:ascii="Garamond" w:hAnsi="Garamond"/>
                <w:sz w:val="18"/>
              </w:rPr>
              <w:t>49</w:t>
            </w:r>
          </w:p>
        </w:tc>
        <w:tc>
          <w:tcPr>
            <w:tcW w:type="dxa" w:w="1872"/>
          </w:tcPr>
          <w:p>
            <w:pPr>
              <w:spacing w:line="240" w:lineRule="auto"/>
            </w:pPr>
            <w:r/>
            <w:r>
              <w:rPr>
                <w:rFonts w:ascii="Garamond" w:hAnsi="Garamond"/>
                <w:sz w:val="18"/>
              </w:rPr>
              <w:t>~$500,900</w:t>
            </w:r>
          </w:p>
        </w:tc>
        <w:tc>
          <w:tcPr>
            <w:tcW w:type="dxa" w:w="1872"/>
          </w:tcPr>
          <w:p>
            <w:pPr>
              <w:spacing w:line="240" w:lineRule="auto"/>
              <w:jc w:val="right"/>
            </w:pPr>
            <w:r/>
            <w:r>
              <w:rPr>
                <w:rFonts w:ascii="Garamond" w:hAnsi="Garamond"/>
                <w:sz w:val="18"/>
              </w:rPr>
              <w:t>$496,100</w:t>
            </w:r>
          </w:p>
        </w:tc>
        <w:tc>
          <w:tcPr>
            <w:tcW w:type="dxa" w:w="1872"/>
          </w:tcPr>
          <w:p>
            <w:pPr>
              <w:spacing w:line="240" w:lineRule="auto"/>
            </w:pPr>
            <w:r/>
            <w:r>
              <w:rPr>
                <w:rFonts w:ascii="Garamond" w:hAnsi="Garamond"/>
                <w:sz w:val="18"/>
              </w:rPr>
              <w:t>−1%</w:t>
            </w:r>
          </w:p>
        </w:tc>
      </w:tr>
    </w:tbl>
    <w:p>
      <w:pPr>
        <w:spacing w:after="0"/>
      </w:pPr>
    </w:p>
    <w:p>
      <w:pPr>
        <w:spacing w:line="240" w:lineRule="auto" w:before="0" w:after="120"/>
      </w:pPr>
      <w:r>
        <w:rPr>
          <w:rFonts w:ascii="Garamond" w:hAnsi="Garamond"/>
          <w:i/>
          <w:sz w:val="19"/>
        </w:rPr>
        <w:t>Notes: Selected vintages shown; the full series is monotone outside 2023 to 2024. Loan-year values are parcel-weighted means of per-deal median appraisals; 2025 values are medians over the same parcels; the mixed grains make per-year percentages approximate while the gradient holds across them. Appraisals lag market prices, so gains are floors. Source: Author's calculation from the county assessment history and the securitized-parcel file.</w:t>
      </w:r>
    </w:p>
    <w:p>
      <w:pPr>
        <w:spacing w:line="240" w:lineRule="auto" w:before="0" w:after="120"/>
      </w:pPr>
      <w:r>
        <w:rPr>
          <w:rFonts w:ascii="Garamond" w:hAnsi="Garamond"/>
          <w:b/>
          <w:sz w:val="19"/>
        </w:rPr>
        <w:t>Table A-4. The Davidson bundle by loan year</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Loan year</w:t>
            </w:r>
          </w:p>
        </w:tc>
        <w:tc>
          <w:tcPr>
            <w:tcW w:type="dxa" w:w="2340"/>
            <w:tcBorders>
              <w:bottom w:val="single" w:sz="4" w:color="000000"/>
            </w:tcBorders>
          </w:tcPr>
          <w:p>
            <w:pPr>
              <w:spacing w:line="240" w:lineRule="auto"/>
            </w:pPr>
            <w:r>
              <w:rPr>
                <w:b/>
              </w:rPr>
            </w:r>
            <w:r>
              <w:rPr>
                <w:rFonts w:ascii="Garamond" w:hAnsi="Garamond"/>
                <w:b/>
                <w:sz w:val="18"/>
              </w:rPr>
              <w:t>Davidson parcels</w:t>
            </w:r>
          </w:p>
        </w:tc>
        <w:tc>
          <w:tcPr>
            <w:tcW w:type="dxa" w:w="2340"/>
            <w:tcBorders>
              <w:bottom w:val="single" w:sz="4" w:color="000000"/>
            </w:tcBorders>
          </w:tcPr>
          <w:p>
            <w:pPr>
              <w:spacing w:line="240" w:lineRule="auto"/>
            </w:pPr>
            <w:r>
              <w:rPr>
                <w:b/>
              </w:rPr>
            </w:r>
            <w:r>
              <w:rPr>
                <w:rFonts w:ascii="Garamond" w:hAnsi="Garamond"/>
                <w:b/>
                <w:sz w:val="18"/>
              </w:rPr>
              <w:t>Median appraisal</w:t>
            </w:r>
          </w:p>
        </w:tc>
        <w:tc>
          <w:tcPr>
            <w:tcW w:type="dxa" w:w="2340"/>
            <w:tcBorders>
              <w:bottom w:val="single" w:sz="4" w:color="000000"/>
            </w:tcBorders>
          </w:tcPr>
          <w:p>
            <w:pPr>
              <w:spacing w:line="240" w:lineRule="auto"/>
            </w:pPr>
            <w:r>
              <w:rPr>
                <w:b/>
              </w:rPr>
            </w:r>
            <w:r>
              <w:rPr>
                <w:rFonts w:ascii="Garamond" w:hAnsi="Garamond"/>
                <w:b/>
                <w:sz w:val="18"/>
              </w:rPr>
              <w:t>Appraisal / tract median</w:t>
            </w:r>
          </w:p>
        </w:tc>
      </w:tr>
      <w:tr>
        <w:tc>
          <w:tcPr>
            <w:tcW w:type="dxa" w:w="2340"/>
          </w:tcPr>
          <w:p>
            <w:pPr>
              <w:spacing w:line="240" w:lineRule="auto"/>
            </w:pPr>
            <w:r/>
            <w:r>
              <w:rPr>
                <w:rFonts w:ascii="Garamond" w:hAnsi="Garamond"/>
                <w:sz w:val="18"/>
              </w:rPr>
              <w:t>2014</w:t>
            </w:r>
          </w:p>
        </w:tc>
        <w:tc>
          <w:tcPr>
            <w:tcW w:type="dxa" w:w="2340"/>
          </w:tcPr>
          <w:p>
            <w:pPr>
              <w:spacing w:line="240" w:lineRule="auto"/>
              <w:jc w:val="right"/>
            </w:pPr>
            <w:r/>
            <w:r>
              <w:rPr>
                <w:rFonts w:ascii="Garamond" w:hAnsi="Garamond"/>
                <w:sz w:val="18"/>
              </w:rPr>
              <w:t>202</w:t>
            </w:r>
          </w:p>
        </w:tc>
        <w:tc>
          <w:tcPr>
            <w:tcW w:type="dxa" w:w="2340"/>
          </w:tcPr>
          <w:p>
            <w:pPr>
              <w:spacing w:line="240" w:lineRule="auto"/>
              <w:jc w:val="right"/>
            </w:pPr>
            <w:r/>
            <w:r>
              <w:rPr>
                <w:rFonts w:ascii="Garamond" w:hAnsi="Garamond"/>
                <w:sz w:val="18"/>
              </w:rPr>
              <w:t>$175,800</w:t>
            </w:r>
          </w:p>
        </w:tc>
        <w:tc>
          <w:tcPr>
            <w:tcW w:type="dxa" w:w="2340"/>
          </w:tcPr>
          <w:p>
            <w:pPr>
              <w:spacing w:line="240" w:lineRule="auto"/>
              <w:jc w:val="right"/>
            </w:pPr>
            <w:r/>
            <w:r>
              <w:rPr>
                <w:rFonts w:ascii="Garamond" w:hAnsi="Garamond"/>
                <w:sz w:val="18"/>
              </w:rPr>
              <w:t>0.84</w:t>
            </w:r>
          </w:p>
        </w:tc>
      </w:tr>
      <w:tr>
        <w:tc>
          <w:tcPr>
            <w:tcW w:type="dxa" w:w="2340"/>
          </w:tcPr>
          <w:p>
            <w:pPr>
              <w:spacing w:line="240" w:lineRule="auto"/>
            </w:pPr>
            <w:r/>
            <w:r>
              <w:rPr>
                <w:rFonts w:ascii="Garamond" w:hAnsi="Garamond"/>
                <w:sz w:val="18"/>
              </w:rPr>
              <w:t>2015</w:t>
            </w:r>
          </w:p>
        </w:tc>
        <w:tc>
          <w:tcPr>
            <w:tcW w:type="dxa" w:w="2340"/>
          </w:tcPr>
          <w:p>
            <w:pPr>
              <w:spacing w:line="240" w:lineRule="auto"/>
              <w:jc w:val="right"/>
            </w:pPr>
            <w:r/>
            <w:r>
              <w:rPr>
                <w:rFonts w:ascii="Garamond" w:hAnsi="Garamond"/>
                <w:sz w:val="18"/>
              </w:rPr>
              <w:t>25</w:t>
            </w:r>
          </w:p>
        </w:tc>
        <w:tc>
          <w:tcPr>
            <w:tcW w:type="dxa" w:w="2340"/>
          </w:tcPr>
          <w:p>
            <w:pPr>
              <w:spacing w:line="240" w:lineRule="auto"/>
              <w:jc w:val="right"/>
            </w:pPr>
            <w:r/>
            <w:r>
              <w:rPr>
                <w:rFonts w:ascii="Garamond" w:hAnsi="Garamond"/>
                <w:sz w:val="18"/>
              </w:rPr>
              <w:t>$165,400</w:t>
            </w:r>
          </w:p>
        </w:tc>
        <w:tc>
          <w:tcPr>
            <w:tcW w:type="dxa" w:w="2340"/>
          </w:tcPr>
          <w:p>
            <w:pPr>
              <w:spacing w:line="240" w:lineRule="auto"/>
              <w:jc w:val="right"/>
            </w:pPr>
            <w:r/>
            <w:r>
              <w:rPr>
                <w:rFonts w:ascii="Garamond" w:hAnsi="Garamond"/>
                <w:sz w:val="18"/>
              </w:rPr>
              <w:t>0.86</w:t>
            </w:r>
          </w:p>
        </w:tc>
      </w:tr>
      <w:tr>
        <w:tc>
          <w:tcPr>
            <w:tcW w:type="dxa" w:w="2340"/>
          </w:tcPr>
          <w:p>
            <w:pPr>
              <w:spacing w:line="240" w:lineRule="auto"/>
            </w:pPr>
            <w:r/>
            <w:r>
              <w:rPr>
                <w:rFonts w:ascii="Garamond" w:hAnsi="Garamond"/>
                <w:sz w:val="18"/>
              </w:rPr>
              <w:t>2017</w:t>
            </w:r>
          </w:p>
        </w:tc>
        <w:tc>
          <w:tcPr>
            <w:tcW w:type="dxa" w:w="2340"/>
          </w:tcPr>
          <w:p>
            <w:pPr>
              <w:spacing w:line="240" w:lineRule="auto"/>
              <w:jc w:val="right"/>
            </w:pPr>
            <w:r/>
            <w:r>
              <w:rPr>
                <w:rFonts w:ascii="Garamond" w:hAnsi="Garamond"/>
                <w:sz w:val="18"/>
              </w:rPr>
              <w:t>70</w:t>
            </w:r>
          </w:p>
        </w:tc>
        <w:tc>
          <w:tcPr>
            <w:tcW w:type="dxa" w:w="2340"/>
          </w:tcPr>
          <w:p>
            <w:pPr>
              <w:spacing w:line="240" w:lineRule="auto"/>
              <w:jc w:val="right"/>
            </w:pPr>
            <w:r/>
            <w:r>
              <w:rPr>
                <w:rFonts w:ascii="Garamond" w:hAnsi="Garamond"/>
                <w:sz w:val="18"/>
              </w:rPr>
              <w:t>$199,800</w:t>
            </w:r>
          </w:p>
        </w:tc>
        <w:tc>
          <w:tcPr>
            <w:tcW w:type="dxa" w:w="2340"/>
          </w:tcPr>
          <w:p>
            <w:pPr>
              <w:spacing w:line="240" w:lineRule="auto"/>
              <w:jc w:val="right"/>
            </w:pPr>
            <w:r/>
            <w:r>
              <w:rPr>
                <w:rFonts w:ascii="Garamond" w:hAnsi="Garamond"/>
                <w:sz w:val="18"/>
              </w:rPr>
              <w:t>0.79</w:t>
            </w:r>
          </w:p>
        </w:tc>
      </w:tr>
      <w:tr>
        <w:tc>
          <w:tcPr>
            <w:tcW w:type="dxa" w:w="2340"/>
          </w:tcPr>
          <w:p>
            <w:pPr>
              <w:spacing w:line="240" w:lineRule="auto"/>
            </w:pPr>
            <w:r/>
            <w:r>
              <w:rPr>
                <w:rFonts w:ascii="Garamond" w:hAnsi="Garamond"/>
                <w:sz w:val="18"/>
              </w:rPr>
              <w:t>2018</w:t>
            </w:r>
          </w:p>
        </w:tc>
        <w:tc>
          <w:tcPr>
            <w:tcW w:type="dxa" w:w="2340"/>
          </w:tcPr>
          <w:p>
            <w:pPr>
              <w:spacing w:line="240" w:lineRule="auto"/>
              <w:jc w:val="right"/>
            </w:pPr>
            <w:r/>
            <w:r>
              <w:rPr>
                <w:rFonts w:ascii="Garamond" w:hAnsi="Garamond"/>
                <w:sz w:val="18"/>
              </w:rPr>
              <w:t>144</w:t>
            </w:r>
          </w:p>
        </w:tc>
        <w:tc>
          <w:tcPr>
            <w:tcW w:type="dxa" w:w="2340"/>
          </w:tcPr>
          <w:p>
            <w:pPr>
              <w:spacing w:line="240" w:lineRule="auto"/>
              <w:jc w:val="right"/>
            </w:pPr>
            <w:r/>
            <w:r>
              <w:rPr>
                <w:rFonts w:ascii="Garamond" w:hAnsi="Garamond"/>
                <w:sz w:val="18"/>
              </w:rPr>
              <w:t>$186,800</w:t>
            </w:r>
          </w:p>
        </w:tc>
        <w:tc>
          <w:tcPr>
            <w:tcW w:type="dxa" w:w="2340"/>
          </w:tcPr>
          <w:p>
            <w:pPr>
              <w:spacing w:line="240" w:lineRule="auto"/>
              <w:jc w:val="right"/>
            </w:pPr>
            <w:r/>
            <w:r>
              <w:rPr>
                <w:rFonts w:ascii="Garamond" w:hAnsi="Garamond"/>
                <w:sz w:val="18"/>
              </w:rPr>
              <w:t>0.80</w:t>
            </w:r>
          </w:p>
        </w:tc>
      </w:tr>
      <w:tr>
        <w:tc>
          <w:tcPr>
            <w:tcW w:type="dxa" w:w="2340"/>
          </w:tcPr>
          <w:p>
            <w:pPr>
              <w:spacing w:line="240" w:lineRule="auto"/>
            </w:pPr>
            <w:r/>
            <w:r>
              <w:rPr>
                <w:rFonts w:ascii="Garamond" w:hAnsi="Garamond"/>
                <w:sz w:val="18"/>
              </w:rPr>
              <w:t>2019</w:t>
            </w:r>
          </w:p>
        </w:tc>
        <w:tc>
          <w:tcPr>
            <w:tcW w:type="dxa" w:w="2340"/>
          </w:tcPr>
          <w:p>
            <w:pPr>
              <w:spacing w:line="240" w:lineRule="auto"/>
              <w:jc w:val="right"/>
            </w:pPr>
            <w:r/>
            <w:r>
              <w:rPr>
                <w:rFonts w:ascii="Garamond" w:hAnsi="Garamond"/>
                <w:sz w:val="18"/>
              </w:rPr>
              <w:t>287</w:t>
            </w:r>
          </w:p>
        </w:tc>
        <w:tc>
          <w:tcPr>
            <w:tcW w:type="dxa" w:w="2340"/>
          </w:tcPr>
          <w:p>
            <w:pPr>
              <w:spacing w:line="240" w:lineRule="auto"/>
              <w:jc w:val="right"/>
            </w:pPr>
            <w:r/>
            <w:r>
              <w:rPr>
                <w:rFonts w:ascii="Garamond" w:hAnsi="Garamond"/>
                <w:sz w:val="18"/>
              </w:rPr>
              <w:t>$185,300</w:t>
            </w:r>
          </w:p>
        </w:tc>
        <w:tc>
          <w:tcPr>
            <w:tcW w:type="dxa" w:w="2340"/>
          </w:tcPr>
          <w:p>
            <w:pPr>
              <w:spacing w:line="240" w:lineRule="auto"/>
              <w:jc w:val="right"/>
            </w:pPr>
            <w:r/>
            <w:r>
              <w:rPr>
                <w:rFonts w:ascii="Garamond" w:hAnsi="Garamond"/>
                <w:sz w:val="18"/>
              </w:rPr>
              <w:t>0.79</w:t>
            </w:r>
          </w:p>
        </w:tc>
      </w:tr>
      <w:tr>
        <w:tc>
          <w:tcPr>
            <w:tcW w:type="dxa" w:w="2340"/>
          </w:tcPr>
          <w:p>
            <w:pPr>
              <w:spacing w:line="240" w:lineRule="auto"/>
            </w:pPr>
            <w:r/>
            <w:r>
              <w:rPr>
                <w:rFonts w:ascii="Garamond" w:hAnsi="Garamond"/>
                <w:sz w:val="18"/>
              </w:rPr>
              <w:t>2020</w:t>
            </w:r>
          </w:p>
        </w:tc>
        <w:tc>
          <w:tcPr>
            <w:tcW w:type="dxa" w:w="2340"/>
          </w:tcPr>
          <w:p>
            <w:pPr>
              <w:spacing w:line="240" w:lineRule="auto"/>
              <w:jc w:val="right"/>
            </w:pPr>
            <w:r/>
            <w:r>
              <w:rPr>
                <w:rFonts w:ascii="Garamond" w:hAnsi="Garamond"/>
                <w:sz w:val="18"/>
              </w:rPr>
              <w:t>252</w:t>
            </w:r>
          </w:p>
        </w:tc>
        <w:tc>
          <w:tcPr>
            <w:tcW w:type="dxa" w:w="2340"/>
          </w:tcPr>
          <w:p>
            <w:pPr>
              <w:spacing w:line="240" w:lineRule="auto"/>
              <w:jc w:val="right"/>
            </w:pPr>
            <w:r/>
            <w:r>
              <w:rPr>
                <w:rFonts w:ascii="Garamond" w:hAnsi="Garamond"/>
                <w:sz w:val="18"/>
              </w:rPr>
              <w:t>$207,000</w:t>
            </w:r>
          </w:p>
        </w:tc>
        <w:tc>
          <w:tcPr>
            <w:tcW w:type="dxa" w:w="2340"/>
          </w:tcPr>
          <w:p>
            <w:pPr>
              <w:spacing w:line="240" w:lineRule="auto"/>
              <w:jc w:val="right"/>
            </w:pPr>
            <w:r/>
            <w:r>
              <w:rPr>
                <w:rFonts w:ascii="Garamond" w:hAnsi="Garamond"/>
                <w:sz w:val="18"/>
              </w:rPr>
              <w:t>0.52</w:t>
            </w:r>
          </w:p>
        </w:tc>
      </w:tr>
      <w:tr>
        <w:tc>
          <w:tcPr>
            <w:tcW w:type="dxa" w:w="2340"/>
          </w:tcPr>
          <w:p>
            <w:pPr>
              <w:spacing w:line="240" w:lineRule="auto"/>
            </w:pPr>
            <w:r/>
            <w:r>
              <w:rPr>
                <w:rFonts w:ascii="Garamond" w:hAnsi="Garamond"/>
                <w:sz w:val="18"/>
              </w:rPr>
              <w:t>2021</w:t>
            </w:r>
          </w:p>
        </w:tc>
        <w:tc>
          <w:tcPr>
            <w:tcW w:type="dxa" w:w="2340"/>
          </w:tcPr>
          <w:p>
            <w:pPr>
              <w:spacing w:line="240" w:lineRule="auto"/>
              <w:jc w:val="right"/>
            </w:pPr>
            <w:r/>
            <w:r>
              <w:rPr>
                <w:rFonts w:ascii="Garamond" w:hAnsi="Garamond"/>
                <w:sz w:val="18"/>
              </w:rPr>
              <w:t>219</w:t>
            </w:r>
          </w:p>
        </w:tc>
        <w:tc>
          <w:tcPr>
            <w:tcW w:type="dxa" w:w="2340"/>
          </w:tcPr>
          <w:p>
            <w:pPr>
              <w:spacing w:line="240" w:lineRule="auto"/>
              <w:jc w:val="right"/>
            </w:pPr>
            <w:r/>
            <w:r>
              <w:rPr>
                <w:rFonts w:ascii="Garamond" w:hAnsi="Garamond"/>
                <w:sz w:val="18"/>
              </w:rPr>
              <w:t>$258,800</w:t>
            </w:r>
          </w:p>
        </w:tc>
        <w:tc>
          <w:tcPr>
            <w:tcW w:type="dxa" w:w="2340"/>
          </w:tcPr>
          <w:p>
            <w:pPr>
              <w:spacing w:line="240" w:lineRule="auto"/>
              <w:jc w:val="right"/>
            </w:pPr>
            <w:r/>
            <w:r>
              <w:rPr>
                <w:rFonts w:ascii="Garamond" w:hAnsi="Garamond"/>
                <w:sz w:val="18"/>
              </w:rPr>
              <w:t>0.76</w:t>
            </w:r>
          </w:p>
        </w:tc>
      </w:tr>
      <w:tr>
        <w:tc>
          <w:tcPr>
            <w:tcW w:type="dxa" w:w="2340"/>
          </w:tcPr>
          <w:p>
            <w:pPr>
              <w:spacing w:line="240" w:lineRule="auto"/>
            </w:pPr>
            <w:r/>
            <w:r>
              <w:rPr>
                <w:rFonts w:ascii="Garamond" w:hAnsi="Garamond"/>
                <w:sz w:val="18"/>
              </w:rPr>
              <w:t>2022</w:t>
            </w:r>
          </w:p>
        </w:tc>
        <w:tc>
          <w:tcPr>
            <w:tcW w:type="dxa" w:w="2340"/>
          </w:tcPr>
          <w:p>
            <w:pPr>
              <w:spacing w:line="240" w:lineRule="auto"/>
              <w:jc w:val="right"/>
            </w:pPr>
            <w:r/>
            <w:r>
              <w:rPr>
                <w:rFonts w:ascii="Garamond" w:hAnsi="Garamond"/>
                <w:sz w:val="18"/>
              </w:rPr>
              <w:t>312</w:t>
            </w:r>
          </w:p>
        </w:tc>
        <w:tc>
          <w:tcPr>
            <w:tcW w:type="dxa" w:w="2340"/>
          </w:tcPr>
          <w:p>
            <w:pPr>
              <w:spacing w:line="240" w:lineRule="auto"/>
              <w:jc w:val="right"/>
            </w:pPr>
            <w:r/>
            <w:r>
              <w:rPr>
                <w:rFonts w:ascii="Garamond" w:hAnsi="Garamond"/>
                <w:sz w:val="18"/>
              </w:rPr>
              <w:t>$287,300</w:t>
            </w:r>
          </w:p>
        </w:tc>
        <w:tc>
          <w:tcPr>
            <w:tcW w:type="dxa" w:w="2340"/>
          </w:tcPr>
          <w:p>
            <w:pPr>
              <w:spacing w:line="240" w:lineRule="auto"/>
              <w:jc w:val="right"/>
            </w:pPr>
            <w:r/>
            <w:r>
              <w:rPr>
                <w:rFonts w:ascii="Garamond" w:hAnsi="Garamond"/>
                <w:sz w:val="18"/>
              </w:rPr>
              <w:t>0.71</w:t>
            </w:r>
          </w:p>
        </w:tc>
      </w:tr>
      <w:tr>
        <w:tc>
          <w:tcPr>
            <w:tcW w:type="dxa" w:w="2340"/>
          </w:tcPr>
          <w:p>
            <w:pPr>
              <w:spacing w:line="240" w:lineRule="auto"/>
            </w:pPr>
            <w:r/>
            <w:r>
              <w:rPr>
                <w:rFonts w:ascii="Garamond" w:hAnsi="Garamond"/>
                <w:sz w:val="18"/>
              </w:rPr>
              <w:t>2023</w:t>
            </w:r>
          </w:p>
        </w:tc>
        <w:tc>
          <w:tcPr>
            <w:tcW w:type="dxa" w:w="2340"/>
          </w:tcPr>
          <w:p>
            <w:pPr>
              <w:spacing w:line="240" w:lineRule="auto"/>
              <w:jc w:val="right"/>
            </w:pPr>
            <w:r/>
            <w:r>
              <w:rPr>
                <w:rFonts w:ascii="Garamond" w:hAnsi="Garamond"/>
                <w:sz w:val="18"/>
              </w:rPr>
              <w:t>147</w:t>
            </w:r>
          </w:p>
        </w:tc>
        <w:tc>
          <w:tcPr>
            <w:tcW w:type="dxa" w:w="2340"/>
          </w:tcPr>
          <w:p>
            <w:pPr>
              <w:spacing w:line="240" w:lineRule="auto"/>
              <w:jc w:val="right"/>
            </w:pPr>
            <w:r/>
            <w:r>
              <w:rPr>
                <w:rFonts w:ascii="Garamond" w:hAnsi="Garamond"/>
                <w:sz w:val="18"/>
              </w:rPr>
              <w:t>$259,400</w:t>
            </w:r>
          </w:p>
        </w:tc>
        <w:tc>
          <w:tcPr>
            <w:tcW w:type="dxa" w:w="2340"/>
          </w:tcPr>
          <w:p>
            <w:pPr>
              <w:spacing w:line="240" w:lineRule="auto"/>
              <w:jc w:val="right"/>
            </w:pPr>
            <w:r/>
            <w:r>
              <w:rPr>
                <w:rFonts w:ascii="Garamond" w:hAnsi="Garamond"/>
                <w:sz w:val="18"/>
              </w:rPr>
              <w:t>0.75</w:t>
            </w:r>
          </w:p>
        </w:tc>
      </w:tr>
      <w:tr>
        <w:tc>
          <w:tcPr>
            <w:tcW w:type="dxa" w:w="2340"/>
          </w:tcPr>
          <w:p>
            <w:pPr>
              <w:spacing w:line="240" w:lineRule="auto"/>
            </w:pPr>
            <w:r/>
            <w:r>
              <w:rPr>
                <w:rFonts w:ascii="Garamond" w:hAnsi="Garamond"/>
                <w:sz w:val="18"/>
              </w:rPr>
              <w:t>2024</w:t>
            </w:r>
          </w:p>
        </w:tc>
        <w:tc>
          <w:tcPr>
            <w:tcW w:type="dxa" w:w="2340"/>
          </w:tcPr>
          <w:p>
            <w:pPr>
              <w:spacing w:line="240" w:lineRule="auto"/>
              <w:jc w:val="right"/>
            </w:pPr>
            <w:r/>
            <w:r>
              <w:rPr>
                <w:rFonts w:ascii="Garamond" w:hAnsi="Garamond"/>
                <w:sz w:val="18"/>
              </w:rPr>
              <w:t>89</w:t>
            </w:r>
          </w:p>
        </w:tc>
        <w:tc>
          <w:tcPr>
            <w:tcW w:type="dxa" w:w="2340"/>
          </w:tcPr>
          <w:p>
            <w:pPr>
              <w:spacing w:line="240" w:lineRule="auto"/>
              <w:jc w:val="right"/>
            </w:pPr>
            <w:r/>
            <w:r>
              <w:rPr>
                <w:rFonts w:ascii="Garamond" w:hAnsi="Garamond"/>
                <w:sz w:val="18"/>
              </w:rPr>
              <w:t>$263,200</w:t>
            </w:r>
          </w:p>
        </w:tc>
        <w:tc>
          <w:tcPr>
            <w:tcW w:type="dxa" w:w="2340"/>
          </w:tcPr>
          <w:p>
            <w:pPr>
              <w:spacing w:line="240" w:lineRule="auto"/>
              <w:jc w:val="right"/>
            </w:pPr>
            <w:r/>
            <w:r>
              <w:rPr>
                <w:rFonts w:ascii="Garamond" w:hAnsi="Garamond"/>
                <w:sz w:val="18"/>
              </w:rPr>
              <w:t>0.74</w:t>
            </w:r>
          </w:p>
        </w:tc>
      </w:tr>
      <w:tr>
        <w:tc>
          <w:tcPr>
            <w:tcW w:type="dxa" w:w="2340"/>
          </w:tcPr>
          <w:p>
            <w:pPr>
              <w:spacing w:line="240" w:lineRule="auto"/>
            </w:pPr>
            <w:r/>
            <w:r>
              <w:rPr>
                <w:rFonts w:ascii="Garamond" w:hAnsi="Garamond"/>
                <w:sz w:val="18"/>
              </w:rPr>
              <w:t>2025</w:t>
            </w:r>
          </w:p>
        </w:tc>
        <w:tc>
          <w:tcPr>
            <w:tcW w:type="dxa" w:w="2340"/>
          </w:tcPr>
          <w:p>
            <w:pPr>
              <w:spacing w:line="240" w:lineRule="auto"/>
              <w:jc w:val="right"/>
            </w:pPr>
            <w:r/>
            <w:r>
              <w:rPr>
                <w:rFonts w:ascii="Garamond" w:hAnsi="Garamond"/>
                <w:sz w:val="18"/>
              </w:rPr>
              <w:t>37</w:t>
            </w:r>
          </w:p>
        </w:tc>
        <w:tc>
          <w:tcPr>
            <w:tcW w:type="dxa" w:w="2340"/>
          </w:tcPr>
          <w:p>
            <w:pPr>
              <w:spacing w:line="240" w:lineRule="auto"/>
              <w:jc w:val="right"/>
            </w:pPr>
            <w:r/>
            <w:r>
              <w:rPr>
                <w:rFonts w:ascii="Garamond" w:hAnsi="Garamond"/>
                <w:sz w:val="18"/>
              </w:rPr>
              <w:t>$343,000</w:t>
            </w:r>
          </w:p>
        </w:tc>
        <w:tc>
          <w:tcPr>
            <w:tcW w:type="dxa" w:w="2340"/>
          </w:tcPr>
          <w:p>
            <w:pPr>
              <w:spacing w:line="240" w:lineRule="auto"/>
              <w:jc w:val="right"/>
            </w:pPr>
            <w:r/>
            <w:r>
              <w:rPr>
                <w:rFonts w:ascii="Garamond" w:hAnsi="Garamond"/>
                <w:sz w:val="18"/>
              </w:rPr>
              <w:t>1.00</w:t>
            </w:r>
          </w:p>
        </w:tc>
      </w:tr>
      <w:tr>
        <w:tc>
          <w:tcPr>
            <w:tcW w:type="dxa" w:w="2340"/>
          </w:tcPr>
          <w:p>
            <w:pPr>
              <w:spacing w:line="240" w:lineRule="auto"/>
            </w:pPr>
            <w:r/>
            <w:r>
              <w:rPr>
                <w:rFonts w:ascii="Garamond" w:hAnsi="Garamond"/>
                <w:sz w:val="18"/>
              </w:rPr>
              <w:t>2026</w:t>
            </w:r>
          </w:p>
        </w:tc>
        <w:tc>
          <w:tcPr>
            <w:tcW w:type="dxa" w:w="2340"/>
          </w:tcPr>
          <w:p>
            <w:pPr>
              <w:spacing w:line="240" w:lineRule="auto"/>
              <w:jc w:val="right"/>
            </w:pPr>
            <w:r/>
            <w:r>
              <w:rPr>
                <w:rFonts w:ascii="Garamond" w:hAnsi="Garamond"/>
                <w:sz w:val="18"/>
              </w:rPr>
              <w:t>49</w:t>
            </w:r>
          </w:p>
        </w:tc>
        <w:tc>
          <w:tcPr>
            <w:tcW w:type="dxa" w:w="2340"/>
          </w:tcPr>
          <w:p>
            <w:pPr>
              <w:spacing w:line="240" w:lineRule="auto"/>
              <w:jc w:val="right"/>
            </w:pPr>
            <w:r/>
            <w:r>
              <w:rPr>
                <w:rFonts w:ascii="Garamond" w:hAnsi="Garamond"/>
                <w:sz w:val="18"/>
              </w:rPr>
              <w:t>$499,800</w:t>
            </w:r>
          </w:p>
        </w:tc>
        <w:tc>
          <w:tcPr>
            <w:tcW w:type="dxa" w:w="2340"/>
          </w:tcPr>
          <w:p>
            <w:pPr>
              <w:spacing w:line="240" w:lineRule="auto"/>
              <w:jc w:val="right"/>
            </w:pPr>
            <w:r/>
            <w:r>
              <w:rPr>
                <w:rFonts w:ascii="Garamond" w:hAnsi="Garamond"/>
                <w:sz w:val="18"/>
              </w:rPr>
              <w:t>1.23</w:t>
            </w:r>
          </w:p>
        </w:tc>
      </w:tr>
    </w:tbl>
    <w:p>
      <w:pPr>
        <w:spacing w:after="0"/>
      </w:pPr>
    </w:p>
    <w:p>
      <w:pPr>
        <w:spacing w:line="240" w:lineRule="auto" w:before="0" w:after="120"/>
      </w:pPr>
      <w:r>
        <w:rPr>
          <w:rFonts w:ascii="Garamond" w:hAnsi="Garamond"/>
          <w:i/>
          <w:sz w:val="19"/>
        </w:rPr>
        <w:t>Notes: The 2020 ratio of 0.52 is a single-deal effect (Tricon's SFR JV-1 2020-1, 77 parcels, bought at roughly half the tract median in the wealthiest neighborhoods in the sample). Source: Author's calculation from the securitized-parcel file and vintage-matched ACS tract medians.</w:t>
      </w:r>
    </w:p>
    <w:p>
      <w:pPr>
        <w:spacing w:line="240" w:lineRule="auto" w:before="0" w:after="120"/>
      </w:pPr>
      <w:r>
        <w:rPr>
          <w:rFonts w:ascii="Garamond" w:hAnsi="Garamond"/>
          <w:b/>
          <w:sz w:val="19"/>
        </w:rPr>
        <w:t>Table A-5. Recorded instruments and disclosure measures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4680"/>
        <w:gridCol w:w="4680"/>
      </w:tblGrid>
      <w:tr>
        <w:tc>
          <w:tcPr>
            <w:tcW w:type="dxa" w:w="4680"/>
            <w:tcBorders>
              <w:bottom w:val="single" w:sz="4" w:color="000000"/>
            </w:tcBorders>
          </w:tcPr>
          <w:p>
            <w:pPr>
              <w:spacing w:line="240" w:lineRule="auto"/>
            </w:pPr>
            <w:r>
              <w:rPr>
                <w:b/>
              </w:rPr>
            </w:r>
            <w:r>
              <w:rPr>
                <w:rFonts w:ascii="Garamond" w:hAnsi="Garamond"/>
                <w:b/>
                <w:sz w:val="18"/>
              </w:rPr>
              <w:t>Measure</w:t>
            </w:r>
          </w:p>
        </w:tc>
        <w:tc>
          <w:tcPr>
            <w:tcW w:type="dxa" w:w="4680"/>
            <w:tcBorders>
              <w:bottom w:val="single" w:sz="4" w:color="000000"/>
            </w:tcBorders>
          </w:tcPr>
          <w:p>
            <w:pPr>
              <w:spacing w:line="240" w:lineRule="auto"/>
            </w:pPr>
            <w:r>
              <w:rPr>
                <w:b/>
              </w:rPr>
            </w:r>
            <w:r>
              <w:rPr>
                <w:rFonts w:ascii="Garamond" w:hAnsi="Garamond"/>
                <w:b/>
                <w:sz w:val="18"/>
              </w:rPr>
              <w:t>Value</w:t>
            </w:r>
          </w:p>
        </w:tc>
      </w:tr>
      <w:tr>
        <w:tc>
          <w:tcPr>
            <w:tcW w:type="dxa" w:w="4680"/>
          </w:tcPr>
          <w:p>
            <w:pPr>
              <w:spacing w:line="240" w:lineRule="auto"/>
            </w:pPr>
            <w:r/>
            <w:r>
              <w:rPr>
                <w:rFonts w:ascii="Garamond" w:hAnsi="Garamond"/>
                <w:sz w:val="18"/>
              </w:rPr>
              <w:t>Original deeds of trust matched</w:t>
            </w:r>
          </w:p>
        </w:tc>
        <w:tc>
          <w:tcPr>
            <w:tcW w:type="dxa" w:w="4680"/>
          </w:tcPr>
          <w:p>
            <w:pPr>
              <w:spacing w:line="240" w:lineRule="auto"/>
              <w:jc w:val="right"/>
            </w:pPr>
            <w:r/>
            <w:r>
              <w:rPr>
                <w:rFonts w:ascii="Garamond" w:hAnsi="Garamond"/>
                <w:sz w:val="18"/>
              </w:rPr>
              <w:t>245</w:t>
            </w:r>
          </w:p>
        </w:tc>
      </w:tr>
      <w:tr>
        <w:tc>
          <w:tcPr>
            <w:tcW w:type="dxa" w:w="4680"/>
          </w:tcPr>
          <w:p>
            <w:pPr>
              <w:spacing w:line="240" w:lineRule="auto"/>
            </w:pPr>
            <w:r/>
            <w:r>
              <w:rPr>
                <w:rFonts w:ascii="Garamond" w:hAnsi="Garamond"/>
                <w:sz w:val="18"/>
              </w:rPr>
              <w:t>Assignments (plus 3 amendments, 1 modification)</w:t>
            </w:r>
          </w:p>
        </w:tc>
        <w:tc>
          <w:tcPr>
            <w:tcW w:type="dxa" w:w="4680"/>
          </w:tcPr>
          <w:p>
            <w:pPr>
              <w:spacing w:line="240" w:lineRule="auto"/>
              <w:jc w:val="right"/>
            </w:pPr>
            <w:r/>
            <w:r>
              <w:rPr>
                <w:rFonts w:ascii="Garamond" w:hAnsi="Garamond"/>
                <w:sz w:val="18"/>
              </w:rPr>
              <w:t>124</w:t>
            </w:r>
          </w:p>
        </w:tc>
      </w:tr>
      <w:tr>
        <w:tc>
          <w:tcPr>
            <w:tcW w:type="dxa" w:w="4680"/>
          </w:tcPr>
          <w:p>
            <w:pPr>
              <w:spacing w:line="240" w:lineRule="auto"/>
            </w:pPr>
            <w:r/>
            <w:r>
              <w:rPr>
                <w:rFonts w:ascii="Garamond" w:hAnsi="Garamond"/>
                <w:sz w:val="18"/>
              </w:rPr>
              <w:t>Parcels re-pledged into two or more deals</w:t>
            </w:r>
          </w:p>
        </w:tc>
        <w:tc>
          <w:tcPr>
            <w:tcW w:type="dxa" w:w="4680"/>
          </w:tcPr>
          <w:p>
            <w:pPr>
              <w:spacing w:line="240" w:lineRule="auto"/>
              <w:jc w:val="right"/>
            </w:pPr>
            <w:r/>
            <w:r>
              <w:rPr>
                <w:rFonts w:ascii="Garamond" w:hAnsi="Garamond"/>
                <w:sz w:val="18"/>
              </w:rPr>
              <w:t>87</w:t>
            </w:r>
          </w:p>
        </w:tc>
      </w:tr>
      <w:tr>
        <w:tc>
          <w:tcPr>
            <w:tcW w:type="dxa" w:w="4680"/>
          </w:tcPr>
          <w:p>
            <w:pPr>
              <w:spacing w:line="240" w:lineRule="auto"/>
            </w:pPr>
            <w:r/>
            <w:r>
              <w:rPr>
                <w:rFonts w:ascii="Garamond" w:hAnsi="Garamond"/>
                <w:sz w:val="18"/>
              </w:rPr>
              <w:t>Parcels still held by securitization borrowers</w:t>
            </w:r>
          </w:p>
        </w:tc>
        <w:tc>
          <w:tcPr>
            <w:tcW w:type="dxa" w:w="4680"/>
          </w:tcPr>
          <w:p>
            <w:pPr>
              <w:spacing w:line="240" w:lineRule="auto"/>
            </w:pPr>
            <w:r/>
            <w:r>
              <w:rPr>
                <w:rFonts w:ascii="Garamond" w:hAnsi="Garamond"/>
                <w:sz w:val="18"/>
              </w:rPr>
              <w:t>1,708 (93%)</w:t>
            </w:r>
          </w:p>
        </w:tc>
      </w:tr>
      <w:tr>
        <w:tc>
          <w:tcPr>
            <w:tcW w:type="dxa" w:w="4680"/>
          </w:tcPr>
          <w:p>
            <w:pPr>
              <w:spacing w:line="240" w:lineRule="auto"/>
            </w:pPr>
            <w:r/>
            <w:r>
              <w:rPr>
                <w:rFonts w:ascii="Garamond" w:hAnsi="Garamond"/>
                <w:sz w:val="18"/>
              </w:rPr>
              <w:t>Parcels ever returned to an individual owner</w:t>
            </w:r>
          </w:p>
        </w:tc>
        <w:tc>
          <w:tcPr>
            <w:tcW w:type="dxa" w:w="4680"/>
          </w:tcPr>
          <w:p>
            <w:pPr>
              <w:spacing w:line="240" w:lineRule="auto"/>
            </w:pPr>
            <w:r/>
            <w:r>
              <w:rPr>
                <w:rFonts w:ascii="Garamond" w:hAnsi="Garamond"/>
                <w:sz w:val="18"/>
              </w:rPr>
              <w:t>33 (1.8%)</w:t>
            </w:r>
          </w:p>
        </w:tc>
      </w:tr>
      <w:tr>
        <w:tc>
          <w:tcPr>
            <w:tcW w:type="dxa" w:w="4680"/>
          </w:tcPr>
          <w:p>
            <w:pPr>
              <w:spacing w:line="240" w:lineRule="auto"/>
            </w:pPr>
            <w:r/>
            <w:r>
              <w:rPr>
                <w:rFonts w:ascii="Garamond" w:hAnsi="Garamond"/>
                <w:sz w:val="18"/>
              </w:rPr>
              <w:t>Collateral rows in rental-deal schedules</w:t>
            </w:r>
          </w:p>
        </w:tc>
        <w:tc>
          <w:tcPr>
            <w:tcW w:type="dxa" w:w="4680"/>
          </w:tcPr>
          <w:p>
            <w:pPr>
              <w:spacing w:line="240" w:lineRule="auto"/>
              <w:jc w:val="right"/>
            </w:pPr>
            <w:r/>
            <w:r>
              <w:rPr>
                <w:rFonts w:ascii="Garamond" w:hAnsi="Garamond"/>
                <w:sz w:val="18"/>
              </w:rPr>
              <w:t>695,174</w:t>
            </w:r>
          </w:p>
        </w:tc>
      </w:tr>
      <w:tr>
        <w:tc>
          <w:tcPr>
            <w:tcW w:type="dxa" w:w="4680"/>
          </w:tcPr>
          <w:p>
            <w:pPr>
              <w:spacing w:line="240" w:lineRule="auto"/>
            </w:pPr>
            <w:r/>
            <w:r>
              <w:rPr>
                <w:rFonts w:ascii="Garamond" w:hAnsi="Garamond"/>
                <w:sz w:val="18"/>
              </w:rPr>
              <w:t>Rows carrying no address (file number only)</w:t>
            </w:r>
          </w:p>
        </w:tc>
        <w:tc>
          <w:tcPr>
            <w:tcW w:type="dxa" w:w="4680"/>
          </w:tcPr>
          <w:p>
            <w:pPr>
              <w:spacing w:line="240" w:lineRule="auto"/>
              <w:jc w:val="right"/>
            </w:pPr>
            <w:r/>
            <w:r>
              <w:rPr>
                <w:rFonts w:ascii="Garamond" w:hAnsi="Garamond"/>
                <w:sz w:val="18"/>
              </w:rPr>
              <w:t>86%</w:t>
            </w:r>
          </w:p>
        </w:tc>
      </w:tr>
      <w:tr>
        <w:tc>
          <w:tcPr>
            <w:tcW w:type="dxa" w:w="4680"/>
          </w:tcPr>
          <w:p>
            <w:pPr>
              <w:spacing w:line="240" w:lineRule="auto"/>
            </w:pPr>
            <w:r/>
            <w:r>
              <w:rPr>
                <w:rFonts w:ascii="Garamond" w:hAnsi="Garamond"/>
                <w:sz w:val="18"/>
              </w:rPr>
              <w:t>Deals disclosing no city or state</w:t>
            </w:r>
          </w:p>
        </w:tc>
        <w:tc>
          <w:tcPr>
            <w:tcW w:type="dxa" w:w="4680"/>
          </w:tcPr>
          <w:p>
            <w:pPr>
              <w:spacing w:line="240" w:lineRule="auto"/>
            </w:pPr>
            <w:r/>
            <w:r>
              <w:rPr>
                <w:rFonts w:ascii="Garamond" w:hAnsi="Garamond"/>
                <w:sz w:val="18"/>
              </w:rPr>
              <w:t>116 of 289</w:t>
            </w:r>
          </w:p>
        </w:tc>
      </w:tr>
      <w:tr>
        <w:tc>
          <w:tcPr>
            <w:tcW w:type="dxa" w:w="4680"/>
          </w:tcPr>
          <w:p>
            <w:pPr>
              <w:spacing w:line="240" w:lineRule="auto"/>
            </w:pPr>
            <w:r/>
            <w:r>
              <w:rPr>
                <w:rFonts w:ascii="Garamond" w:hAnsi="Garamond"/>
                <w:sz w:val="18"/>
              </w:rPr>
              <w:t>SEC-disclosed Davidson floor / deed-record count</w:t>
            </w:r>
          </w:p>
        </w:tc>
        <w:tc>
          <w:tcPr>
            <w:tcW w:type="dxa" w:w="4680"/>
          </w:tcPr>
          <w:p>
            <w:pPr>
              <w:spacing w:line="240" w:lineRule="auto"/>
            </w:pPr>
            <w:r/>
            <w:r>
              <w:rPr>
                <w:rFonts w:ascii="Garamond" w:hAnsi="Garamond"/>
                <w:sz w:val="18"/>
              </w:rPr>
              <w:t>1,698 / 1,833</w:t>
            </w:r>
          </w:p>
        </w:tc>
      </w:tr>
      <w:tr>
        <w:tc>
          <w:tcPr>
            <w:tcW w:type="dxa" w:w="4680"/>
          </w:tcPr>
          <w:p>
            <w:pPr>
              <w:spacing w:line="240" w:lineRule="auto"/>
            </w:pPr>
            <w:r/>
            <w:r>
              <w:rPr>
                <w:rFonts w:ascii="Garamond" w:hAnsi="Garamond"/>
                <w:sz w:val="18"/>
              </w:rPr>
              <w:t>Median recorded consideration on a securitization deed</w:t>
            </w:r>
          </w:p>
        </w:tc>
        <w:tc>
          <w:tcPr>
            <w:tcW w:type="dxa" w:w="4680"/>
          </w:tcPr>
          <w:p>
            <w:pPr>
              <w:spacing w:line="240" w:lineRule="auto"/>
              <w:jc w:val="right"/>
            </w:pPr>
            <w:r/>
            <w:r>
              <w:rPr>
                <w:rFonts w:ascii="Garamond" w:hAnsi="Garamond"/>
                <w:sz w:val="18"/>
              </w:rPr>
              <w:t>$0</w:t>
            </w:r>
          </w:p>
        </w:tc>
      </w:tr>
      <w:tr>
        <w:tc>
          <w:tcPr>
            <w:tcW w:type="dxa" w:w="4680"/>
          </w:tcPr>
          <w:p>
            <w:pPr>
              <w:spacing w:line="240" w:lineRule="auto"/>
            </w:pPr>
            <w:r/>
            <w:r>
              <w:rPr>
                <w:rFonts w:ascii="Garamond" w:hAnsi="Garamond"/>
                <w:sz w:val="18"/>
              </w:rPr>
              <w:t>Parcels with allocated recorded consideration / total</w:t>
            </w:r>
          </w:p>
        </w:tc>
        <w:tc>
          <w:tcPr>
            <w:tcW w:type="dxa" w:w="4680"/>
          </w:tcPr>
          <w:p>
            <w:pPr>
              <w:spacing w:line="240" w:lineRule="auto"/>
            </w:pPr>
            <w:r/>
            <w:r>
              <w:rPr>
                <w:rFonts w:ascii="Garamond" w:hAnsi="Garamond"/>
                <w:sz w:val="18"/>
              </w:rPr>
              <w:t>1,256 / $195.0M</w:t>
            </w:r>
          </w:p>
        </w:tc>
      </w:tr>
      <w:tr>
        <w:tc>
          <w:tcPr>
            <w:tcW w:type="dxa" w:w="4680"/>
          </w:tcPr>
          <w:p>
            <w:pPr>
              <w:spacing w:line="240" w:lineRule="auto"/>
            </w:pPr>
            <w:r/>
            <w:r>
              <w:rPr>
                <w:rFonts w:ascii="Garamond" w:hAnsi="Garamond"/>
                <w:sz w:val="18"/>
              </w:rPr>
              <w:t>Deals with known national size / total principal</w:t>
            </w:r>
          </w:p>
        </w:tc>
        <w:tc>
          <w:tcPr>
            <w:tcW w:type="dxa" w:w="4680"/>
          </w:tcPr>
          <w:p>
            <w:pPr>
              <w:spacing w:line="240" w:lineRule="auto"/>
            </w:pPr>
            <w:r/>
            <w:r>
              <w:rPr>
                <w:rFonts w:ascii="Garamond" w:hAnsi="Garamond"/>
                <w:sz w:val="18"/>
              </w:rPr>
              <w:t>19 / $6.43B</w:t>
            </w:r>
          </w:p>
        </w:tc>
      </w:tr>
    </w:tbl>
    <w:p>
      <w:pPr>
        <w:spacing w:after="0"/>
      </w:pPr>
    </w:p>
    <w:p>
      <w:pPr>
        <w:spacing w:line="240" w:lineRule="auto" w:before="0" w:after="120"/>
      </w:pPr>
      <w:r>
        <w:rPr>
          <w:rFonts w:ascii="Garamond" w:hAnsi="Garamond"/>
          <w:i/>
          <w:sz w:val="19"/>
        </w:rPr>
        <w:t>Notes: Instrument counts from the local deed-of-trust match (Section 4.C); disclosure measures are properties of the ABS-15G exhibit parse itself. Source: Author's calculation from the SEC pipeline outputs and the Davidson County deed 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rPr>
          <w:rFonts w:ascii="Garamond" w:hAnsi="Garamond"/>
          <w:sz w:val="20"/>
        </w:rPr>
        <w:separator/>
      </w:r>
    </w:p>
  </w:footnote>
  <w:footnote w:type="continuationSeparator" w:id="0">
    <w:p>
      <w:r>
        <w:rPr>
          <w:rFonts w:ascii="Garamond" w:hAnsi="Garamond"/>
          <w:sz w:val="20"/>
        </w:rPr>
        <w:continuationSeparator/>
      </w:r>
    </w:p>
  </w:footnote>
  <w:footnote w:id="1">
    <w:p>
      <w:pPr>
        <w:pStyle w:val="FootnoteText"/>
      </w:pPr>
      <w:r>
        <w:rPr>
          <w:rStyle w:val="FootnoteReference"/>
          <w:rFonts w:ascii="Garamond" w:hAnsi="Garamond"/>
          <w:sz w:val="20"/>
        </w:rPr>
        <w:footnoteRef/>
      </w:r>
      <w:r>
        <w:rPr>
          <w:rFonts w:ascii="Garamond" w:hAnsi="Garamond"/>
          <w:sz w:val="20"/>
        </w:rPr>
        <w:t xml:space="preserve"> Deeds of Trust, Instrument Nos. 20181012-0101545 ($1,033,188,000, Morgan Stanley pool) and 20211014-0138172 ($1,447,545,000, Goldman Sachs pool), Davidson County, Tenn. Reg. of Deeds, both encumbering the parcel at 8924 Ristau Court, https://www.davidsonportal.com/gis/file.php?file=201810120101545 and https://www.davidsonportal.com/gis/file.php?file=202110140138172. The sums are national pool principals, recorded in every collateral county, not debt attributable to the parcel.</w:t>
      </w:r>
    </w:p>
  </w:footnote>
  <w:footnote w:id="2">
    <w:p>
      <w:pPr>
        <w:pStyle w:val="FootnoteText"/>
      </w:pPr>
      <w:r>
        <w:rPr>
          <w:rStyle w:val="FootnoteReference"/>
          <w:rFonts w:ascii="Garamond" w:hAnsi="Garamond"/>
          <w:sz w:val="20"/>
        </w:rPr>
        <w:footnoteRef/>
      </w:r>
      <w:r>
        <w:rPr>
          <w:rFonts w:ascii="Garamond" w:hAnsi="Garamond"/>
          <w:sz w:val="20"/>
        </w:rPr>
        <w:t xml:space="preserve"> Quitclaim Deed, FREO Tennessee, LLC to Progress Residential Borrower 5, LLC, Davidson County, Tenn. Reg. of Deeds, Instrument No. 20181010-0100411 (dated Oct. 4, 2018; recorded Oct. 10, 2018; no stated consideration), https://www.davidsonportal.com/gis/file.php?file=201810100100411. FREO Tennessee, a Pretium vehicle, had bought the house eight months earlier for $252,500, Instrument No. 20180220-0015794 (recorded Feb. 20, 2018), https://www.davidsonportal.com/gis/file.php?file=201802200015794; the Morgan Stanley deed of trust followed the quitclaim by two days. Davidson ownership history, https://maps.nashville.gov/arcgis2/rest/services/Parcels/ParcelHistory/MapServer/2.</w:t>
      </w:r>
    </w:p>
  </w:footnote>
  <w:footnote w:id="3">
    <w:p>
      <w:pPr>
        <w:pStyle w:val="FootnoteText"/>
      </w:pPr>
      <w:r>
        <w:rPr>
          <w:rStyle w:val="FootnoteReference"/>
          <w:rFonts w:ascii="Garamond" w:hAnsi="Garamond"/>
          <w:sz w:val="20"/>
        </w:rPr>
        <w:footnoteRef/>
      </w:r>
      <w:r>
        <w:rPr>
          <w:rFonts w:ascii="Garamond" w:hAnsi="Garamond"/>
          <w:sz w:val="20"/>
        </w:rPr>
        <w:t xml:space="preserve"> See supra note 1.</w:t>
      </w:r>
    </w:p>
  </w:footnote>
  <w:footnote w:id="4">
    <w:p>
      <w:pPr>
        <w:pStyle w:val="FootnoteText"/>
      </w:pPr>
      <w:r>
        <w:rPr>
          <w:rStyle w:val="FootnoteReference"/>
          <w:rFonts w:ascii="Garamond" w:hAnsi="Garamond"/>
          <w:sz w:val="20"/>
        </w:rPr>
        <w:footnoteRef/>
      </w:r>
      <w:r>
        <w:rPr>
          <w:rFonts w:ascii="Garamond" w:hAnsi="Garamond"/>
          <w:sz w:val="20"/>
        </w:rPr>
        <w:t xml:space="preserve"> 1,833 parcels as of July 2026, identified by the borrower-entity match described in Section 4. All parcel counts in this Part derive from Davidson County ownership records, https://maps.nashville.gov/arcgis2/rest/services/Parcels/ParcelHistory/MapServer/2.</w:t>
      </w:r>
    </w:p>
  </w:footnote>
  <w:footnote w:id="5">
    <w:p>
      <w:pPr>
        <w:pStyle w:val="FootnoteText"/>
      </w:pPr>
      <w:r>
        <w:rPr>
          <w:rStyle w:val="FootnoteReference"/>
          <w:rFonts w:ascii="Garamond" w:hAnsi="Garamond"/>
          <w:sz w:val="20"/>
        </w:rPr>
        <w:footnoteRef/>
      </w:r>
      <w:r>
        <w:rPr>
          <w:rFonts w:ascii="Garamond" w:hAnsi="Garamond"/>
          <w:sz w:val="20"/>
        </w:rPr>
        <w:t xml:space="preserve"> Freddie Mac Multifamily, Single-Family Rental: An Evolving Market (2018), https://mf.freddiemac.com/docs/single-family-rental-markets.pdf (cataloguing the 59 rated deals of Nov. 2013 to Nov. 2018, $29 billion); How Private Equity Landlords Are Changing the Housing Market: Hearing Before the S. Comm. on Banking, Hous. &amp; Urban Affairs, 117th Cong. (2021) (S. Hrg. 117-667), at 83-85 (responses of Desiree Fields to written questions of Sen. Sinema) (approximately $30 billion raised across roughly 50 securitizations, 2013 to 2020), https://www.congress.gov/event/117th-congress/senate-event/330780/text; hearing page at https://www.banking.senate.gov/hearings/how-private-equity-landlords-are-changing-the-housing-market.</w:t>
      </w:r>
    </w:p>
  </w:footnote>
  <w:footnote w:id="6">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 (2026) (H.R. 6644, 119th Cong.; became law July 11, 2026, without the President's signature), enrolled text at https://www.congress.gov/119/bills/hr6644/BILLS-119hr6644enr.pdf; see also Henry G. Watson, Comparison of Selected Versions of H.R. 6644, Cong. Rsch. Serv. R48922 (updated May 18, 2026), https://www.congress.gov/crs-product/R48922; Katie Jones &amp; Lida R. Weinstock, Housing for the 21st Century Act, Cong. Rsch. Serv. R48849 (May 7, 2026), https://www.congress.gov/crs-product/R48849.</w:t>
      </w:r>
    </w:p>
  </w:footnote>
  <w:footnote w:id="7">
    <w:p>
      <w:pPr>
        <w:pStyle w:val="FootnoteText"/>
      </w:pPr>
      <w:r>
        <w:rPr>
          <w:rStyle w:val="FootnoteReference"/>
          <w:rFonts w:ascii="Garamond" w:hAnsi="Garamond"/>
          <w:sz w:val="20"/>
        </w:rPr>
        <w:footnoteRef/>
      </w:r>
      <w:r>
        <w:rPr>
          <w:rFonts w:ascii="Garamond" w:hAnsi="Garamond"/>
          <w:sz w:val="20"/>
        </w:rPr>
        <w:t xml:space="preserve"> Brian Y. An, The Influence of Institutional Single-Family Rental Investors on Homeownership: Who Gets Targeted and Pushed Out of the Local Market?, J. Plan. Educ. &amp; Rsch. (2024), https://doi.org/10.1177/0739456X231176072; Taylor Shelton &amp; Eric Seymour, Horizontal Holdings: Untangling the Networks of Corporate Landlords, 114 Annals Am. Ass'n Geographers 1819 (2024), https://doi.org/10.1080/24694452.2023.2278690.</w:t>
      </w:r>
    </w:p>
  </w:footnote>
  <w:footnote w:id="8">
    <w:p>
      <w:pPr>
        <w:pStyle w:val="FootnoteText"/>
      </w:pPr>
      <w:r>
        <w:rPr>
          <w:rStyle w:val="FootnoteReference"/>
          <w:rFonts w:ascii="Garamond" w:hAnsi="Garamond"/>
          <w:sz w:val="20"/>
        </w:rPr>
        <w:footnoteRef/>
      </w:r>
      <w:r>
        <w:rPr>
          <w:rFonts w:ascii="Garamond" w:hAnsi="Garamond"/>
          <w:sz w:val="20"/>
        </w:rPr>
        <w:t xml:space="preserve"> Endpoints: SEC EDGAR full index, https://www.sec.gov/Archives/edgar/full-index/; EDGAR full-text search, https://efts.sec.gov/LATEST/search-index?q=%22single-family+rental%22&amp;forms=ABS-15G; entity submissions, https://data.sec.gov/submissions/; Davidson ownership history and assessment history, https://maps.nashville.gov/arcgis2/rest/services/Parcels/ParcelHistory/MapServer/2 and /6; deed images, https://www.davidsonportal.com/gis/file.php?file={instrument}. The complete per-fetch log is published with the replication files in the online data appendix.</w:t>
      </w:r>
    </w:p>
  </w:footnote>
  <w:footnote w:id="9">
    <w:p>
      <w:pPr>
        <w:pStyle w:val="FootnoteText"/>
      </w:pPr>
      <w:r>
        <w:rPr>
          <w:rStyle w:val="FootnoteReference"/>
          <w:rFonts w:ascii="Garamond" w:hAnsi="Garamond"/>
          <w:sz w:val="20"/>
        </w:rPr>
        <w:footnoteRef/>
      </w:r>
      <w:r>
        <w:rPr>
          <w:rFonts w:ascii="Garamond" w:hAnsi="Garamond"/>
          <w:sz w:val="20"/>
        </w:rPr>
        <w:t xml:space="preserve"> See supra note 6.</w:t>
      </w:r>
    </w:p>
  </w:footnote>
  <w:footnote w:id="10">
    <w:p>
      <w:pPr>
        <w:pStyle w:val="FootnoteText"/>
      </w:pPr>
      <w:r>
        <w:rPr>
          <w:rStyle w:val="FootnoteReference"/>
          <w:rFonts w:ascii="Garamond" w:hAnsi="Garamond"/>
          <w:sz w:val="20"/>
        </w:rPr>
        <w:footnoteRef/>
      </w:r>
      <w:r>
        <w:rPr>
          <w:rFonts w:ascii="Garamond" w:hAnsi="Garamond"/>
          <w:sz w:val="20"/>
        </w:rPr>
        <w:t xml:space="preserve"> James Mills, Raven S. Molloy &amp; Rebecca E. Zarutskie, Large-Scale Buy-to-Rent Investors in the Single-Family Housing Market: The Emergence of a New Asset Class?, Fin. &amp; Econ. Discussion Series No. 2015-084, Bd. of Governors of the Fed. Rsrv. Sys. (2015), https://doi.org/10.17016/FEDS.2015.084; Andrea J. Boyack, Side by Side: Revitalizing Urban Cores and Ensuring Residential Diversity, 92 Chi.-Kent L. Rev. 435, 455 (2017).</w:t>
      </w:r>
    </w:p>
  </w:footnote>
  <w:footnote w:id="11">
    <w:p>
      <w:pPr>
        <w:pStyle w:val="FootnoteText"/>
      </w:pPr>
      <w:r>
        <w:rPr>
          <w:rStyle w:val="FootnoteReference"/>
          <w:rFonts w:ascii="Garamond" w:hAnsi="Garamond"/>
          <w:sz w:val="20"/>
        </w:rPr>
        <w:footnoteRef/>
      </w:r>
      <w:r>
        <w:rPr>
          <w:rFonts w:ascii="Garamond" w:hAnsi="Garamond"/>
          <w:sz w:val="20"/>
        </w:rPr>
        <w:t xml:space="preserve"> Shannon Price, Paper Houses: Identifying the Housing Remedies Gap and How to Close It, 93 U. Cin. L. Rev. 1078, 1083 (2025) ("Institutional investment in single-family rental housing was near nonexistent before the foreclosure crisis.").</w:t>
      </w:r>
    </w:p>
  </w:footnote>
  <w:footnote w:id="12">
    <w:p>
      <w:pPr>
        <w:pStyle w:val="FootnoteText"/>
      </w:pPr>
      <w:r>
        <w:rPr>
          <w:rStyle w:val="FootnoteReference"/>
          <w:rFonts w:ascii="Garamond" w:hAnsi="Garamond"/>
          <w:sz w:val="20"/>
        </w:rPr>
        <w:footnoteRef/>
      </w:r>
      <w:r>
        <w:rPr>
          <w:rFonts w:ascii="Garamond" w:hAnsi="Garamond"/>
          <w:sz w:val="20"/>
        </w:rPr>
        <w:t xml:space="preserve"> Desiree Fields, Rajkumar Kohli &amp; Alex Schafran, The Emerging Economic Geography of Single-Family Rental Securitization 1-2 (Fed. Rsrv. Bank of S.F. Cmty. Dev. Inv. Ctr., Working Paper No. 2016-02, Jan. 2016), https://www.frbsf.org/community-development/files/wp2016-02.pdf; Laurie Goodman, Single-Family Securitized Financing: A Blueprint for the Future?, Urban Inst. (Jan. 17, 2014), http://www.urban.org/sites/default/files/alfresco/publication-pdfs/412992-Single-Family-Securitized-Financing-A-Blueprint-for-the-Future-.pdf.</w:t>
      </w:r>
    </w:p>
  </w:footnote>
  <w:footnote w:id="13">
    <w:p>
      <w:pPr>
        <w:pStyle w:val="FootnoteText"/>
      </w:pPr>
      <w:r>
        <w:rPr>
          <w:rStyle w:val="FootnoteReference"/>
          <w:rFonts w:ascii="Garamond" w:hAnsi="Garamond"/>
          <w:sz w:val="20"/>
        </w:rPr>
        <w:footnoteRef/>
      </w:r>
      <w:r>
        <w:rPr>
          <w:rFonts w:ascii="Garamond" w:hAnsi="Garamond"/>
          <w:sz w:val="20"/>
        </w:rPr>
        <w:t xml:space="preserve"> Faisal Chaudhry, Property as Rent, 94 St. John's L. Rev. 363, 426 (2020), https://scholarship.law.stjohns.edu/cgi/viewcontent.cgi?article=7162&amp;context=lawreview ("by autumn 2013 Blackstone had readied to issue the first SFRBS in a deal backed by Deutsche Bank"); Morgan W. Pierson, REO to Rental: The Creation of a New Asset Class and the Transformation of the American Single-Family Landscape 50 (Jan. 17, 2014) (M.S. thesis, Massachusetts Institute of Technology).</w:t>
      </w:r>
    </w:p>
  </w:footnote>
  <w:footnote w:id="14">
    <w:p>
      <w:pPr>
        <w:pStyle w:val="FootnoteText"/>
      </w:pPr>
      <w:r>
        <w:rPr>
          <w:rStyle w:val="FootnoteReference"/>
          <w:rFonts w:ascii="Garamond" w:hAnsi="Garamond"/>
          <w:sz w:val="20"/>
        </w:rPr>
        <w:footnoteRef/>
      </w:r>
      <w:r>
        <w:rPr>
          <w:rFonts w:ascii="Garamond" w:hAnsi="Garamond"/>
          <w:sz w:val="20"/>
        </w:rPr>
        <w:t xml:space="preserve"> Goodman, supra note 10.</w:t>
      </w:r>
    </w:p>
  </w:footnote>
  <w:footnote w:id="15">
    <w:p>
      <w:pPr>
        <w:pStyle w:val="FootnoteText"/>
      </w:pPr>
      <w:r>
        <w:rPr>
          <w:rStyle w:val="FootnoteReference"/>
          <w:rFonts w:ascii="Garamond" w:hAnsi="Garamond"/>
          <w:sz w:val="20"/>
        </w:rPr>
        <w:footnoteRef/>
      </w:r>
      <w:r>
        <w:rPr>
          <w:rFonts w:ascii="Garamond" w:hAnsi="Garamond"/>
          <w:sz w:val="20"/>
        </w:rPr>
        <w:t xml:space="preserve"> Sarah Edelman, Julia Gordon &amp; David Sanchez, When Wall Street Buys Main Street: The Implications of Single-Family Rental Bonds for Tenants and Housing Markets, Ctr. for Am. Progress (Feb. 27, 2014), https://www.americanprogress.org/issues/housing/report/2014/02/27/84750/when-wall-street-buys-main-street-2/; Kerri Ann Panchuk, Single-Family Rental Securitization Market Boasts Near Trillion-Dollar Potential, Housing Wire (Nov. 1, 2013), http://www.housingwire.com/articles/27772-single-family-rental-securitization-market-boasts-trillion-dollar-potential.</w:t>
      </w:r>
    </w:p>
  </w:footnote>
  <w:footnote w:id="16">
    <w:p>
      <w:pPr>
        <w:pStyle w:val="FootnoteText"/>
      </w:pPr>
      <w:r>
        <w:rPr>
          <w:rStyle w:val="FootnoteReference"/>
          <w:rFonts w:ascii="Garamond" w:hAnsi="Garamond"/>
          <w:sz w:val="20"/>
        </w:rPr>
        <w:footnoteRef/>
      </w:r>
      <w:r>
        <w:rPr>
          <w:rFonts w:ascii="Garamond" w:hAnsi="Garamond"/>
          <w:sz w:val="20"/>
        </w:rPr>
        <w:t xml:space="preserve"> Fields, Kohli &amp; Schafran, supra note 10, at 1 (170,000 homes); Diana Olick, Blackstone Takes Its Single-Family Rental Bet Public as Sector Soars, CNBC (Feb. 1, 2017), https://www.cnbc.com/2017/02/01/blackstone-takes-its-single-family-rental-bet-public-as-sector-soars.html.</w:t>
      </w:r>
    </w:p>
  </w:footnote>
  <w:footnote w:id="17">
    <w:p>
      <w:pPr>
        <w:pStyle w:val="FootnoteText"/>
      </w:pPr>
      <w:r>
        <w:rPr>
          <w:rStyle w:val="FootnoteReference"/>
          <w:rFonts w:ascii="Garamond" w:hAnsi="Garamond"/>
          <w:sz w:val="20"/>
        </w:rPr>
        <w:footnoteRef/>
      </w:r>
      <w:r>
        <w:rPr>
          <w:rFonts w:ascii="Garamond" w:hAnsi="Garamond"/>
          <w:sz w:val="20"/>
        </w:rPr>
        <w:t xml:space="preserve"> Andrea J. Boyack, Side by Side: Revitalizing Urban Cores and Ensuring Residential Diversity, 92 Chi.-Kent L. Rev. 435, 455 (2017); Goodman, supra note 10.</w:t>
      </w:r>
    </w:p>
  </w:footnote>
  <w:footnote w:id="18">
    <w:p>
      <w:pPr>
        <w:pStyle w:val="FootnoteText"/>
      </w:pPr>
      <w:r>
        <w:rPr>
          <w:rStyle w:val="FootnoteReference"/>
          <w:rFonts w:ascii="Garamond" w:hAnsi="Garamond"/>
          <w:sz w:val="20"/>
        </w:rPr>
        <w:footnoteRef/>
      </w:r>
      <w:r>
        <w:rPr>
          <w:rFonts w:ascii="Garamond" w:hAnsi="Garamond"/>
          <w:sz w:val="20"/>
        </w:rPr>
        <w:t xml:space="preserve"> Paul A. Jorissen &amp; David A.K. Linley, New Applications of Master Trusts: Financing Single Family Residential Rental and I-Buyer Properties (Mayer Brown, Winter 2023), https://www.mayerbrown.com/en/insights/publications/2023/12/new-applications-of-master-trusts-financing-single-family-residential-rental-and-i-buyer-properties.</w:t>
      </w:r>
    </w:p>
  </w:footnote>
  <w:footnote w:id="19">
    <w:p>
      <w:pPr>
        <w:pStyle w:val="FootnoteText"/>
      </w:pPr>
      <w:r>
        <w:rPr>
          <w:rStyle w:val="FootnoteReference"/>
          <w:rFonts w:ascii="Garamond" w:hAnsi="Garamond"/>
          <w:sz w:val="20"/>
        </w:rPr>
        <w:footnoteRef/>
      </w:r>
      <w:r>
        <w:rPr>
          <w:rFonts w:ascii="Garamond" w:hAnsi="Garamond"/>
          <w:sz w:val="20"/>
        </w:rPr>
        <w:t xml:space="preserve"> Laurie Goodman &amp; Karan Kaul, GSE Financing of Single-Family Rentals (Urban Inst., 2017), https://www.urban.org/sites/default/files/publication/90776/gse_financing_of-single-family_rentals.pdf.</w:t>
      </w:r>
    </w:p>
  </w:footnote>
  <w:footnote w:id="20">
    <w:p>
      <w:pPr>
        <w:pStyle w:val="FootnoteText"/>
      </w:pPr>
      <w:r>
        <w:rPr>
          <w:rStyle w:val="FootnoteReference"/>
          <w:rFonts w:ascii="Garamond" w:hAnsi="Garamond"/>
          <w:sz w:val="20"/>
        </w:rPr>
        <w:footnoteRef/>
      </w:r>
      <w:r>
        <w:rPr>
          <w:rFonts w:ascii="Garamond" w:hAnsi="Garamond"/>
          <w:sz w:val="20"/>
        </w:rPr>
        <w:t xml:space="preserve"> Fields, Kohli &amp; Schafran, supra note 10, at 3 tbl.1 (eight firms, twenty-one securitizations, 84,142 properties, $16.5 billion market value, $11.4 billion first-priority mortgages), 4 tbl.2 (state and MSA concentrations; seventeen MSAs above 1,000 securitized properties; Nashville absent), 6-7 (market-selection conditions).</w:t>
      </w:r>
    </w:p>
  </w:footnote>
  <w:footnote w:id="21">
    <w:p>
      <w:pPr>
        <w:pStyle w:val="FootnoteText"/>
      </w:pPr>
      <w:r>
        <w:rPr>
          <w:rStyle w:val="FootnoteReference"/>
          <w:rFonts w:ascii="Garamond" w:hAnsi="Garamond"/>
          <w:sz w:val="20"/>
        </w:rPr>
        <w:footnoteRef/>
      </w:r>
      <w:r>
        <w:rPr>
          <w:rFonts w:ascii="Garamond" w:hAnsi="Garamond"/>
          <w:sz w:val="20"/>
        </w:rPr>
        <w:t xml:space="preserve"> SFR JV-2 2022-2 Depositor LLC, Form ABS-15G, U.S. Sec. &amp; Exch. Comm'n (filed June 8, 2022), https://www.sec.gov/cgi-bin/browse-edgar?action=getcompany&amp;CIK=0001928214&amp;type=ABS-15G.</w:t>
      </w:r>
    </w:p>
  </w:footnote>
  <w:footnote w:id="22">
    <w:p>
      <w:pPr>
        <w:pStyle w:val="FootnoteText"/>
      </w:pPr>
      <w:r>
        <w:rPr>
          <w:rStyle w:val="FootnoteReference"/>
          <w:rFonts w:ascii="Garamond" w:hAnsi="Garamond"/>
          <w:sz w:val="20"/>
        </w:rPr>
        <w:footnoteRef/>
      </w:r>
      <w:r>
        <w:rPr>
          <w:rFonts w:ascii="Garamond" w:hAnsi="Garamond"/>
          <w:sz w:val="20"/>
        </w:rPr>
        <w:t xml:space="preserve"> Deed of Trust, SFR JV-2 2022-2 Borrower LLC to German American Capital Corp., Davidson County, Tenn. Reg. of Deeds, Instrument No. 20220708-0079028 (recorded July 8, 2022), https://www.davidsonportal.com/gis/file.php?file=202207080079028.</w:t>
      </w:r>
    </w:p>
  </w:footnote>
  <w:footnote w:id="23">
    <w:p>
      <w:pPr>
        <w:pStyle w:val="FootnoteText"/>
      </w:pPr>
      <w:r>
        <w:rPr>
          <w:rStyle w:val="FootnoteReference"/>
          <w:rFonts w:ascii="Garamond" w:hAnsi="Garamond"/>
          <w:sz w:val="20"/>
        </w:rPr>
        <w:footnoteRef/>
      </w:r>
      <w:r>
        <w:rPr>
          <w:rFonts w:ascii="Garamond" w:hAnsi="Garamond"/>
          <w:sz w:val="20"/>
        </w:rPr>
        <w:t xml:space="preserve"> Lender, trustee, and borrower-pairing roster per the recorded deed-of-trust record (245 originations, 124 assignments; trustee transfer within one to seven days of recording); Section 4.C and Table A-5.</w:t>
      </w:r>
    </w:p>
  </w:footnote>
  <w:footnote w:id="24">
    <w:p>
      <w:pPr>
        <w:pStyle w:val="FootnoteText"/>
      </w:pPr>
      <w:r>
        <w:rPr>
          <w:rStyle w:val="FootnoteReference"/>
          <w:rFonts w:ascii="Garamond" w:hAnsi="Garamond"/>
          <w:sz w:val="20"/>
        </w:rPr>
        <w:footnoteRef/>
      </w:r>
      <w:r>
        <w:rPr>
          <w:rFonts w:ascii="Garamond" w:hAnsi="Garamond"/>
          <w:sz w:val="20"/>
        </w:rPr>
        <w:t xml:space="preserve"> See supra note 23.</w:t>
      </w:r>
    </w:p>
  </w:footnote>
  <w:footnote w:id="25">
    <w:p>
      <w:pPr>
        <w:pStyle w:val="FootnoteText"/>
      </w:pPr>
      <w:r>
        <w:rPr>
          <w:rStyle w:val="FootnoteReference"/>
          <w:rFonts w:ascii="Garamond" w:hAnsi="Garamond"/>
          <w:sz w:val="20"/>
        </w:rPr>
        <w:footnoteRef/>
      </w:r>
      <w:r>
        <w:rPr>
          <w:rFonts w:ascii="Garamond" w:hAnsi="Garamond"/>
          <w:sz w:val="20"/>
        </w:rPr>
        <w:t xml:space="preserve"> Deed of Trust, HOME SFR Borrower LLC to Fidelity National Title Co., trustee for Royal Bank of Canada, Davidson County, Tenn. Reg. of Deeds, Instrument No. 20210526-0071540 (recorded May 26, 2021; $989,311,000), https://www.davidsonportal.com/gis/file.php?file=202105260071540. The recorded amount is the national pool principal, per the multi-county convention described at note 1.</w:t>
      </w:r>
    </w:p>
  </w:footnote>
  <w:footnote w:id="26">
    <w:p>
      <w:pPr>
        <w:pStyle w:val="FootnoteText"/>
      </w:pPr>
      <w:r>
        <w:rPr>
          <w:rStyle w:val="FootnoteReference"/>
          <w:rFonts w:ascii="Garamond" w:hAnsi="Garamond"/>
          <w:sz w:val="20"/>
        </w:rPr>
        <w:footnoteRef/>
      </w:r>
      <w:r>
        <w:rPr>
          <w:rFonts w:ascii="Garamond" w:hAnsi="Garamond"/>
          <w:sz w:val="20"/>
        </w:rPr>
        <w:t xml:space="preserve"> Freddie Mac Multifamily, Single-Family Rental: An Evolving Market (2018), https://mf.freddiemac.com/docs/single-family-rental-markets.pdf, tabulated from Intex and Bloomberg.</w:t>
      </w:r>
    </w:p>
  </w:footnote>
  <w:footnote w:id="27">
    <w:p>
      <w:pPr>
        <w:pStyle w:val="FootnoteText"/>
      </w:pPr>
      <w:r>
        <w:rPr>
          <w:rStyle w:val="FootnoteReference"/>
          <w:rFonts w:ascii="Garamond" w:hAnsi="Garamond"/>
          <w:sz w:val="20"/>
        </w:rPr>
        <w:footnoteRef/>
      </w:r>
      <w:r>
        <w:rPr>
          <w:rFonts w:ascii="Garamond" w:hAnsi="Garamond"/>
          <w:sz w:val="20"/>
        </w:rPr>
        <w:t xml:space="preserve"> Kroll Bond Rating Agency, KBRA Releases Single-Borrower SFR Comprehensive Surveillance Report (Aug. 30, 2024), https://www.kbra.com/publications/dRDCjzwg/kbra-releases-single-borrower-sfr-comprehensive-surveillance-report.</w:t>
      </w:r>
    </w:p>
  </w:footnote>
  <w:footnote w:id="28">
    <w:p>
      <w:pPr>
        <w:pStyle w:val="FootnoteText"/>
      </w:pPr>
      <w:r>
        <w:rPr>
          <w:rStyle w:val="FootnoteReference"/>
          <w:rFonts w:ascii="Garamond" w:hAnsi="Garamond"/>
          <w:sz w:val="20"/>
        </w:rPr>
        <w:footnoteRef/>
      </w:r>
      <w:r>
        <w:rPr>
          <w:rFonts w:ascii="Garamond" w:hAnsi="Garamond"/>
          <w:sz w:val="20"/>
        </w:rPr>
        <w:t xml:space="preserve"> S&amp;P Global Ratings, U.S. Single-Family Rental Securitization: Methodology and Assumptions (Feb. 20, 2024) (republished Feb. 21, 2025), https://www.spglobal.com/ratings/en/regulatory/article/240220-criteria-structured-finance-rmbs-u-s-single-family-rental-securitization-methodology-and-assumptions-s12995787; Fitch Ratings, U.S. Single-Family Rental Single Borrower Rating Criteria (Apr. 23, 2025), https://www.fitchratings.com/research/structured-finance/us-single-family-rental-single-borrower-rating-criteria-23-04-2025; Kroll Bond Rating Agency, CMBS/RMBS: U.S. Single-Family Rental Securitization Methodology, https://www.kbra.com/publications/xxCpPJKk.</w:t>
      </w:r>
    </w:p>
  </w:footnote>
  <w:footnote w:id="29">
    <w:p>
      <w:pPr>
        <w:pStyle w:val="FootnoteText"/>
      </w:pPr>
      <w:r>
        <w:rPr>
          <w:rStyle w:val="FootnoteReference"/>
          <w:rFonts w:ascii="Garamond" w:hAnsi="Garamond"/>
          <w:sz w:val="20"/>
        </w:rPr>
        <w:footnoteRef/>
      </w:r>
      <w:r>
        <w:rPr>
          <w:rFonts w:ascii="Garamond" w:hAnsi="Garamond"/>
          <w:sz w:val="20"/>
        </w:rPr>
        <w:t xml:space="preserve"> Press Release, Kroll Bond Rating Agency, KBRA Releases Single-Borrower SFR Comprehensive Surveillance Report (Aug. 29, 2025), https://www.kbra.com/publications/TpwSryPv/kbra-releases-single-borrower-sfr-comprehensive-surveillance-report (41 outstanding deals, $27.8 billion in principal, 110,552 homes; STAR 2022-SFR3 non-performing designation).</w:t>
      </w:r>
    </w:p>
  </w:footnote>
  <w:footnote w:id="30">
    <w:p>
      <w:pPr>
        <w:pStyle w:val="FootnoteText"/>
      </w:pPr>
      <w:r>
        <w:rPr>
          <w:rStyle w:val="FootnoteReference"/>
          <w:rFonts w:ascii="Garamond" w:hAnsi="Garamond"/>
          <w:sz w:val="20"/>
        </w:rPr>
        <w:footnoteRef/>
      </w:r>
      <w:r>
        <w:rPr>
          <w:rFonts w:ascii="Garamond" w:hAnsi="Garamond"/>
          <w:sz w:val="20"/>
        </w:rPr>
        <w:t xml:space="preserve"> Majority Staff of H. Comm. on Fin. Servs., 117th Cong., Memorandum 1 (Comm. Print 2022), https://financialservices.house.gov/uploadedfiles/hhrg-117-ba09-20220628-sd002.pdf (previewing the June 28, 2022 hearing, Where Have All the Houses Gone? Private Equity, Single Family Rentals, and America's Neighborhoods); Fed. Trade Comm'n, Agency Information Collection Activities; Proposed Collection; Comment Request (single-family rental "mega investor" study under Section 6(b)), 90 Fed. Reg. (Jan. 24, 2025), Docket No. FTC-2025-0016, https://www.govinfo.gov/content/pkg/FR-2025-01-24/pdf/2025-01657.pdf (sixty-day comment period, closed March 2025).</w:t>
      </w:r>
    </w:p>
  </w:footnote>
  <w:footnote w:id="31">
    <w:p>
      <w:pPr>
        <w:pStyle w:val="FootnoteText"/>
      </w:pPr>
      <w:r>
        <w:rPr>
          <w:rStyle w:val="FootnoteReference"/>
          <w:rFonts w:ascii="Garamond" w:hAnsi="Garamond"/>
          <w:sz w:val="20"/>
        </w:rPr>
        <w:footnoteRef/>
      </w:r>
      <w:r>
        <w:rPr>
          <w:rFonts w:ascii="Garamond" w:hAnsi="Garamond"/>
          <w:sz w:val="20"/>
        </w:rPr>
        <w:t xml:space="preserve"> Deed of Trust, SFR Assets Owner LLC to Athene Annuity &amp; Life Co., Davidson County, Tenn. Reg. of Deeds, Instrument No. 20190415-0034281 (recorded Apr. 15, 2019; $7,773,450), https://www.davidsonportal.com/gis/file.php?file=201904150034281; Deed of Trust Modification, SRMZ 3 LLC to Forethought Life Ins. Co., Instrument No. 20210105-0001858 (recorded Jan. 5, 2021), https://www.davidsonportal.com/gis/file.php?file=202101050001858; Deed of Trust Amendment, Mitchell SFR LLC to S USA Life Ins. Co., Instrument No. 20250116-0003705 (recorded Jan. 16, 2025; $4,180,000), https://www.davidsonportal.com/gis/file.php?file=202501160003705, amending the deed of trust recorded July 11, 2024, Instrument No. 20240711-0052245.</w:t>
      </w:r>
    </w:p>
  </w:footnote>
  <w:footnote w:id="32">
    <w:p>
      <w:pPr>
        <w:pStyle w:val="FootnoteText"/>
      </w:pPr>
      <w:r>
        <w:rPr>
          <w:rStyle w:val="FootnoteReference"/>
          <w:rFonts w:ascii="Garamond" w:hAnsi="Garamond"/>
          <w:sz w:val="20"/>
        </w:rPr>
        <w:footnoteRef/>
      </w:r>
      <w:r>
        <w:rPr>
          <w:rFonts w:ascii="Garamond" w:hAnsi="Garamond"/>
          <w:sz w:val="20"/>
        </w:rPr>
        <w:t xml:space="preserve"> See supra note 6.</w:t>
      </w:r>
    </w:p>
  </w:footnote>
  <w:footnote w:id="33">
    <w:p>
      <w:pPr>
        <w:pStyle w:val="FootnoteText"/>
      </w:pPr>
      <w:r>
        <w:rPr>
          <w:rStyle w:val="FootnoteReference"/>
          <w:rFonts w:ascii="Garamond" w:hAnsi="Garamond"/>
          <w:sz w:val="20"/>
        </w:rPr>
        <w:footnoteRef/>
      </w:r>
      <w:r>
        <w:rPr>
          <w:rFonts w:ascii="Garamond" w:hAnsi="Garamond"/>
          <w:sz w:val="20"/>
        </w:rPr>
        <w:t xml:space="preserve"> Pub. L. No. 119-101, § 1001, supra note 7. The prohibition bars acquisition; nothing in the section requires divestiture of homes held at enactment.</w:t>
      </w:r>
    </w:p>
  </w:footnote>
  <w:footnote w:id="34">
    <w:p>
      <w:pPr>
        <w:pStyle w:val="FootnoteText"/>
      </w:pPr>
      <w:r>
        <w:rPr>
          <w:rStyle w:val="FootnoteReference"/>
          <w:rFonts w:ascii="Garamond" w:hAnsi="Garamond"/>
          <w:sz w:val="20"/>
        </w:rPr>
        <w:footnoteRef/>
      </w:r>
      <w:r>
        <w:rPr>
          <w:rFonts w:ascii="Garamond" w:hAnsi="Garamond"/>
          <w:sz w:val="20"/>
        </w:rPr>
        <w:t xml:space="preserve"> Id. § 1001(a)(2)(F) (debts previously contracted), (G) (loss mitigation by a servicer, lender, or other entity with a legal right to the home), (H) (purchase from another large institutional investor that owned the home at enactment or acquired it in compliance).</w:t>
      </w:r>
    </w:p>
  </w:footnote>
  <w:footnote w:id="35">
    <w:p>
      <w:pPr>
        <w:pStyle w:val="FootnoteText"/>
      </w:pPr>
      <w:r>
        <w:rPr>
          <w:rStyle w:val="FootnoteReference"/>
          <w:rFonts w:ascii="Garamond" w:hAnsi="Garamond"/>
          <w:sz w:val="20"/>
        </w:rPr>
        <w:footnoteRef/>
      </w:r>
      <w:r>
        <w:rPr>
          <w:rFonts w:ascii="Garamond" w:hAnsi="Garamond"/>
          <w:sz w:val="20"/>
        </w:rPr>
        <w:t xml:space="preserve"> See supra note 34.</w:t>
      </w:r>
    </w:p>
  </w:footnote>
  <w:footnote w:id="36">
    <w:p>
      <w:pPr>
        <w:pStyle w:val="FootnoteText"/>
      </w:pPr>
      <w:r>
        <w:rPr>
          <w:rStyle w:val="FootnoteReference"/>
          <w:rFonts w:ascii="Garamond" w:hAnsi="Garamond"/>
          <w:sz w:val="20"/>
        </w:rPr>
        <w:footnoteRef/>
      </w:r>
      <w:r>
        <w:rPr>
          <w:rFonts w:ascii="Garamond" w:hAnsi="Garamond"/>
          <w:sz w:val="20"/>
        </w:rPr>
        <w:t xml:space="preserve"> See supra note 34.</w:t>
      </w:r>
    </w:p>
  </w:footnote>
  <w:footnote w:id="37">
    <w:p>
      <w:pPr>
        <w:pStyle w:val="FootnoteText"/>
      </w:pPr>
      <w:r>
        <w:rPr>
          <w:rStyle w:val="FootnoteReference"/>
          <w:rFonts w:ascii="Garamond" w:hAnsi="Garamond"/>
          <w:sz w:val="20"/>
        </w:rPr>
        <w:footnoteRef/>
      </w:r>
      <w:r>
        <w:rPr>
          <w:rFonts w:ascii="Garamond" w:hAnsi="Garamond"/>
          <w:sz w:val="20"/>
        </w:rPr>
        <w:t xml:space="preserve"> Id. § 1001(d)(1) (civil penalty of not more than $1,000,000 per violation or three times the purchase price, whichever is greater); id. § 1001(d)(2) (penalties transferred to HUD for the HOME program).</w:t>
      </w:r>
    </w:p>
  </w:footnote>
  <w:footnote w:id="38">
    <w:p>
      <w:pPr>
        <w:pStyle w:val="FootnoteText"/>
      </w:pPr>
      <w:r>
        <w:rPr>
          <w:rStyle w:val="FootnoteReference"/>
          <w:rFonts w:ascii="Garamond" w:hAnsi="Garamond"/>
          <w:sz w:val="20"/>
        </w:rPr>
        <w:footnoteRef/>
      </w:r>
      <w:r>
        <w:rPr>
          <w:rFonts w:ascii="Garamond" w:hAnsi="Garamond"/>
          <w:sz w:val="20"/>
        </w:rPr>
        <w:t xml:space="preserve"> Id. § 1001(a)(3)(B)(iv) (an entity has investment control of a home if it "owns or controls more than 25 percent of any class of equity interests of the entity that owns the single-family home, unless such entity is a passive investor"); id. § 1001(a)(3)(B)(i) to (v) (the five-prong rule of construction).</w:t>
      </w:r>
    </w:p>
  </w:footnote>
  <w:footnote w:id="39">
    <w:p>
      <w:pPr>
        <w:pStyle w:val="FootnoteText"/>
      </w:pPr>
      <w:r>
        <w:rPr>
          <w:rStyle w:val="FootnoteReference"/>
          <w:rFonts w:ascii="Garamond" w:hAnsi="Garamond"/>
          <w:sz w:val="20"/>
        </w:rPr>
        <w:footnoteRef/>
      </w:r>
      <w:r>
        <w:rPr>
          <w:rFonts w:ascii="Garamond" w:hAnsi="Garamond"/>
          <w:sz w:val="20"/>
        </w:rPr>
        <w:t xml:space="preserve"> Id. § 1001(a)(3)(B)(iv). The phrase "passive investor" appears once in section 1001, in that clause, and section 1001(a) defines five terms (consumer reporting agency, excepted purchase, large institutional investor, purchase, single-family home) without defining it.</w:t>
      </w:r>
    </w:p>
  </w:footnote>
  <w:footnote w:id="40">
    <w:p>
      <w:pPr>
        <w:pStyle w:val="FootnoteText"/>
      </w:pPr>
      <w:r>
        <w:rPr>
          <w:rStyle w:val="FootnoteReference"/>
          <w:rFonts w:ascii="Garamond" w:hAnsi="Garamond"/>
          <w:sz w:val="20"/>
        </w:rPr>
        <w:footnoteRef/>
      </w:r>
      <w:r>
        <w:rPr>
          <w:rFonts w:ascii="Garamond" w:hAnsi="Garamond"/>
          <w:sz w:val="20"/>
        </w:rPr>
        <w:t xml:space="preserve"> See supra note 38.</w:t>
      </w:r>
    </w:p>
  </w:footnote>
  <w:footnote w:id="41">
    <w:p>
      <w:pPr>
        <w:pStyle w:val="FootnoteText"/>
      </w:pPr>
      <w:r>
        <w:rPr>
          <w:rStyle w:val="FootnoteReference"/>
          <w:rFonts w:ascii="Garamond" w:hAnsi="Garamond"/>
          <w:sz w:val="20"/>
        </w:rPr>
        <w:footnoteRef/>
      </w:r>
      <w:r>
        <w:rPr>
          <w:rFonts w:ascii="Garamond" w:hAnsi="Garamond"/>
          <w:sz w:val="20"/>
        </w:rPr>
        <w:t xml:space="preserve"> Instrument Nos. 20181012-0101545 and 20211014-0138172, supra note 1; Instrument No. 20210526-0071540, supra note 22.</w:t>
      </w:r>
    </w:p>
  </w:footnote>
  <w:footnote w:id="42">
    <w:p>
      <w:pPr>
        <w:pStyle w:val="FootnoteText"/>
      </w:pPr>
      <w:r>
        <w:rPr>
          <w:rStyle w:val="FootnoteReference"/>
          <w:rFonts w:ascii="Garamond" w:hAnsi="Garamond"/>
          <w:sz w:val="20"/>
        </w:rPr>
        <w:footnoteRef/>
      </w:r>
      <w:r>
        <w:rPr>
          <w:rFonts w:ascii="Garamond" w:hAnsi="Garamond"/>
          <w:sz w:val="20"/>
        </w:rPr>
        <w:t xml:space="preserve"> See supra note 33.</w:t>
      </w:r>
    </w:p>
  </w:footnote>
  <w:footnote w:id="43">
    <w:p>
      <w:pPr>
        <w:pStyle w:val="FootnoteText"/>
      </w:pPr>
      <w:r>
        <w:rPr>
          <w:rStyle w:val="FootnoteReference"/>
          <w:rFonts w:ascii="Garamond" w:hAnsi="Garamond"/>
          <w:sz w:val="20"/>
        </w:rPr>
        <w:footnoteRef/>
      </w:r>
      <w:r>
        <w:rPr>
          <w:rFonts w:ascii="Garamond" w:hAnsi="Garamond"/>
          <w:sz w:val="20"/>
        </w:rPr>
        <w:t xml:space="preserve"> Tenn. Code Ann. § 67-4-409(b) (tax on the recording of instruments evidencing indebtedness, computed on the maximum principal indebtedness stated for Tennessee recording-tax purposes), with the method for indebtedness secured by collateral partly located in Tennessee at § 67-4-409(b)(8); see Tenn. Dep't of Revenue, Realty Transfer and Recordation Tax Manual (Mar. 2023), https://www.tn.gov/content/dam/tn/revenue/documents/tax_manuals/march-2023/Realty-Transfer-Recordation-Tax.pdf. The SWH 2017-1 instruments at note 63 show the statement in use.</w:t>
      </w:r>
    </w:p>
  </w:footnote>
  <w:footnote w:id="44">
    <w:p>
      <w:pPr>
        <w:pStyle w:val="FootnoteText"/>
      </w:pPr>
      <w:r>
        <w:rPr>
          <w:rStyle w:val="FootnoteReference"/>
          <w:rFonts w:ascii="Garamond" w:hAnsi="Garamond"/>
          <w:sz w:val="20"/>
        </w:rPr>
        <w:footnoteRef/>
      </w:r>
      <w:r>
        <w:rPr>
          <w:rFonts w:ascii="Garamond" w:hAnsi="Garamond"/>
          <w:sz w:val="20"/>
        </w:rPr>
        <w:t xml:space="preserve"> Deed of Trust, Instrument No. 20171003-0101451 (recorded Oct. 3, 2017; $771,240,000 pool principal stated on the instrument's face; Tennessee-apportioned recorded amount $47,816,880), and Assignment, Instrument No. 20171005-0102406 (recorded Oct. 5, 2017) ("Maximum Principle Indebtedness for Tennessee Recording Tax Purpose is $0.00"), Davidson County, Tenn. Reg. of Deeds; the release, Instrument No. 20191112-0116167, closed the deal in November 2019.</w:t>
      </w:r>
    </w:p>
  </w:footnote>
  <w:footnote w:id="45">
    <w:p>
      <w:pPr>
        <w:pStyle w:val="FootnoteText"/>
      </w:pPr>
      <w:r>
        <w:rPr>
          <w:rStyle w:val="FootnoteReference"/>
          <w:rFonts w:ascii="Garamond" w:hAnsi="Garamond"/>
          <w:sz w:val="20"/>
        </w:rPr>
        <w:footnoteRef/>
      </w:r>
      <w:r>
        <w:rPr>
          <w:rFonts w:ascii="Garamond" w:hAnsi="Garamond"/>
          <w:sz w:val="20"/>
        </w:rPr>
        <w:t xml:space="preserve"> See supra note 44.</w:t>
      </w:r>
    </w:p>
  </w:footnote>
  <w:footnote w:id="46">
    <w:p>
      <w:pPr>
        <w:pStyle w:val="FootnoteText"/>
      </w:pPr>
      <w:r>
        <w:rPr>
          <w:rStyle w:val="FootnoteReference"/>
          <w:rFonts w:ascii="Garamond" w:hAnsi="Garamond"/>
          <w:sz w:val="20"/>
        </w:rPr>
        <w:footnoteRef/>
      </w:r>
      <w:r>
        <w:rPr>
          <w:rFonts w:ascii="Garamond" w:hAnsi="Garamond"/>
          <w:sz w:val="20"/>
        </w:rPr>
        <w:t xml:space="preserve"> Deed of Bargain and Sale, Instrument No. DB-20200225-0020570 (recorded Feb. 25, 2020; consideration $6,224,450), Davidson County, Tenn. Reg. of Deeds (Progress Borrower 13).</w:t>
      </w:r>
    </w:p>
  </w:footnote>
  <w:footnote w:id="47">
    <w:p>
      <w:pPr>
        <w:pStyle w:val="FootnoteText"/>
      </w:pPr>
      <w:r>
        <w:rPr>
          <w:rStyle w:val="FootnoteReference"/>
          <w:rFonts w:ascii="Garamond" w:hAnsi="Garamond"/>
          <w:sz w:val="20"/>
        </w:rPr>
        <w:footnoteRef/>
      </w:r>
      <w:r>
        <w:rPr>
          <w:rFonts w:ascii="Garamond" w:hAnsi="Garamond"/>
          <w:sz w:val="20"/>
        </w:rPr>
        <w:t xml:space="preserve"> Am. Homes 4 Rent, Annual Report (Form 10-K) 34, 35, 43, 44, 92 (2014) (disclosing 2013 figures), https://d18rn0p25nwr6d.cloudfront.net/CIK-0001562401/20fa978b-0cf1-4b28-aa4e-9107dcd74de9.pdf.</w:t>
      </w:r>
    </w:p>
  </w:footnote>
  <w:footnote w:id="48">
    <w:p>
      <w:pPr>
        <w:pStyle w:val="FootnoteText"/>
      </w:pPr>
      <w:r>
        <w:rPr>
          <w:rStyle w:val="FootnoteReference"/>
          <w:rFonts w:ascii="Garamond" w:hAnsi="Garamond"/>
          <w:sz w:val="20"/>
        </w:rPr>
        <w:footnoteRef/>
      </w:r>
      <w:r>
        <w:rPr>
          <w:rFonts w:ascii="Garamond" w:hAnsi="Garamond"/>
          <w:sz w:val="20"/>
        </w:rPr>
        <w:t xml:space="preserve"> Am. Homes 4 Rent, Annual Report (Form 10-K) 32, 33, 106 (2026) (disclosing 2025 figures), https://d18rn0p25nwr6d.cloudfront.net/CIK-0001562401/ef0579aa-caea-4713-a251-4439a24ea4c9.pdf.</w:t>
      </w:r>
    </w:p>
  </w:footnote>
  <w:footnote w:id="49">
    <w:p>
      <w:pPr>
        <w:pStyle w:val="FootnoteText"/>
      </w:pPr>
      <w:r>
        <w:rPr>
          <w:rStyle w:val="FootnoteReference"/>
          <w:rFonts w:ascii="Garamond" w:hAnsi="Garamond"/>
          <w:sz w:val="20"/>
        </w:rPr>
        <w:footnoteRef/>
      </w:r>
      <w:r>
        <w:rPr>
          <w:rFonts w:ascii="Garamond" w:hAnsi="Garamond"/>
          <w:sz w:val="20"/>
        </w:rPr>
        <w:t xml:space="preserve"> Davidson County ownership history, supra note 3 (first county appearance of a "Borrower"-named owner: ARP 2014-1 Borrower, LLC, August 2014).</w:t>
      </w:r>
    </w:p>
  </w:footnote>
  <w:footnote w:id="50">
    <w:p>
      <w:pPr>
        <w:pStyle w:val="FootnoteText"/>
      </w:pPr>
      <w:r>
        <w:rPr>
          <w:rStyle w:val="FootnoteReference"/>
          <w:rFonts w:ascii="Garamond" w:hAnsi="Garamond"/>
          <w:sz w:val="20"/>
        </w:rPr>
        <w:footnoteRef/>
      </w:r>
      <w:r>
        <w:rPr>
          <w:rFonts w:ascii="Garamond" w:hAnsi="Garamond"/>
          <w:sz w:val="20"/>
        </w:rPr>
        <w:t xml:space="preserve"> See supra note 4.</w:t>
      </w:r>
    </w:p>
  </w:footnote>
  <w:footnote w:id="51">
    <w:p>
      <w:pPr>
        <w:pStyle w:val="FootnoteText"/>
      </w:pPr>
      <w:r>
        <w:rPr>
          <w:rStyle w:val="FootnoteReference"/>
          <w:rFonts w:ascii="Garamond" w:hAnsi="Garamond"/>
          <w:sz w:val="20"/>
        </w:rPr>
        <w:footnoteRef/>
      </w:r>
      <w:r>
        <w:rPr>
          <w:rFonts w:ascii="Garamond" w:hAnsi="Garamond"/>
          <w:sz w:val="20"/>
        </w:rPr>
        <w:t xml:space="preserve"> Geography counts computed from the securitized-parcel file joined to Metro planning areas, council districts, ZIPs, tracts, and subdivisions; Section 4.C and Table A-1.</w:t>
      </w:r>
    </w:p>
  </w:footnote>
  <w:footnote w:id="52">
    <w:p>
      <w:pPr>
        <w:pStyle w:val="FootnoteText"/>
      </w:pPr>
      <w:r>
        <w:rPr>
          <w:rStyle w:val="FootnoteReference"/>
          <w:rFonts w:ascii="Garamond" w:hAnsi="Garamond"/>
          <w:sz w:val="20"/>
        </w:rPr>
        <w:footnoteRef/>
      </w:r>
      <w:r>
        <w:rPr>
          <w:rFonts w:ascii="Garamond" w:hAnsi="Garamond"/>
          <w:sz w:val="20"/>
        </w:rPr>
        <w:t xml:space="preserve"> Computed from the securitized-parcel file (tract attribution from the Davidson cadastral join) against U.S. Census Bureau, American Community Survey 2020-2024 5-year estimates (tenure of 1- and 2-unit structures by tract, tables B25032/B25106 lineage, retrieved via api.census.gov). Single-family rental stock in the 107 securitized tracts: 35,470 units; securitized share 1,833/35,470 = 5.2 percent. Per-tract shares: 129/271 (tract 191.17), 85/222 (191.19), 88/386 (156.19), 166/873 (156.34). ACS denominators carry sampling error at tract scale.</w:t>
      </w:r>
    </w:p>
  </w:footnote>
  <w:footnote w:id="53">
    <w:p>
      <w:pPr>
        <w:pStyle w:val="FootnoteText"/>
      </w:pPr>
      <w:r>
        <w:rPr>
          <w:rStyle w:val="FootnoteReference"/>
          <w:rFonts w:ascii="Garamond" w:hAnsi="Garamond"/>
          <w:sz w:val="20"/>
        </w:rPr>
        <w:footnoteRef/>
      </w:r>
      <w:r>
        <w:rPr>
          <w:rFonts w:ascii="Garamond" w:hAnsi="Garamond"/>
          <w:sz w:val="20"/>
        </w:rPr>
        <w:t xml:space="preserve"> Author's operator-crosswalk rollup on the canonical parcel universe, July 22, 2026 adjudication (Progress 1,222; AMH 1,173; Amherst 657; Tricon 276; Starwood 251; FirstKey 92; Sparrow-Nuveen 37; Invesco 12; Invitation 10), computed from Davidson County ownership records, supra note 3.</w:t>
      </w:r>
    </w:p>
  </w:footnote>
  <w:footnote w:id="54">
    <w:p>
      <w:pPr>
        <w:pStyle w:val="FootnoteText"/>
      </w:pPr>
      <w:r>
        <w:rPr>
          <w:rStyle w:val="FootnoteReference"/>
          <w:rFonts w:ascii="Garamond" w:hAnsi="Garamond"/>
          <w:sz w:val="20"/>
        </w:rPr>
        <w:footnoteRef/>
      </w:r>
      <w:r>
        <w:rPr>
          <w:rFonts w:ascii="Garamond" w:hAnsi="Garamond"/>
          <w:sz w:val="20"/>
        </w:rPr>
        <w:t xml:space="preserve"> Tennessee Secretary of State, Business Entity Search, https://tnbear.tn.gov/Ecommerce/FilingSearch.aspx (Mile High Borrower filings listing principal office at 2300 N. Field St., Ste. 1200, Dallas, Texas, the registered address of Invesco Real Estate, while the county ownership record carries Progress Residential's Scottsdale addresses; principal-office filings resolved in the series' July 22, 2026 alias adjudication, in which the Mile High Borrower and Buyer entities were attributed to the Progress bucket for operator purposes with Invesco noted as capital owner).</w:t>
      </w:r>
    </w:p>
  </w:footnote>
  <w:footnote w:id="55">
    <w:p>
      <w:pPr>
        <w:pStyle w:val="FootnoteText"/>
      </w:pPr>
      <w:r>
        <w:rPr>
          <w:rStyle w:val="FootnoteReference"/>
          <w:rFonts w:ascii="Garamond" w:hAnsi="Garamond"/>
          <w:sz w:val="20"/>
        </w:rPr>
        <w:footnoteRef/>
      </w:r>
      <w:r>
        <w:rPr>
          <w:rFonts w:ascii="Garamond" w:hAnsi="Garamond"/>
          <w:sz w:val="20"/>
        </w:rPr>
        <w:t xml:space="preserve"> KBRA, KBRA Assigns Preliminary Ratings to Progress Residential 2021-SFR6, Business Wire (June 21, 2021), https://www.businesswire.com/news/home/20210621005744/en/KBRA-Assigns-Preliminary-Ratings-to-Progress-Residential-2021-SFR6 (Nashville 16.2 percent, second CBSA; $556.9 million; 2,116 homes); Fitch Ratings, Fitch Assigns Final Ratings to AMSR 2024-SFR2 Trust (Nov. 14, 2024), https://www.fitchratings.com/research/structured-finance/fitch-assigns-final-ratings-to-amsr-2024-sfr2-trust-14-11-2024 (Tennessee 20.3 percent, first state; 1,443 homes).</w:t>
      </w:r>
    </w:p>
  </w:footnote>
  <w:footnote w:id="56">
    <w:p>
      <w:pPr>
        <w:pStyle w:val="FootnoteText"/>
      </w:pPr>
      <w:r>
        <w:rPr>
          <w:rStyle w:val="FootnoteReference"/>
          <w:rFonts w:ascii="Garamond" w:hAnsi="Garamond"/>
          <w:sz w:val="20"/>
        </w:rPr>
        <w:footnoteRef/>
      </w:r>
      <w:r>
        <w:rPr>
          <w:rFonts w:ascii="Garamond" w:hAnsi="Garamond"/>
          <w:sz w:val="20"/>
        </w:rPr>
        <w:t xml:space="preserve"> Kroll Bond Rating Agency, KBRA Assigns Preliminary Ratings to Progress Residential 2025-SFR3 (June 9, 2025), https://www.kbra.com/publications/dTnWvKhN/kbra-assigns-preliminary-ratings-to-progress-residential-2025-sfr3 ("first ever single-borrower, SFR securitization consisting entirely of Build-to-Rent (BTR) communities"; $778.5 million; 21 communities; 2,020 homes).</w:t>
      </w:r>
    </w:p>
  </w:footnote>
  <w:footnote w:id="57">
    <w:p>
      <w:pPr>
        <w:pStyle w:val="FootnoteText"/>
      </w:pPr>
      <w:r>
        <w:rPr>
          <w:rStyle w:val="FootnoteReference"/>
          <w:rFonts w:ascii="Garamond" w:hAnsi="Garamond"/>
          <w:sz w:val="20"/>
        </w:rPr>
        <w:footnoteRef/>
      </w:r>
      <w:r>
        <w:rPr>
          <w:rFonts w:ascii="Garamond" w:hAnsi="Garamond"/>
          <w:sz w:val="20"/>
        </w:rPr>
        <w:t xml:space="preserve"> Ratio series computed from the securitized-parcel file and vintage-matched ACS tract medians; Table A-4.</w:t>
      </w:r>
    </w:p>
  </w:footnote>
  <w:footnote w:id="58">
    <w:p>
      <w:pPr>
        <w:pStyle w:val="FootnoteText"/>
      </w:pPr>
      <w:r>
        <w:rPr>
          <w:rStyle w:val="FootnoteReference"/>
          <w:rFonts w:ascii="Garamond" w:hAnsi="Garamond"/>
          <w:sz w:val="20"/>
        </w:rPr>
        <w:footnoteRef/>
      </w:r>
      <w:r>
        <w:rPr>
          <w:rFonts w:ascii="Garamond" w:hAnsi="Garamond"/>
          <w:sz w:val="20"/>
        </w:rPr>
        <w:t xml:space="preserve"> Pub. L. No. 119-101, § 1001(a)(2)(B), supra note 7 (new-construction exemption).</w:t>
      </w:r>
    </w:p>
  </w:footnote>
  <w:footnote w:id="59">
    <w:p>
      <w:pPr>
        <w:pStyle w:val="FootnoteText"/>
      </w:pPr>
      <w:r>
        <w:rPr>
          <w:rStyle w:val="FootnoteReference"/>
          <w:rFonts w:ascii="Garamond" w:hAnsi="Garamond"/>
          <w:sz w:val="20"/>
        </w:rPr>
        <w:footnoteRef/>
      </w:r>
      <w:r>
        <w:rPr>
          <w:rFonts w:ascii="Garamond" w:hAnsi="Garamond"/>
          <w:sz w:val="20"/>
        </w:rPr>
        <w:t xml:space="preserve"> Tenn. Code Ann. § 66-22-101 (recording); id. § 66-25-101 (release of recorded liens upon satisfaction); id. § 35-5-101 (power-of-sale foreclosure procedure); Grant S. Nelson &amp; Dale A. Whitman, Real Estate Finance Law §§ 1.6, 7.19 (6th ed. 2014).</w:t>
      </w:r>
    </w:p>
  </w:footnote>
  <w:footnote w:id="60">
    <w:p>
      <w:pPr>
        <w:pStyle w:val="FootnoteText"/>
      </w:pPr>
      <w:r>
        <w:rPr>
          <w:rStyle w:val="FootnoteReference"/>
          <w:rFonts w:ascii="Garamond" w:hAnsi="Garamond"/>
          <w:sz w:val="20"/>
        </w:rPr>
        <w:footnoteRef/>
      </w:r>
      <w:r>
        <w:rPr>
          <w:rFonts w:ascii="Garamond" w:hAnsi="Garamond"/>
          <w:sz w:val="20"/>
        </w:rPr>
        <w:t xml:space="preserve"> The series crosswalk pairs each finding with the literature's standing question; the Part V rows fold into RQ1 through RQ3 as numbered here.</w:t>
      </w:r>
    </w:p>
  </w:footnote>
  <w:footnote w:id="61">
    <w:p>
      <w:pPr>
        <w:pStyle w:val="FootnoteText"/>
      </w:pPr>
      <w:r>
        <w:rPr>
          <w:rStyle w:val="FootnoteReference"/>
          <w:rFonts w:ascii="Garamond" w:hAnsi="Garamond"/>
          <w:sz w:val="20"/>
        </w:rPr>
        <w:footnoteRef/>
      </w:r>
      <w:r>
        <w:rPr>
          <w:rFonts w:ascii="Garamond" w:hAnsi="Garamond"/>
          <w:sz w:val="20"/>
        </w:rPr>
        <w:t xml:space="preserve"> See supra note 20.</w:t>
      </w:r>
    </w:p>
  </w:footnote>
  <w:footnote w:id="62">
    <w:p>
      <w:pPr>
        <w:pStyle w:val="FootnoteText"/>
      </w:pPr>
      <w:r>
        <w:rPr>
          <w:rStyle w:val="FootnoteReference"/>
          <w:rFonts w:ascii="Garamond" w:hAnsi="Garamond"/>
          <w:sz w:val="20"/>
        </w:rPr>
        <w:footnoteRef/>
      </w:r>
      <w:r>
        <w:rPr>
          <w:rFonts w:ascii="Garamond" w:hAnsi="Garamond"/>
          <w:sz w:val="20"/>
        </w:rPr>
        <w:t xml:space="preserve"> Mills, Molloy &amp; Zarutskie, supra note 8.</w:t>
      </w:r>
    </w:p>
  </w:footnote>
  <w:footnote w:id="63">
    <w:p>
      <w:pPr>
        <w:pStyle w:val="FootnoteText"/>
      </w:pPr>
      <w:r>
        <w:rPr>
          <w:rStyle w:val="FootnoteReference"/>
          <w:rFonts w:ascii="Garamond" w:hAnsi="Garamond"/>
          <w:sz w:val="20"/>
        </w:rPr>
        <w:footnoteRef/>
      </w:r>
      <w:r>
        <w:rPr>
          <w:rFonts w:ascii="Garamond" w:hAnsi="Garamond"/>
          <w:sz w:val="20"/>
        </w:rPr>
        <w:t xml:space="preserve"> Goodman, supra note 10; Chaudhry, supra note 11, at 367-69, 423-37; Boyack, supra note 15.</w:t>
      </w:r>
    </w:p>
  </w:footnote>
  <w:footnote w:id="64">
    <w:p>
      <w:pPr>
        <w:pStyle w:val="FootnoteText"/>
      </w:pPr>
      <w:r>
        <w:rPr>
          <w:rStyle w:val="FootnoteReference"/>
          <w:rFonts w:ascii="Garamond" w:hAnsi="Garamond"/>
          <w:sz w:val="20"/>
        </w:rPr>
        <w:footnoteRef/>
      </w:r>
      <w:r>
        <w:rPr>
          <w:rFonts w:ascii="Garamond" w:hAnsi="Garamond"/>
          <w:sz w:val="20"/>
        </w:rPr>
        <w:t xml:space="preserve"> See supra note 18.</w:t>
      </w:r>
    </w:p>
  </w:footnote>
  <w:footnote w:id="65">
    <w:p>
      <w:pPr>
        <w:pStyle w:val="FootnoteText"/>
      </w:pPr>
      <w:r>
        <w:rPr>
          <w:rStyle w:val="FootnoteReference"/>
          <w:rFonts w:ascii="Garamond" w:hAnsi="Garamond"/>
          <w:sz w:val="20"/>
        </w:rPr>
        <w:footnoteRef/>
      </w:r>
      <w:r>
        <w:rPr>
          <w:rFonts w:ascii="Garamond" w:hAnsi="Garamond"/>
          <w:sz w:val="20"/>
        </w:rPr>
        <w:t xml:space="preserve"> See supra note 20.</w:t>
      </w:r>
    </w:p>
  </w:footnote>
  <w:footnote w:id="66">
    <w:p>
      <w:pPr>
        <w:pStyle w:val="FootnoteText"/>
      </w:pPr>
      <w:r>
        <w:rPr>
          <w:rStyle w:val="FootnoteReference"/>
          <w:rFonts w:ascii="Garamond" w:hAnsi="Garamond"/>
          <w:sz w:val="20"/>
        </w:rPr>
        <w:footnoteRef/>
      </w:r>
      <w:r>
        <w:rPr>
          <w:rFonts w:ascii="Garamond" w:hAnsi="Garamond"/>
          <w:sz w:val="20"/>
        </w:rPr>
        <w:t xml:space="preserve"> Eric Seymour, Taylor Shelton, Stephen Averill Sherman &amp; Joshua Akers, The Metropolitan and Neighborhood Geographies of REIT- and Private Equity-Owned Single-Family Rentals, J. Urb. Aff. (2023), https://doi.org/10.1080/07352166.2023.2247446.</w:t>
      </w:r>
    </w:p>
  </w:footnote>
  <w:footnote w:id="67">
    <w:p>
      <w:pPr>
        <w:pStyle w:val="FootnoteText"/>
      </w:pPr>
      <w:r>
        <w:rPr>
          <w:rStyle w:val="FootnoteReference"/>
          <w:rFonts w:ascii="Garamond" w:hAnsi="Garamond"/>
          <w:sz w:val="20"/>
        </w:rPr>
        <w:footnoteRef/>
      </w:r>
      <w:r>
        <w:rPr>
          <w:rFonts w:ascii="Garamond" w:hAnsi="Garamond"/>
          <w:sz w:val="20"/>
        </w:rPr>
        <w:t xml:space="preserve"> Robert Call, Post-Crisis Investment in Single-Family Homes in Fulton County, Georgia (Feb. 2017) (M.C.P. thesis, Mass. Inst. of Tech.), https://dspace.mit.edu/handle/1721.1/108899.</w:t>
      </w:r>
    </w:p>
  </w:footnote>
  <w:footnote w:id="68">
    <w:p>
      <w:pPr>
        <w:pStyle w:val="FootnoteText"/>
      </w:pPr>
      <w:r>
        <w:rPr>
          <w:rStyle w:val="FootnoteReference"/>
          <w:rFonts w:ascii="Garamond" w:hAnsi="Garamond"/>
          <w:sz w:val="20"/>
        </w:rPr>
        <w:footnoteRef/>
      </w:r>
      <w:r>
        <w:rPr>
          <w:rFonts w:ascii="Garamond" w:hAnsi="Garamond"/>
          <w:sz w:val="20"/>
        </w:rPr>
        <w:t xml:space="preserve"> Ken Chilton, Robert Silverman, Rabia Chaudhry &amp; Chihaungji Wang, The Impact of Single-Family Rental REITs on Regional Housing Markets: A Case Study of Nashville, TN, 8 Societies 93 (2018), https://doi.org/10.3390/soc8040093; Harun &amp; Chilton, Do Corporate Landlords Target Growing African American Neighborhoods in Nashville, TN? (2025 preprint, on file).</w:t>
      </w:r>
    </w:p>
  </w:footnote>
  <w:footnote w:id="69">
    <w:p>
      <w:pPr>
        <w:pStyle w:val="FootnoteText"/>
      </w:pPr>
      <w:r>
        <w:rPr>
          <w:rStyle w:val="FootnoteReference"/>
          <w:rFonts w:ascii="Garamond" w:hAnsi="Garamond"/>
          <w:sz w:val="20"/>
        </w:rPr>
        <w:footnoteRef/>
      </w:r>
      <w:r>
        <w:rPr>
          <w:rFonts w:ascii="Garamond" w:hAnsi="Garamond"/>
          <w:sz w:val="20"/>
        </w:rPr>
        <w:t xml:space="preserve"> Andrea Eisfeldt &amp; Andrew Demers, Total Returns to Single-Family Rentals (Nat'l Bureau of Econ. Rsch., Working Paper No. 21804, Dec. 2015, rev. May 2021), https://www.nber.org/papers/w21804.</w:t>
      </w:r>
    </w:p>
  </w:footnote>
  <w:footnote w:id="70">
    <w:p>
      <w:pPr>
        <w:pStyle w:val="FootnoteText"/>
      </w:pPr>
      <w:r>
        <w:rPr>
          <w:rStyle w:val="FootnoteReference"/>
          <w:rFonts w:ascii="Garamond" w:hAnsi="Garamond"/>
          <w:sz w:val="20"/>
        </w:rPr>
        <w:footnoteRef/>
      </w:r>
      <w:r>
        <w:rPr>
          <w:rFonts w:ascii="Garamond" w:hAnsi="Garamond"/>
          <w:sz w:val="20"/>
        </w:rPr>
        <w:t xml:space="preserve"> Edelman, Gordon &amp; Sanchez, supra note 13.</w:t>
      </w:r>
    </w:p>
  </w:footnote>
  <w:footnote w:id="71">
    <w:p>
      <w:pPr>
        <w:pStyle w:val="FootnoteText"/>
      </w:pPr>
      <w:r>
        <w:rPr>
          <w:rStyle w:val="FootnoteReference"/>
          <w:rFonts w:ascii="Garamond" w:hAnsi="Garamond"/>
          <w:sz w:val="20"/>
        </w:rPr>
        <w:footnoteRef/>
      </w:r>
      <w:r>
        <w:rPr>
          <w:rFonts w:ascii="Garamond" w:hAnsi="Garamond"/>
          <w:sz w:val="20"/>
        </w:rPr>
        <w:t xml:space="preserve"> Jessica Lee Rutledge, Profile of Single-Family Renters (Amherst Mkt. Insights, Nov. 2021), https://www.amherst.com/insights/profile-of-single-family-renters/.</w:t>
      </w:r>
    </w:p>
  </w:footnote>
  <w:footnote w:id="72">
    <w:p>
      <w:pPr>
        <w:pStyle w:val="FootnoteText"/>
      </w:pPr>
      <w:r>
        <w:rPr>
          <w:rStyle w:val="FootnoteReference"/>
          <w:rFonts w:ascii="Garamond" w:hAnsi="Garamond"/>
          <w:sz w:val="20"/>
        </w:rPr>
        <w:footnoteRef/>
      </w:r>
      <w:r>
        <w:rPr>
          <w:rFonts w:ascii="Garamond" w:hAnsi="Garamond"/>
          <w:sz w:val="20"/>
        </w:rPr>
        <w:t xml:space="preserve"> Kevin Erdmann, Getting Corporate Money Out of Single-Family Homes Won't Help the Housing Affordability Crisis (Mercatus Ctr., Pol'y Brief, Apr. 2024), https://www.mercatus.org/research/policy-briefs/getting-corporate-money-out-single-family-homes-wont-help-housing</w:t>
      </w:r>
    </w:p>
  </w:footnote>
  <w:footnote w:id="73">
    <w:p>
      <w:pPr>
        <w:pStyle w:val="FootnoteText"/>
      </w:pPr>
      <w:r>
        <w:rPr>
          <w:rStyle w:val="FootnoteReference"/>
          <w:rFonts w:ascii="Garamond" w:hAnsi="Garamond"/>
          <w:sz w:val="20"/>
        </w:rPr>
        <w:footnoteRef/>
      </w:r>
      <w:r>
        <w:rPr>
          <w:rFonts w:ascii="Garamond" w:hAnsi="Garamond"/>
          <w:sz w:val="20"/>
        </w:rPr>
        <w:t xml:space="preserve"> Manuel B. Aalbers, The Financialization of Housing: A Political Economy Approach (Routledge 2016); Desiree Fields, Unwilling Subjects of Financialization, 41 Int'l J. Urb. &amp; Reg'l Rsch. 588 (2017), https://doi.org/10.1111/1468-2427.12519.</w:t>
      </w:r>
    </w:p>
  </w:footnote>
  <w:footnote w:id="74">
    <w:p>
      <w:pPr>
        <w:pStyle w:val="FootnoteText"/>
      </w:pPr>
      <w:r>
        <w:rPr>
          <w:rStyle w:val="FootnoteReference"/>
          <w:rFonts w:ascii="Garamond" w:hAnsi="Garamond"/>
          <w:sz w:val="20"/>
        </w:rPr>
        <w:footnoteRef/>
      </w:r>
      <w:r>
        <w:rPr>
          <w:rFonts w:ascii="Garamond" w:hAnsi="Garamond"/>
          <w:sz w:val="20"/>
        </w:rPr>
        <w:t xml:space="preserve"> See supra note 30.</w:t>
      </w:r>
    </w:p>
  </w:footnote>
  <w:footnote w:id="75">
    <w:p>
      <w:pPr>
        <w:pStyle w:val="FootnoteText"/>
      </w:pPr>
      <w:r>
        <w:rPr>
          <w:rStyle w:val="FootnoteReference"/>
          <w:rFonts w:ascii="Garamond" w:hAnsi="Garamond"/>
          <w:sz w:val="20"/>
        </w:rPr>
        <w:footnoteRef/>
      </w:r>
      <w:r>
        <w:rPr>
          <w:rFonts w:ascii="Garamond" w:hAnsi="Garamond"/>
          <w:sz w:val="20"/>
        </w:rPr>
        <w:t xml:space="preserve"> An, supra note 5.</w:t>
      </w:r>
    </w:p>
  </w:footnote>
  <w:footnote w:id="76">
    <w:p>
      <w:pPr>
        <w:pStyle w:val="FootnoteText"/>
      </w:pPr>
      <w:r>
        <w:rPr>
          <w:rStyle w:val="FootnoteReference"/>
          <w:rFonts w:ascii="Garamond" w:hAnsi="Garamond"/>
          <w:sz w:val="20"/>
        </w:rPr>
        <w:footnoteRef/>
      </w:r>
      <w:r>
        <w:rPr>
          <w:rFonts w:ascii="Garamond" w:hAnsi="Garamond"/>
          <w:sz w:val="20"/>
        </w:rPr>
        <w:t xml:space="preserve"> Shelton &amp; Seymour, supra note 5.</w:t>
      </w:r>
    </w:p>
  </w:footnote>
  <w:footnote w:id="77">
    <w:p>
      <w:pPr>
        <w:pStyle w:val="FootnoteText"/>
      </w:pPr>
      <w:r>
        <w:rPr>
          <w:rStyle w:val="FootnoteReference"/>
          <w:rFonts w:ascii="Garamond" w:hAnsi="Garamond"/>
          <w:sz w:val="20"/>
        </w:rPr>
        <w:footnoteRef/>
      </w:r>
      <w:r>
        <w:rPr>
          <w:rFonts w:ascii="Garamond" w:hAnsi="Garamond"/>
          <w:sz w:val="20"/>
        </w:rPr>
        <w:t xml:space="preserve"> Lei Ding, Sisi Zhang &amp; Mckenzie Diep, Ownership Profile of Single-Family Residence Properties in Philadelphia: A Focus on Large Corporate Investors, Fed. Rsrv. Bank of Phila. (Feb. 2025), https://www.philadelphiafed.org/community-development/housing-and-neighborhoods/ownership-profile-of-single-family-residence-properties-in-philadelphia-large-corporate-investors; Lauren Lambie-Hanson, Wenli Li &amp; Michael Slonkosky, Leaving Households Behind: Institutional Investors and the U.S. Housing Recovery, Fed. Rsrv. Bank of Phila. Working Paper No. 19-01 (2019), https://doi.org/10.21799/frbp.wp.2019.01; Lauren Lambie-Hanson, Wenli Li &amp; Michael Slonkosky, Institutional Investors and the U.S. Housing Recovery, Working Paper No. 19-45 (2019), https://doi.org/10.21799/frbp.wp.2019.45.</w:t>
      </w:r>
    </w:p>
  </w:footnote>
  <w:footnote w:id="78">
    <w:p>
      <w:pPr>
        <w:pStyle w:val="FootnoteText"/>
      </w:pPr>
      <w:r>
        <w:rPr>
          <w:rStyle w:val="FootnoteReference"/>
          <w:rFonts w:ascii="Garamond" w:hAnsi="Garamond"/>
          <w:sz w:val="20"/>
        </w:rPr>
        <w:footnoteRef/>
      </w:r>
      <w:r>
        <w:rPr>
          <w:rFonts w:ascii="Garamond" w:hAnsi="Garamond"/>
          <w:sz w:val="20"/>
        </w:rPr>
        <w:t xml:space="preserve"> Elora L. Raymond et al., Corporate Landlords, Institutional Investors, and Displacement: Eviction Rates in Single-Family Rentals, Fed. Rsrv. Bank of Atlanta, Cmty. &amp; Econ. Dev. Discussion Paper Series (2016), https://papers.ssrn.com/sol3/papers.cfm?abstract_id=2893552.</w:t>
      </w:r>
    </w:p>
  </w:footnote>
  <w:footnote w:id="79">
    <w:p>
      <w:pPr>
        <w:pStyle w:val="FootnoteText"/>
      </w:pPr>
      <w:r>
        <w:rPr>
          <w:rStyle w:val="FootnoteReference"/>
          <w:rFonts w:ascii="Garamond" w:hAnsi="Garamond"/>
          <w:sz w:val="20"/>
        </w:rPr>
        <w:footnoteRef/>
      </w:r>
      <w:r>
        <w:rPr>
          <w:rFonts w:ascii="Garamond" w:hAnsi="Garamond"/>
          <w:sz w:val="20"/>
        </w:rPr>
        <w:t xml:space="preserve"> U.S. Gov't Accountability Off., GAO-24-106643, Rental Housing: Information on Institutional Investment in Single-Family Homes (May 22, 2024), https://www.gao.gov/products/gao-24-106643.</w:t>
      </w:r>
    </w:p>
  </w:footnote>
  <w:footnote w:id="80">
    <w:p>
      <w:pPr>
        <w:pStyle w:val="FootnoteText"/>
      </w:pPr>
      <w:r>
        <w:rPr>
          <w:rStyle w:val="FootnoteReference"/>
          <w:rFonts w:ascii="Garamond" w:hAnsi="Garamond"/>
          <w:sz w:val="20"/>
        </w:rPr>
        <w:footnoteRef/>
      </w:r>
      <w:r>
        <w:rPr>
          <w:rFonts w:ascii="Garamond" w:hAnsi="Garamond"/>
          <w:sz w:val="20"/>
        </w:rPr>
        <w:t xml:space="preserve"> See supra note 26.</w:t>
      </w:r>
    </w:p>
  </w:footnote>
  <w:footnote w:id="81">
    <w:p>
      <w:pPr>
        <w:pStyle w:val="FootnoteText"/>
      </w:pPr>
      <w:r>
        <w:rPr>
          <w:rStyle w:val="FootnoteReference"/>
          <w:rFonts w:ascii="Garamond" w:hAnsi="Garamond"/>
          <w:sz w:val="20"/>
        </w:rPr>
        <w:footnoteRef/>
      </w:r>
      <w:r>
        <w:rPr>
          <w:rFonts w:ascii="Garamond" w:hAnsi="Garamond"/>
          <w:sz w:val="20"/>
        </w:rPr>
        <w:t xml:space="preserve"> See supra note 19.</w:t>
      </w:r>
    </w:p>
  </w:footnote>
  <w:footnote w:id="82">
    <w:p>
      <w:pPr>
        <w:pStyle w:val="FootnoteText"/>
      </w:pPr>
      <w:r>
        <w:rPr>
          <w:rStyle w:val="FootnoteReference"/>
          <w:rFonts w:ascii="Garamond" w:hAnsi="Garamond"/>
          <w:sz w:val="20"/>
        </w:rPr>
        <w:footnoteRef/>
      </w:r>
      <w:r>
        <w:rPr>
          <w:rFonts w:ascii="Garamond" w:hAnsi="Garamond"/>
          <w:sz w:val="20"/>
        </w:rPr>
        <w:t xml:space="preserve"> SEC EDGAR full index, full-text search, and submissions endpoints, supra note 6; stage counts from the pipeline's methodology log, reproduced in the companion methods document with per-stage endpoints and parameters.</w:t>
      </w:r>
    </w:p>
  </w:footnote>
  <w:footnote w:id="83">
    <w:p>
      <w:pPr>
        <w:pStyle w:val="FootnoteText"/>
      </w:pPr>
      <w:r>
        <w:rPr>
          <w:rStyle w:val="FootnoteReference"/>
          <w:rFonts w:ascii="Garamond" w:hAnsi="Garamond"/>
          <w:sz w:val="20"/>
        </w:rPr>
        <w:footnoteRef/>
      </w:r>
      <w:r>
        <w:rPr>
          <w:rFonts w:ascii="Garamond" w:hAnsi="Garamond"/>
          <w:sz w:val="20"/>
        </w:rPr>
        <w:t xml:space="preserve"> Davidson County ownership history and assessment history, ParcelHistory MapServer layers 2 and 6, supra note 6. Instrument references follow the county's format (e.g., QC-20220708 0079027).</w:t>
      </w:r>
    </w:p>
  </w:footnote>
  <w:footnote w:id="84">
    <w:p>
      <w:pPr>
        <w:pStyle w:val="FootnoteText"/>
      </w:pPr>
      <w:r>
        <w:rPr>
          <w:rStyle w:val="FootnoteReference"/>
          <w:rFonts w:ascii="Garamond" w:hAnsi="Garamond"/>
          <w:sz w:val="20"/>
        </w:rPr>
        <w:footnoteRef/>
      </w:r>
      <w:r>
        <w:rPr>
          <w:rFonts w:ascii="Garamond" w:hAnsi="Garamond"/>
          <w:sz w:val="20"/>
        </w:rPr>
        <w:t xml:space="preserve"> U.S. Census Bureau, American Community Survey 5-year estimates, vintages 2007-2011 through 2020-2024, matched by midpoint to each event's loan year; parcel-joined vintage files published in the online data appendix. Five-year estimates are used because 1-year ACS does not exist for most tracts and carries larger errors.</w:t>
      </w:r>
    </w:p>
  </w:footnote>
  <w:footnote w:id="85">
    <w:p>
      <w:pPr>
        <w:pStyle w:val="FootnoteText"/>
      </w:pPr>
      <w:r>
        <w:rPr>
          <w:rStyle w:val="FootnoteReference"/>
          <w:rFonts w:ascii="Garamond" w:hAnsi="Garamond"/>
          <w:sz w:val="20"/>
        </w:rPr>
        <w:footnoteRef/>
      </w:r>
      <w:r>
        <w:rPr>
          <w:rFonts w:ascii="Garamond" w:hAnsi="Garamond"/>
          <w:sz w:val="20"/>
        </w:rPr>
        <w:t xml:space="preserve"> Freddie Mac, supra note 23; the deal-by-deal validation table is published in the online data appendix. The Freddie list covers rated deals only and stops in 2018, so it floors rather than caps the universe.</w:t>
      </w:r>
    </w:p>
  </w:footnote>
  <w:footnote w:id="86">
    <w:p>
      <w:pPr>
        <w:pStyle w:val="FootnoteText"/>
      </w:pPr>
      <w:r>
        <w:rPr>
          <w:rStyle w:val="FootnoteReference"/>
          <w:rFonts w:ascii="Garamond" w:hAnsi="Garamond"/>
          <w:sz w:val="20"/>
        </w:rPr>
        <w:footnoteRef/>
      </w:r>
      <w:r>
        <w:rPr>
          <w:rFonts w:ascii="Garamond" w:hAnsi="Garamond"/>
          <w:sz w:val="20"/>
        </w:rPr>
        <w:t xml:space="preserve"> Davidson ownership history distinct-name query, https://maps.nashville.gov/arcgis2/rest/services/Parcels/ParcelHistory/MapServer/2/query?where=name+like+%27%25borrow%25%27&amp;outFields=name&amp;returnGeometry=false&amp;returnDistinctValues=true&amp;f=html.</w:t>
      </w:r>
    </w:p>
  </w:footnote>
  <w:footnote w:id="87">
    <w:p>
      <w:pPr>
        <w:pStyle w:val="FootnoteText"/>
      </w:pPr>
      <w:r>
        <w:rPr>
          <w:rStyle w:val="FootnoteReference"/>
          <w:rFonts w:ascii="Garamond" w:hAnsi="Garamond"/>
          <w:sz w:val="20"/>
        </w:rPr>
        <w:footnoteRef/>
      </w:r>
      <w:r>
        <w:rPr>
          <w:rFonts w:ascii="Garamond" w:hAnsi="Garamond"/>
          <w:sz w:val="20"/>
        </w:rPr>
        <w:t xml:space="preserve"> Match and convergence counts from the pipeline's methodology log; the two routes are the borrower-entity ownership match and the per-deal quitclaim bundles (zero symmetric difference, verified July 15, 2026). Earlier counts from other routes (1,695 by owner-name keyword; 1,883 and 1,837 from pre-pipeline scans) are superseded near-misses of this number.</w:t>
      </w:r>
    </w:p>
  </w:footnote>
  <w:footnote w:id="88">
    <w:p>
      <w:pPr>
        <w:pStyle w:val="FootnoteText"/>
      </w:pPr>
      <w:r>
        <w:rPr>
          <w:rStyle w:val="FootnoteReference"/>
          <w:rFonts w:ascii="Garamond" w:hAnsi="Garamond"/>
          <w:sz w:val="20"/>
        </w:rPr>
        <w:footnoteRef/>
      </w:r>
      <w:r>
        <w:rPr>
          <w:rFonts w:ascii="Garamond" w:hAnsi="Garamond"/>
          <w:sz w:val="20"/>
        </w:rPr>
        <w:t xml:space="preserve"> See supra note 87.</w:t>
      </w:r>
    </w:p>
  </w:footnote>
  <w:footnote w:id="89">
    <w:p>
      <w:pPr>
        <w:pStyle w:val="FootnoteText"/>
      </w:pPr>
      <w:r>
        <w:rPr>
          <w:rStyle w:val="FootnoteReference"/>
          <w:rFonts w:ascii="Garamond" w:hAnsi="Garamond"/>
          <w:sz w:val="20"/>
        </w:rPr>
        <w:footnoteRef/>
      </w:r>
      <w:r>
        <w:rPr>
          <w:rFonts w:ascii="Garamond" w:hAnsi="Garamond"/>
          <w:sz w:val="20"/>
        </w:rPr>
        <w:t xml:space="preserve"> Window parameters and pass rates per the methodology log; 86 parcels appear in two deals and one in three.</w:t>
      </w:r>
    </w:p>
  </w:footnote>
  <w:footnote w:id="90">
    <w:p>
      <w:pPr>
        <w:pStyle w:val="FootnoteText"/>
      </w:pPr>
      <w:r>
        <w:rPr>
          <w:rStyle w:val="FootnoteReference"/>
          <w:rFonts w:ascii="Garamond" w:hAnsi="Garamond"/>
          <w:sz w:val="20"/>
        </w:rPr>
        <w:footnoteRef/>
      </w:r>
      <w:r>
        <w:rPr>
          <w:rFonts w:ascii="Garamond" w:hAnsi="Garamond"/>
          <w:sz w:val="20"/>
        </w:rPr>
        <w:t xml:space="preserve"> Davidson County assessment history, supra note 6 (2,940 parcel-year rows; loan-year and 2025 reappraisal-roll values).</w:t>
      </w:r>
    </w:p>
  </w:footnote>
  <w:footnote w:id="91">
    <w:p>
      <w:pPr>
        <w:pStyle w:val="FootnoteText"/>
      </w:pPr>
      <w:r>
        <w:rPr>
          <w:rStyle w:val="FootnoteReference"/>
          <w:rFonts w:ascii="Garamond" w:hAnsi="Garamond"/>
          <w:sz w:val="20"/>
        </w:rPr>
        <w:footnoteRef/>
      </w:r>
      <w:r>
        <w:rPr>
          <w:rFonts w:ascii="Garamond" w:hAnsi="Garamond"/>
          <w:sz w:val="20"/>
        </w:rPr>
        <w:t xml:space="preserve"> Limitations per the companion methods record: the SEC-disclosed floor, the crosswalk rule for renames (the TENAX pattern), the appraisal lag, the name-match residue, and the broadcast deed-of-trust allocation ($11.56 million across thirteen properties, not reported per home).</w:t>
      </w:r>
    </w:p>
  </w:footnote>
  <w:footnote w:id="92">
    <w:p>
      <w:pPr>
        <w:pStyle w:val="FootnoteText"/>
      </w:pPr>
      <w:r>
        <w:rPr>
          <w:rStyle w:val="FootnoteReference"/>
          <w:rFonts w:ascii="Garamond" w:hAnsi="Garamond"/>
          <w:sz w:val="20"/>
        </w:rPr>
        <w:footnoteRef/>
      </w:r>
      <w:r>
        <w:rPr>
          <w:rFonts w:ascii="Garamond" w:hAnsi="Garamond"/>
          <w:sz w:val="20"/>
        </w:rPr>
        <w:t xml:space="preserve"> The join-verification rule (inspect both files' key fields before every join, map them explicitly, verify known parcels, report matched versus unmatched) per the methodology log; the first tract join returned 0 of 1,833 before the rule and 1,833 of 1,833 after.</w:t>
      </w:r>
    </w:p>
  </w:footnote>
  <w:footnote w:id="93">
    <w:p>
      <w:pPr>
        <w:pStyle w:val="FootnoteText"/>
      </w:pPr>
      <w:r>
        <w:rPr>
          <w:rStyle w:val="FootnoteReference"/>
          <w:rFonts w:ascii="Garamond" w:hAnsi="Garamond"/>
          <w:sz w:val="20"/>
        </w:rPr>
        <w:footnoteRef/>
      </w:r>
      <w:r>
        <w:rPr>
          <w:rFonts w:ascii="Garamond" w:hAnsi="Garamond"/>
          <w:sz w:val="20"/>
        </w:rPr>
        <w:t xml:space="preserve"> See supra note 51.</w:t>
      </w:r>
    </w:p>
  </w:footnote>
  <w:footnote w:id="94">
    <w:p>
      <w:pPr>
        <w:pStyle w:val="FootnoteText"/>
      </w:pPr>
      <w:r>
        <w:rPr>
          <w:rStyle w:val="FootnoteReference"/>
          <w:rFonts w:ascii="Garamond" w:hAnsi="Garamond"/>
          <w:sz w:val="20"/>
        </w:rPr>
        <w:footnoteRef/>
      </w:r>
      <w:r>
        <w:rPr>
          <w:rFonts w:ascii="Garamond" w:hAnsi="Garamond"/>
          <w:sz w:val="20"/>
        </w:rPr>
        <w:t xml:space="preserve"> Computed from vintage-matched ACS 5-year estimates and the securitized-parcel file; Tables A-2 and A-4. Racial composition from the 2020-2024 vintage (the disparity is stable across vintages; 31.5 against 19.6 percent in 2007-2011); cost-burden flags from the ACS renter cost-burden series (1,116 of 1,833 homes in majority-cost-burdened tracts).</w:t>
      </w:r>
    </w:p>
  </w:footnote>
  <w:footnote w:id="95">
    <w:p>
      <w:pPr>
        <w:pStyle w:val="FootnoteText"/>
      </w:pPr>
      <w:r>
        <w:rPr>
          <w:rStyle w:val="FootnoteReference"/>
          <w:rFonts w:ascii="Garamond" w:hAnsi="Garamond"/>
          <w:sz w:val="20"/>
        </w:rPr>
        <w:footnoteRef/>
      </w:r>
      <w:r>
        <w:rPr>
          <w:rFonts w:ascii="Garamond" w:hAnsi="Garamond"/>
          <w:sz w:val="20"/>
        </w:rPr>
        <w:t xml:space="preserve"> See supra note 94.</w:t>
      </w:r>
    </w:p>
  </w:footnote>
  <w:footnote w:id="96">
    <w:p>
      <w:pPr>
        <w:pStyle w:val="FootnoteText"/>
      </w:pPr>
      <w:r>
        <w:rPr>
          <w:rStyle w:val="FootnoteReference"/>
          <w:rFonts w:ascii="Garamond" w:hAnsi="Garamond"/>
          <w:sz w:val="20"/>
        </w:rPr>
        <w:footnoteRef/>
      </w:r>
      <w:r>
        <w:rPr>
          <w:rFonts w:ascii="Garamond" w:hAnsi="Garamond"/>
          <w:sz w:val="20"/>
        </w:rPr>
        <w:t xml:space="preserve"> Author's calculation on the 1,833-parcel securitized file (October 19, 2026 re-run): parcels held by Progress Residential Borrower 1 through 12 (352) and 13 through 25 (281), each joined to its tract's median household income in the American Community Survey 2020 to 2024 five-year estimates, https://api.census.gov/data/2024/acs/acs5. Parcel-weighted means $90,294 and $84,128; tract medians $83,183 and $81,722. An earlier May 2026 run on a superseded roster reported a 10.3 percent step; the direction holds on the canonical file at a smaller magnitude.</w:t>
      </w:r>
    </w:p>
  </w:footnote>
  <w:footnote w:id="97">
    <w:p>
      <w:pPr>
        <w:pStyle w:val="FootnoteText"/>
      </w:pPr>
      <w:r>
        <w:rPr>
          <w:rStyle w:val="FootnoteReference"/>
          <w:rFonts w:ascii="Garamond" w:hAnsi="Garamond"/>
          <w:sz w:val="20"/>
        </w:rPr>
        <w:footnoteRef/>
      </w:r>
      <w:r>
        <w:rPr>
          <w:rFonts w:ascii="Garamond" w:hAnsi="Garamond"/>
          <w:sz w:val="20"/>
        </w:rPr>
        <w:t xml:space="preserve"> Exit, assignment, and lender counts per the deed-record match, Section 4.C and Table A-5; insurer instruments supra note 28.</w:t>
      </w:r>
    </w:p>
  </w:footnote>
  <w:footnote w:id="98">
    <w:p>
      <w:pPr>
        <w:pStyle w:val="FootnoteText"/>
      </w:pPr>
      <w:r>
        <w:rPr>
          <w:rStyle w:val="FootnoteReference"/>
          <w:rFonts w:ascii="Garamond" w:hAnsi="Garamond"/>
          <w:sz w:val="20"/>
        </w:rPr>
        <w:footnoteRef/>
      </w:r>
      <w:r>
        <w:rPr>
          <w:rFonts w:ascii="Garamond" w:hAnsi="Garamond"/>
          <w:sz w:val="20"/>
        </w:rPr>
        <w:t xml:space="preserve"> Author's calculation from the county assessment history and the securitized-parcel file; Table A-3. Values are county-roll floors.</w:t>
      </w:r>
    </w:p>
  </w:footnote>
  <w:footnote w:id="99">
    <w:p>
      <w:pPr>
        <w:pStyle w:val="FootnoteText"/>
      </w:pPr>
      <w:r>
        <w:rPr>
          <w:rStyle w:val="FootnoteReference"/>
          <w:rFonts w:ascii="Garamond" w:hAnsi="Garamond"/>
          <w:sz w:val="20"/>
        </w:rPr>
        <w:footnoteRef/>
      </w:r>
      <w:r>
        <w:rPr>
          <w:rFonts w:ascii="Garamond" w:hAnsi="Garamond"/>
          <w:sz w:val="20"/>
        </w:rPr>
        <w:t xml:space="preserve"> Computed from the ACS DP04 profile series (five 5-year vintages, 2007-2011 through 2020-2024), single-family-detached renter-occupancy share, securitized-parcel-weighted mean over the securitized tracts against the county tract median: 12.8 against 16.0 percent (2007-2011); 18.5 against 16.4 percent (2020-2024). The comparison spans the 2010-to-2020 tract boundary change (89 matched tracts in the early vintages, 107 after); the direction and the crossover hold across the boundary set while the point estimates shift slightly with it.</w:t>
      </w:r>
    </w:p>
  </w:footnote>
  <w:footnote w:id="100">
    <w:p>
      <w:pPr>
        <w:pStyle w:val="FootnoteText"/>
      </w:pPr>
      <w:r>
        <w:rPr>
          <w:rStyle w:val="FootnoteReference"/>
          <w:rFonts w:ascii="Garamond" w:hAnsi="Garamond"/>
          <w:sz w:val="20"/>
        </w:rPr>
        <w:footnoteRef/>
      </w:r>
      <w:r>
        <w:rPr>
          <w:rFonts w:ascii="Garamond" w:hAnsi="Garamond"/>
          <w:sz w:val="20"/>
        </w:rPr>
        <w:t xml:space="preserve"> Disclosure counts from the complete ABS-15G exhibit parse (695,174 rental-deal schedule rows after excluding 1,164,411 RMBS/mortgage rows); the Ristau Court instruments, supra note 1; the $0-consideration recital, supra note 63.</w:t>
      </w:r>
    </w:p>
  </w:footnote>
  <w:footnote w:id="101">
    <w:p>
      <w:pPr>
        <w:pStyle w:val="FootnoteText"/>
      </w:pPr>
      <w:r>
        <w:rPr>
          <w:rStyle w:val="FootnoteReference"/>
          <w:rFonts w:ascii="Garamond" w:hAnsi="Garamond"/>
          <w:sz w:val="20"/>
        </w:rPr>
        <w:footnoteRef/>
      </w:r>
      <w:r>
        <w:rPr>
          <w:rFonts w:ascii="Garamond" w:hAnsi="Garamond"/>
          <w:sz w:val="20"/>
        </w:rPr>
        <w:t xml:space="preserve"> Allocated-consideration and known-deal-size totals per the 122 borrower deal cards; Table A-5.</w:t>
      </w:r>
    </w:p>
  </w:footnote>
  <w:footnote w:id="102">
    <w:p>
      <w:pPr>
        <w:pStyle w:val="FootnoteText"/>
      </w:pPr>
      <w:r>
        <w:rPr>
          <w:rStyle w:val="FootnoteReference"/>
          <w:rFonts w:ascii="Garamond" w:hAnsi="Garamond"/>
          <w:sz w:val="20"/>
        </w:rPr>
        <w:footnoteRef/>
      </w:r>
      <w:r>
        <w:rPr>
          <w:rFonts w:ascii="Garamond" w:hAnsi="Garamond"/>
          <w:sz w:val="20"/>
        </w:rPr>
        <w:t xml:space="preserve"> American Residential Properties was absorbed by AMH in 2016, yet "ARP 2014-1 Borrower, LLC" still holds Davidson title; Tricon was taken private by Blackstone in 2024; Progress Residential's 2025 to 2026 vehicles record as "PR BORROWER 26" and "PR BORROWER 27."</w:t>
      </w:r>
    </w:p>
  </w:footnote>
  <w:footnote w:id="103">
    <w:p>
      <w:pPr>
        <w:pStyle w:val="FootnoteText"/>
      </w:pPr>
      <w:r>
        <w:rPr>
          <w:rStyle w:val="FootnoteReference"/>
          <w:rFonts w:ascii="Garamond" w:hAnsi="Garamond"/>
          <w:sz w:val="20"/>
        </w:rPr>
        <w:footnoteRef/>
      </w:r>
      <w:r>
        <w:rPr>
          <w:rFonts w:ascii="Garamond" w:hAnsi="Garamond"/>
          <w:sz w:val="20"/>
        </w:rPr>
        <w:t xml:space="preserve"> Lambie-Hanson, Li &amp; Slonkosky, supra note 42; An, supra note 5.</w:t>
      </w:r>
    </w:p>
  </w:footnote>
  <w:footnote w:id="104">
    <w:p>
      <w:pPr>
        <w:pStyle w:val="FootnoteText"/>
      </w:pPr>
      <w:r>
        <w:rPr>
          <w:rStyle w:val="FootnoteReference"/>
          <w:rFonts w:ascii="Garamond" w:hAnsi="Garamond"/>
          <w:sz w:val="20"/>
        </w:rPr>
        <w:footnoteRef/>
      </w:r>
      <w:r>
        <w:rPr>
          <w:rFonts w:ascii="Garamond" w:hAnsi="Garamond"/>
          <w:sz w:val="20"/>
        </w:rPr>
        <w:t xml:space="preserve"> U.S. Dep't of Hous. &amp; Urban Dev., Small Area Fair Market Rents and Income Limits, Nashville-Davidson-Murfreesboro-Franklin, TN MSA, program years 2017 to 2026, retrieved via the HUD User Datasets API, https://www.huduser.gov/hudapi/public/fmr/data/4703799999 and https://www.huduser.gov/hudapi/public/il/data/4703799999; the 30-percent standard follows 42 U.S.C. § 1437a(a)(1). Metro two-bedroom FMR rose from $959 (2017) to $1,730 (2026), 80 percent, against area median family income growth of 69 percent ($68,700 to $116,100).</w:t>
      </w:r>
    </w:p>
  </w:footnote>
  <w:footnote w:id="105">
    <w:p>
      <w:pPr>
        <w:pStyle w:val="FootnoteText"/>
      </w:pPr>
      <w:r>
        <w:rPr>
          <w:rStyle w:val="FootnoteReference"/>
          <w:rFonts w:ascii="Garamond" w:hAnsi="Garamond"/>
          <w:sz w:val="20"/>
        </w:rPr>
        <w:footnoteRef/>
      </w:r>
      <w:r>
        <w:rPr>
          <w:rFonts w:ascii="Garamond" w:hAnsi="Garamond"/>
          <w:sz w:val="20"/>
        </w:rPr>
        <w:t xml:space="preserve"> See supra note 104.</w:t>
      </w:r>
    </w:p>
  </w:footnote>
  <w:footnote w:id="106">
    <w:p>
      <w:pPr>
        <w:pStyle w:val="FootnoteText"/>
      </w:pPr>
      <w:r>
        <w:rPr>
          <w:rStyle w:val="FootnoteReference"/>
          <w:rFonts w:ascii="Garamond" w:hAnsi="Garamond"/>
          <w:sz w:val="20"/>
        </w:rPr>
        <w:footnoteRef/>
      </w:r>
      <w:r>
        <w:rPr>
          <w:rFonts w:ascii="Garamond" w:hAnsi="Garamond"/>
          <w:sz w:val="20"/>
        </w:rPr>
        <w:t xml:space="preserve"> See supra note 33.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