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aramond" w:hAnsi="Garamond"/>
          <w:b/>
          <w:sz w:val="28"/>
        </w:rPr>
        <w:t>WHAT COMES NEXT FOR NASHVILLE</w:t>
      </w:r>
    </w:p>
    <w:p>
      <w:pPr>
        <w:jc w:val="center"/>
      </w:pPr>
      <w:r>
        <w:rPr>
          <w:rFonts w:ascii="Garamond" w:hAnsi="Garamond"/>
          <w:i/>
          <w:sz w:val="24"/>
        </w:rPr>
        <w:t>Series Conclusion</w:t>
      </w:r>
    </w:p>
    <w:p>
      <w:pPr>
        <w:jc w:val="center"/>
      </w:pPr>
      <w:r>
        <w:rPr>
          <w:rFonts w:ascii="Garamond" w:hAnsi="Garamond"/>
          <w:i/>
          <w:sz w:val="22"/>
        </w:rPr>
        <w:t>By Natalie Baldacci</w:t>
      </w:r>
    </w:p>
    <w:p>
      <w:pPr>
        <w:spacing w:line="480" w:lineRule="auto" w:before="0" w:after="0"/>
        <w:ind w:firstLine="720"/>
      </w:pPr>
      <w:r>
        <w:rPr>
          <w:rFonts w:ascii="Garamond" w:hAnsi="Garamond"/>
          <w:i/>
        </w:rPr>
        <w:t>Conclusion to the series</w:t>
      </w:r>
      <w:r>
        <w:rPr>
          <w:rFonts w:ascii="Garamond" w:hAnsi="Garamond"/>
        </w:rPr>
        <w:t xml:space="preserve"> Who Owns Nashville? Wall Street's Quiet Takeover of a City's Housing Market</w:t>
      </w:r>
    </w:p>
    <w:p>
      <w:pPr>
        <w:pStyle w:val="Heading1"/>
        <w:spacing w:before="360"/>
      </w:pPr>
      <w:r>
        <w:t>Introduction</w:t>
      </w:r>
    </w:p>
    <w:p>
      <w:pPr>
        <w:spacing w:line="480" w:lineRule="auto" w:before="0" w:after="0"/>
        <w:ind w:firstLine="720"/>
      </w:pPr>
      <w:r>
        <w:rPr>
          <w:rFonts w:ascii="Garamond" w:hAnsi="Garamond"/>
        </w:rPr>
        <w:t>On July 11, 2026, the 21st Century ROAD to Housing Act became law without the President's signature.</w:t>
      </w:r>
      <w:r>
        <w:rPr>
          <w:rStyle w:val="FootnoteReference"/>
        </w:rPr>
        <w:footnoteReference w:id="1"/>
      </w:r>
      <w:r>
        <w:rPr>
          <w:rFonts w:ascii="Garamond" w:hAnsi="Garamond"/>
        </w:rPr>
        <w:t xml:space="preserve"> Section 1001 bars any for-profit entity controlling 350 or more single-family homes from purchasing another one.</w:t>
      </w:r>
      <w:r>
        <w:rPr>
          <w:rStyle w:val="FootnoteReference"/>
        </w:rPr>
        <w:footnoteReference w:id="2"/>
      </w:r>
      <w:r>
        <w:rPr>
          <w:rFonts w:ascii="Garamond" w:hAnsi="Garamond"/>
        </w:rPr>
        <w:t xml:space="preserve"> The Act backs the ban with a civil penalty of up to one million dollars per violation or three times the purchase price, whichever is greater, enforced by the Secretary of the Treasury, and the whole provision sunsets fifteen years after enactment.</w:t>
      </w:r>
      <w:r>
        <w:rPr>
          <w:rStyle w:val="FootnoteReference"/>
        </w:rPr>
        <w:footnoteReference w:id="3"/>
      </w:r>
      <w:r>
        <w:rPr>
          <w:rFonts w:ascii="Garamond" w:hAnsi="Garamond"/>
        </w:rPr>
        <w:t xml:space="preserve"> Congress wrote the statute for a national problem. This series tested it against a single county. Five Parts walked Davidson County's housing lifecycle backwards, from the rented house to the tenant's court record, to the building permit, to the land under it, to the capital behind all of it. Each Part measured one stage of that lifecycle at parcel resolution, using only public records: the county's cadastral, parcel-history, and permit services, the General Sessions detainer docket, the Register of Deeds, the Tennessee Secretary of State's corporate registry, the Census Bureau, and SEC EDGAR.</w:t>
      </w:r>
      <w:r>
        <w:rPr>
          <w:rStyle w:val="FootnoteReference"/>
        </w:rPr>
        <w:footnoteReference w:id="4"/>
      </w:r>
      <w:r>
        <w:rPr>
          <w:rFonts w:ascii="Garamond" w:hAnsi="Garamond"/>
        </w:rPr>
        <w:t xml:space="preserve"> Together they answer the question the series title asks. They also return a verdict on the statute, and the verdict points somewhere Congress did not look.</w:t>
      </w:r>
    </w:p>
    <w:p>
      <w:pPr>
        <w:pStyle w:val="Heading1"/>
        <w:spacing w:before="360"/>
      </w:pPr>
      <w:r>
        <w:t>The Five-Part Arc</w:t>
      </w:r>
    </w:p>
    <w:p>
      <w:pPr>
        <w:spacing w:line="480" w:lineRule="auto" w:before="0" w:after="0"/>
        <w:ind w:firstLine="720"/>
      </w:pPr>
      <w:r>
        <w:rPr>
          <w:rFonts w:ascii="Garamond" w:hAnsi="Garamond"/>
        </w:rPr>
        <w:t>Part I established the universe and the disguise. Davidson County holds 205,933 single-family homes under the Act's two-unit definition. Of these, 42,631 (20.7 percent) are not owner-occupied, and corporate entities own 16,615 (8.1 percent).</w:t>
      </w:r>
      <w:r>
        <w:rPr>
          <w:rStyle w:val="FootnoteReference"/>
        </w:rPr>
        <w:footnoteReference w:id="5"/>
      </w:r>
      <w:r>
        <w:rPr>
          <w:rFonts w:ascii="Garamond" w:hAnsi="Garamond"/>
        </w:rPr>
        <w:t xml:space="preserve"> Within that corporate slice, the named national operators hold 3,940 homes, nearly five times the 825 that Chilton and colleagues counted for the same county in 2015.</w:t>
      </w:r>
      <w:r>
        <w:rPr>
          <w:rStyle w:val="FootnoteReference"/>
        </w:rPr>
        <w:footnoteReference w:id="6"/>
      </w:r>
      <w:r>
        <w:rPr>
          <w:rFonts w:ascii="Garamond" w:hAnsi="Garamond"/>
        </w:rPr>
        <w:t xml:space="preserve"> Three operators clear the statute's 350-home line on their Davidson holdings alone: Progress Residential with 1,222 homes, American Homes 4 Rent with 1,173, and Amherst with 657. Tricon holds 276 and Starwood 251, both below the line in the county and both covered by their national portfolios.</w:t>
      </w:r>
      <w:r>
        <w:rPr>
          <w:rStyle w:val="FootnoteReference"/>
        </w:rPr>
        <w:footnoteReference w:id="7"/>
      </w:r>
      <w:r>
        <w:rPr>
          <w:rFonts w:ascii="Garamond" w:hAnsi="Garamond"/>
        </w:rPr>
        <w:t xml:space="preserve"> The rest of the corporate class fragments across 6,569 owner groups, three of which hold 17.8 percent of the entity-owned stock while 92 percent of them hold one to three homes, and the fragmentation has a geography.</w:t>
      </w:r>
      <w:r>
        <w:rPr>
          <w:rStyle w:val="FootnoteReference"/>
        </w:rPr>
        <w:footnoteReference w:id="8"/>
      </w:r>
      <w:r>
        <w:rPr>
          <w:rFonts w:ascii="Garamond" w:hAnsi="Garamond"/>
        </w:rPr>
        <w:t xml:space="preserve"> In the North Nashville tract where entities own a third of the homes, the named operators own none. It is local-company territory, invisible to any 350-home test.</w:t>
      </w:r>
      <w:r>
        <w:rPr>
          <w:rStyle w:val="FootnoteReference"/>
        </w:rPr>
        <w:footnoteReference w:id="9"/>
      </w:r>
    </w:p>
    <w:p>
      <w:pPr>
        <w:spacing w:line="480" w:lineRule="auto" w:before="0" w:after="0"/>
        <w:ind w:firstLine="720"/>
      </w:pPr>
      <w:r>
        <w:rPr>
          <w:rFonts w:ascii="Garamond" w:hAnsi="Garamond"/>
        </w:rPr>
        <w:t>Part II followed the tenant-facing record and found it thin. Metro's landlord registration program covers roughly a quarter of the county's likely single-family rental stock after twenty years of operation, the city has issued 2,300 registration violations since 2008, and sixteen of them name a large institutional investor.</w:t>
      </w:r>
      <w:r>
        <w:rPr>
          <w:rStyle w:val="FootnoteReference"/>
        </w:rPr>
        <w:footnoteReference w:id="10"/>
      </w:r>
      <w:r>
        <w:rPr>
          <w:rFonts w:ascii="Garamond" w:hAnsi="Garamond"/>
        </w:rPr>
        <w:t xml:space="preserve"> The record is bimodal, and the split follows business model rather than size: the scattered-acquisition operators register most of what they own, from My Community Homes at 100 of 100 parcels through Amherst at 87 percent and Progress at 71 percent, while American Homes 4 Rent lists 23 of 1,092 homes, Starwood two of 251, and Invitation Homes and VineBrook none.</w:t>
      </w:r>
      <w:r>
        <w:rPr>
          <w:rStyle w:val="FootnoteReference"/>
        </w:rPr>
        <w:footnoteReference w:id="11"/>
      </w:r>
      <w:r>
        <w:rPr>
          <w:rFonts w:ascii="Garamond" w:hAnsi="Garamond"/>
        </w:rPr>
        <w:t xml:space="preserve"> The eviction docket runs the other way. Of 2,049 detainer warrants with a named operator as plaintiff, Progress Residential filed 926 and Amherst's Main Street Renewal 609, and the two heaviest filers account for 74.9 percent of the identified institutional actions, assembled from dozens of shell-entity plaintiff names. American Homes 4 Rent, with more Nashville homes than Amherst, has filed four, all in 2013.</w:t>
      </w:r>
      <w:r>
        <w:rPr>
          <w:rStyle w:val="FootnoteReference"/>
        </w:rPr>
        <w:footnoteReference w:id="12"/>
      </w:r>
    </w:p>
    <w:p>
      <w:pPr>
        <w:spacing w:line="480" w:lineRule="auto" w:before="0" w:after="0"/>
        <w:ind w:firstLine="720"/>
      </w:pPr>
      <w:r>
        <w:rPr>
          <w:rFonts w:ascii="Garamond" w:hAnsi="Garamond"/>
        </w:rPr>
        <w:t>Part III found the channel the statute leaves open. Build-to-rent rose from zero in 2013 to 7.27 percent of the county's 2025 single-family building permits, 199 of 2,739, on the strict permit-series measure.</w:t>
      </w:r>
      <w:r>
        <w:rPr>
          <w:rStyle w:val="FootnoteReference"/>
        </w:rPr>
        <w:footnoteReference w:id="13"/>
      </w:r>
      <w:r>
        <w:rPr>
          <w:rFonts w:ascii="Garamond" w:hAnsi="Garamond"/>
        </w:rPr>
        <w:t xml:space="preserve"> Every national build-to-rent delivery model operates in the county: the vertically integrated operator that builds and holds its own subdivisions (American Homes 4 Rent), the fund that commissions a production builder (TPG Angelo Gordon with Meritage and Lennar, Crescent with David Weekley, Brookfield with Ashton Woods), the forward-flow purchase of a finished community in one deed (Porchlight East Hill, 42 homes for $25,016,333 in 2024), and the one-off disposition of for-sale product to a landlord (Century Communities' Hamilton Crossing to VineBrook, 106 parcels for $24.5 million).</w:t>
      </w:r>
      <w:r>
        <w:rPr>
          <w:rStyle w:val="FootnoteReference"/>
        </w:rPr>
        <w:footnoteReference w:id="14"/>
      </w:r>
      <w:r>
        <w:rPr>
          <w:rFonts w:ascii="Garamond" w:hAnsi="Garamond"/>
        </w:rPr>
        <w:t xml:space="preserve"> Section 1001(a)(2)(B) exempts every one of them by design. The subdivisions the operators capture were built by an industry that consolidated away from local hands, from a 48.9 percent local share of institutional construction in 2015 to 12.3 percent a decade later, and the current pipeline holds 1,537 platted lots across 73 communities under fourteen operators.</w:t>
      </w:r>
      <w:r>
        <w:rPr>
          <w:rStyle w:val="FootnoteReference"/>
        </w:rPr>
        <w:footnoteReference w:id="15"/>
      </w:r>
      <w:r>
        <w:rPr>
          <w:rFonts w:ascii="Garamond" w:hAnsi="Garamond"/>
        </w:rPr>
        <w:t xml:space="preserve"> The assessment roll registers the conversions before any disclosure does: the 2025 reappraisal moved unified rental communities from residential to commercial classification at 97.2 percent of ACPF's holdings and 93.7 percent of VineBrook's, against zero for Progress.</w:t>
      </w:r>
      <w:r>
        <w:rPr>
          <w:rStyle w:val="FootnoteReference"/>
        </w:rPr>
        <w:footnoteReference w:id="16"/>
      </w:r>
    </w:p>
    <w:p>
      <w:pPr>
        <w:spacing w:line="480" w:lineRule="auto" w:before="0" w:after="0"/>
        <w:ind w:firstLine="720"/>
      </w:pPr>
      <w:r>
        <w:rPr>
          <w:rFonts w:ascii="Garamond" w:hAnsi="Garamond"/>
        </w:rPr>
        <w:t>Part IV went upstream of the house entirely. Seventeen named land-bank and option vehicles held 1,444 Davidson parcels on June 24, 2026 and 993 on October 19, the difference being lots the builders took down in sixteen weeks, and nine recorded option agreements feed four national builders: Lennar, Meritage, Beazer, and Clayton.</w:t>
      </w:r>
      <w:r>
        <w:rPr>
          <w:rStyle w:val="FootnoteReference"/>
        </w:rPr>
        <w:footnoteReference w:id="17"/>
      </w:r>
      <w:r>
        <w:rPr>
          <w:rFonts w:ascii="Garamond" w:hAnsi="Garamond"/>
        </w:rPr>
        <w:t xml:space="preserve"> Institutional control of residential land runs through option agreements rather than title, the difference in the deed record between two recorded instruments and twenty-five.</w:t>
      </w:r>
      <w:r>
        <w:rPr>
          <w:rStyle w:val="FootnoteReference"/>
        </w:rPr>
        <w:footnoteReference w:id="18"/>
      </w:r>
      <w:r>
        <w:rPr>
          <w:rFonts w:ascii="Garamond" w:hAnsi="Garamond"/>
        </w:rPr>
        <w:t xml:space="preserve"> Of 136,605 Davidson parcels that began as vacant land, 43,361 remain vacant, 21,553 under a corporate name, and 9,118 have sat in the same corporate hands for a decade or more; the county has already approved 6,069 residential lots that no one has built on, and the median one has sat unbuilt for 20.6 years.</w:t>
      </w:r>
      <w:r>
        <w:rPr>
          <w:rStyle w:val="FootnoteReference"/>
        </w:rPr>
        <w:footnoteReference w:id="19"/>
      </w:r>
      <w:r>
        <w:rPr>
          <w:rFonts w:ascii="Garamond" w:hAnsi="Garamond"/>
        </w:rPr>
        <w:t xml:space="preserve"> The hold is a choice. American Homes 4 Rent, which earns nothing from idle land, moved from acquisition to plat in one to two years where the funds hold three to four, and the recorded deal chains show takedown spreads from 16 to 106 percent over the fund's cost.</w:t>
      </w:r>
      <w:r>
        <w:rPr>
          <w:rStyle w:val="FootnoteReference"/>
        </w:rPr>
        <w:footnoteReference w:id="20"/>
      </w:r>
      <w:r>
        <w:rPr>
          <w:rFonts w:ascii="Garamond" w:hAnsi="Garamond"/>
        </w:rPr>
        <w:t xml:space="preserve"> The banked land could carry between 26,600 and 72,500 homes. No provision of section 1001 reaches any of it, because land without a house is not a single-family home under section 1001(a)(5).</w:t>
      </w:r>
      <w:r>
        <w:rPr>
          <w:rStyle w:val="FootnoteReference"/>
        </w:rPr>
        <w:footnoteReference w:id="21"/>
      </w:r>
    </w:p>
    <w:p>
      <w:pPr>
        <w:spacing w:line="480" w:lineRule="auto" w:before="0" w:after="0"/>
        <w:ind w:firstLine="720"/>
      </w:pPr>
      <w:r>
        <w:rPr>
          <w:rFonts w:ascii="Garamond" w:hAnsi="Garamond"/>
        </w:rPr>
        <w:t>Part V traced the capital. Since 2013, 1,833 Davidson County parcels have been pledged as single-family rental securitization collateral through 122 borrower entities in six operator families, led by Pretium with 923, Amherst with 354, and American Homes 4 Rent with 248. Antioch's ZIP code 37013 alone holds 878 of them.</w:t>
      </w:r>
      <w:r>
        <w:rPr>
          <w:rStyle w:val="FootnoteReference"/>
        </w:rPr>
        <w:footnoteReference w:id="22"/>
      </w:r>
      <w:r>
        <w:rPr>
          <w:rFonts w:ascii="Garamond" w:hAnsi="Garamond"/>
        </w:rPr>
        <w:t xml:space="preserve"> The pools selected below-tract-median starter homes in majority-homeowner neighborhoods, 69 percent owner-occupied at loan year, that run markedly Blacker than the county's typical tract, 28.8 percent against 18.6, a gap that predates the deals.</w:t>
      </w:r>
      <w:r>
        <w:rPr>
          <w:rStyle w:val="FootnoteReference"/>
        </w:rPr>
        <w:footnoteReference w:id="23"/>
      </w:r>
      <w:r>
        <w:rPr>
          <w:rFonts w:ascii="Garamond" w:hAnsi="Garamond"/>
        </w:rPr>
        <w:t xml:space="preserve"> The instruments conceal the rest: 86 percent of collateral-schedule rows carry no address, 116 of 289 deals disclose no city or state anywhere, the median recorded consideration on a securitization deed is $0, and one Antioch house carries $2.48 billion of recorded pool principal because every pool loan records in every collateral county.</w:t>
      </w:r>
      <w:r>
        <w:rPr>
          <w:rStyle w:val="FootnoteReference"/>
        </w:rPr>
        <w:footnoteReference w:id="24"/>
      </w:r>
      <w:r>
        <w:rPr>
          <w:rFonts w:ascii="Garamond" w:hAnsi="Garamond"/>
        </w:rPr>
        <w:t xml:space="preserve"> The first all-build-to-rent securitization, Progress Residential 2025-SFR3, closes the loop with Part III. The pipeline the statute ignores now feeds the bond market directly.</w:t>
      </w:r>
      <w:r>
        <w:rPr>
          <w:rStyle w:val="FootnoteReference"/>
        </w:rPr>
        <w:footnoteReference w:id="25"/>
      </w:r>
    </w:p>
    <w:p>
      <w:pPr>
        <w:pStyle w:val="Heading1"/>
        <w:spacing w:before="360"/>
      </w:pPr>
      <w:r>
        <w:t>What the Statute Reaches and What It Misses</w:t>
      </w:r>
    </w:p>
    <w:p>
      <w:pPr>
        <w:spacing w:line="480" w:lineRule="auto" w:before="0" w:after="0"/>
        <w:ind w:firstLine="720"/>
      </w:pPr>
      <w:r>
        <w:rPr>
          <w:rFonts w:ascii="Garamond" w:hAnsi="Garamond"/>
        </w:rPr>
        <w:t>The five Parts converge on one finding about the law itself. Section 1001 regulates the coolest segment of the pipeline. Net acquisition of existing Davidson County homes by the named operators peaked in 2021 at 828 and has run below 80 a year since 2023, while holdings stayed at their peak. The operators stopped buying without selling.</w:t>
      </w:r>
      <w:r>
        <w:rPr>
          <w:rStyle w:val="FootnoteReference"/>
        </w:rPr>
        <w:footnoteReference w:id="26"/>
      </w:r>
      <w:r>
        <w:rPr>
          <w:rFonts w:ascii="Garamond" w:hAnsi="Garamond"/>
        </w:rPr>
        <w:t xml:space="preserve"> The ban therefore closed a door the capital had already stopped using. Build-to-rent, which the statute exempts, is the fastest-growing channel. Land control and securitized capital face no limit at all. The statute froze the market at its 2026 configuration and left open every door the capital now walks through.</w:t>
      </w:r>
    </w:p>
    <w:p>
      <w:pPr>
        <w:spacing w:line="480" w:lineRule="auto" w:before="0" w:after="0"/>
        <w:ind w:firstLine="720"/>
      </w:pPr>
      <w:r>
        <w:rPr>
          <w:rFonts w:ascii="Garamond" w:hAnsi="Garamond"/>
        </w:rPr>
        <w:t>The coverage problem runs deeper than timing, because institutional ownership in Davidson County is two phenomena with two geographies. The broad corporate class of 16,615 homes concentrates in the county's Blacker, poorer, higher-renter tracts, at 1.23 times the county rate in economically burdened tracts. The named national operators run the other way, at 0.88 times, buying the cheap end of middle-income homeowner suburbs, with 84 percent of their homes in tracts where owners outnumber renters and every scattered-site portfolio appraising below its own tracts' median home value.</w:t>
      </w:r>
      <w:r>
        <w:rPr>
          <w:rStyle w:val="FootnoteReference"/>
        </w:rPr>
        <w:footnoteReference w:id="27"/>
      </w:r>
      <w:r>
        <w:rPr>
          <w:rFonts w:ascii="Garamond" w:hAnsi="Garamond"/>
        </w:rPr>
        <w:t xml:space="preserve"> The statute's 350-home threshold captures the second population and misses the first. A single threshold, ratio, or narrative that merges the two mis-describes both, and the ban's covered class is not the class whose concentration the record documents.</w:t>
      </w:r>
    </w:p>
    <w:p>
      <w:pPr>
        <w:spacing w:line="480" w:lineRule="auto" w:before="0" w:after="0"/>
        <w:ind w:firstLine="720"/>
      </w:pPr>
      <w:r>
        <w:rPr>
          <w:rFonts w:ascii="Garamond" w:hAnsi="Garamond"/>
        </w:rPr>
        <w:t>That split also resolves the county's one prior data point. Chilton's 2018 study found the trusts' holdings in tracts that were whiter and richer than the metropolitan norm. The pattern reversed on race and income and held on housing age. The tracts where corporate ownership now concentrates run 37.8 percent Black against 17.9 percent elsewhere, with a median household income of $70,640 against $92,212, and the differences are significant at the five-percent level. The stock stayed newer, with a median year built of 1993 against 1979.</w:t>
      </w:r>
      <w:r>
        <w:rPr>
          <w:rStyle w:val="FootnoteReference"/>
        </w:rPr>
        <w:footnoteReference w:id="28"/>
      </w:r>
      <w:r>
        <w:rPr>
          <w:rFonts w:ascii="Garamond" w:hAnsi="Garamond"/>
        </w:rPr>
        <w:t xml:space="preserve"> The operators did not change what they buy. The county changed around what they bought, and the class of buyer below the statutory line redrew the map.</w:t>
      </w:r>
    </w:p>
    <w:p>
      <w:pPr>
        <w:spacing w:line="480" w:lineRule="auto" w:before="0" w:after="0"/>
        <w:ind w:firstLine="720"/>
      </w:pPr>
      <w:r>
        <w:rPr>
          <w:rFonts w:ascii="Garamond" w:hAnsi="Garamond"/>
        </w:rPr>
        <w:t>None of this is visible without piercing the ownership structure, and the structure is built not to be pierced. Ninety-seven parent families hold the county's institutional stock through 9,973 recorded entities, and the operator-attributed parcels alone sit under 329 recorded names.</w:t>
      </w:r>
      <w:r>
        <w:rPr>
          <w:rStyle w:val="FootnoteReference"/>
        </w:rPr>
        <w:footnoteReference w:id="29"/>
      </w:r>
      <w:r>
        <w:rPr>
          <w:rFonts w:ascii="Garamond" w:hAnsi="Garamond"/>
        </w:rPr>
        <w:t xml:space="preserve"> The record shows merger-orphaned names still on title, renames executed by quitclaim that record no sale, borrower shells named to specific securitization deals, and the newest vehicles shedding even the searchable naming fingerprint. The largest single holder of Progress Residential's Davidson homes is Yamasa Co., Ltd., a Japanese company whose 248 houses reached Progress through the Front Yard Residential acquisition and announce their parent only through a shared Scottsdale tax-agent box.</w:t>
      </w:r>
      <w:r>
        <w:rPr>
          <w:rStyle w:val="FootnoteReference"/>
        </w:rPr>
        <w:footnoteReference w:id="30"/>
      </w:r>
      <w:r>
        <w:rPr>
          <w:rFonts w:ascii="Garamond" w:hAnsi="Garamond"/>
        </w:rPr>
        <w:t xml:space="preserve"> The difficulty of seeing the owner is not a nuisance in this market. It is the operating architecture, and it is the statute's missing infrastructure. A law whose trigger is a count of controlled homes assumes a counting apparatus, and no agency operates one.</w:t>
      </w:r>
    </w:p>
    <w:p>
      <w:pPr>
        <w:spacing w:line="480" w:lineRule="auto" w:before="0" w:after="0"/>
        <w:ind w:firstLine="720"/>
      </w:pPr>
      <w:r>
        <w:rPr>
          <w:rFonts w:ascii="Garamond" w:hAnsi="Garamond"/>
        </w:rPr>
        <w:t>Every existing disclosure system points at the wrong layer of that architecture. Registration reaches a management address and covers a quarter of the stock. The eviction docket names the shell, so the 74.9 percent concentration in two operators had to be assembled from dozens of plaintiff names. SEC collateral schedules hide the geography. Recorded instruments hide the money. A tenant, a code inspector, or a court sees one layer at a time, and each layer is the wrong one for the question being asked. Each record's gap closes only when the record joins the others: the deed supplies the parcel the SEC schedule omits, the SEC filing supplies the capital the deed prices at $0, the registration and corporate records supply the aliases the docket scatters. That join is this series' method, and it is also its policy argument, because a regulator could run the same join from records the public already owns.</w:t>
      </w:r>
    </w:p>
    <w:p>
      <w:pPr>
        <w:spacing w:line="480" w:lineRule="auto" w:before="0" w:after="0"/>
        <w:ind w:firstLine="720"/>
      </w:pPr>
      <w:r>
        <w:rPr>
          <w:rFonts w:ascii="Garamond" w:hAnsi="Garamond"/>
        </w:rPr>
        <w:t>What the join reveals complicates the statute's central assumption, that the 350-home class behaves as a class. Conduct varies more within the institutional tier than between it and the rest of the market. Main Street Renewal files evictions at industrial tempo while American Homes 4 Rent has filed four. Starwood pools newly built homes in low-poverty tracts while other sponsors bundle high-poverty ones. American Homes 4 Rent plats its land in a year or two while the passive land bankers sit for decades. Raymond and colleagues' Atlanta finding that large corporate landlords file evictions at higher rates than comparable small ones averages across exactly this variance.</w:t>
      </w:r>
      <w:r>
        <w:rPr>
          <w:rStyle w:val="FootnoteReference"/>
        </w:rPr>
        <w:footnoteReference w:id="31"/>
      </w:r>
      <w:r>
        <w:rPr>
          <w:rFonts w:ascii="Garamond" w:hAnsi="Garamond"/>
        </w:rPr>
        <w:t xml:space="preserve"> A policy that treats the covered class as homogeneous will be over-inclusive and under-inclusive at the same time, penalizing the operator that behaves like a patient landlord and missing the shell network that does not.</w:t>
      </w:r>
    </w:p>
    <w:p>
      <w:pPr>
        <w:spacing w:line="480" w:lineRule="auto" w:before="0" w:after="0"/>
        <w:ind w:firstLine="720"/>
      </w:pPr>
      <w:r>
        <w:rPr>
          <w:rFonts w:ascii="Garamond" w:hAnsi="Garamond"/>
        </w:rPr>
        <w:t>The welfare stakes of getting this right are in the securitization record. Securitized homes almost never return to owner-occupancy: 93 percent still sit with their borrower entities, and only 33 homes, 1.8 percent, have ever returned to an individual owner.</w:t>
      </w:r>
      <w:r>
        <w:rPr>
          <w:rStyle w:val="FootnoteReference"/>
        </w:rPr>
        <w:footnoteReference w:id="32"/>
      </w:r>
      <w:r>
        <w:rPr>
          <w:rFonts w:ascii="Garamond" w:hAnsi="Garamond"/>
        </w:rPr>
        <w:t xml:space="preserve"> The homes pledged in 2014 appreciated roughly 145 percent inside the pools, while metro rent grew 80 percent from 2017 to 2026 against 69 percent income growth. Renting the median securitized home at the 2026 fair market rent now requires about $95,600 of income in neighborhoods where the median household earns $78,263.</w:t>
      </w:r>
      <w:r>
        <w:rPr>
          <w:rStyle w:val="FootnoteReference"/>
        </w:rPr>
        <w:footnoteReference w:id="33"/>
      </w:r>
      <w:r>
        <w:rPr>
          <w:rFonts w:ascii="Garamond" w:hAnsi="Garamond"/>
        </w:rPr>
        <w:t xml:space="preserve"> The capital captured the asset and the cash flow. The households who would have bought those starter homes captured neither. Section 1001 freezes this conversion in place. It does not reverse it, and nothing in the statute is designed to.</w:t>
      </w:r>
    </w:p>
    <w:p>
      <w:pPr>
        <w:spacing w:line="480" w:lineRule="auto" w:before="0" w:after="0"/>
        <w:ind w:firstLine="720"/>
      </w:pPr>
      <w:r>
        <w:rPr>
          <w:rFonts w:ascii="Garamond" w:hAnsi="Garamond"/>
        </w:rPr>
        <w:t>The forward-looking finding is the simplest. The next conversion is being built, not bought. Build-to-rent went from nothing to 7.27 percent of the county's 2025 single-family permits. The first all-build-to-rent securitization exists. The banked land could carry tens of thousands of homes. The assessment roll's classification flips register each conversion before any disclosure regime notices it. The series walked the pipeline backwards and ended where the next decade starts: at the permit, the plat, and the pool, all outside the statute.</w:t>
      </w:r>
      <w:r>
        <w:rPr>
          <w:rStyle w:val="FootnoteReference"/>
        </w:rPr>
        <w:footnoteReference w:id="34"/>
      </w:r>
    </w:p>
    <w:p>
      <w:pPr>
        <w:pStyle w:val="Heading1"/>
        <w:spacing w:before="360"/>
      </w:pPr>
      <w:r>
        <w:t>A Reform Agenda Nashville Already Owns</w:t>
      </w:r>
    </w:p>
    <w:p>
      <w:pPr>
        <w:spacing w:line="480" w:lineRule="auto" w:before="0" w:after="0"/>
        <w:ind w:firstLine="720"/>
      </w:pPr>
      <w:r>
        <w:rPr>
          <w:rFonts w:ascii="Garamond" w:hAnsi="Garamond"/>
        </w:rPr>
        <w:t>The findings do not call for new federal machinery. They call for connecting machinery Nashville already runs. Four reforms follow directly from the record, and each sits inside an existing local, state, or federal instrument.</w:t>
      </w:r>
    </w:p>
    <w:p>
      <w:pPr>
        <w:spacing w:line="480" w:lineRule="auto" w:before="0" w:after="0"/>
        <w:ind w:firstLine="720"/>
      </w:pPr>
      <w:r>
        <w:rPr>
          <w:rFonts w:ascii="Garamond" w:hAnsi="Garamond"/>
        </w:rPr>
        <w:t>First, aim the registration program at the ownership layer. Tennessee's landlord registration statute already requires a landlord to register each rental unit by its street address, and Metro's ordinance, section 16.33.170 of the Metro Code, restates the duty in local law with a ten-dollar annual fee, a ban on post-office-box addresses, a thirty-day deadline after any transfer, and a fifty-dollar weekly fine.</w:t>
      </w:r>
      <w:r>
        <w:rPr>
          <w:rStyle w:val="FootnoteReference"/>
        </w:rPr>
        <w:footnoteReference w:id="35"/>
      </w:r>
      <w:r>
        <w:rPr>
          <w:rFonts w:ascii="Garamond" w:hAnsi="Garamond"/>
        </w:rPr>
        <w:t xml:space="preserve"> The record shows what the duty reaches in practice: a management address, a quarter of the stock, and filings that track enforcement salience rather than market size. Amending the program to require the parent entity's identity, enumerated parcel by parcel, converts a mailing-list statute into a counting statute, and the enumeration duty already makes each uncovered parcel-year a priced violation. The enforcement mechanism needs no invention. The Assessor's roll already lists every non-owner-occupied parcel, and a cross-reference of that roll against the registration file produces the non-compliance list that no inspector currently sees.</w:t>
      </w:r>
    </w:p>
    <w:p>
      <w:pPr>
        <w:spacing w:line="480" w:lineRule="auto" w:before="0" w:after="0"/>
        <w:ind w:firstLine="720"/>
      </w:pPr>
      <w:r>
        <w:rPr>
          <w:rFonts w:ascii="Garamond" w:hAnsi="Garamond"/>
        </w:rPr>
        <w:t>Second, operate the counting apparatus that section 1001 assumes. The federal ban triggers on a count of controlled homes, and the Secretary of the Treasury, who enforces it, has no register of who controls what.</w:t>
      </w:r>
      <w:r>
        <w:rPr>
          <w:rStyle w:val="FootnoteReference"/>
        </w:rPr>
        <w:footnoteReference w:id="36"/>
      </w:r>
      <w:r>
        <w:rPr>
          <w:rFonts w:ascii="Garamond" w:hAnsi="Garamond"/>
        </w:rPr>
        <w:t xml:space="preserve"> This series' shell-to-parent crosswalk, which resolves 9,973 entities to 97 parent families using deeds, corporate registrations, registered-agent addresses, and SEC filings, is a working model of the apparatus the statute lacks.</w:t>
      </w:r>
      <w:r>
        <w:rPr>
          <w:rStyle w:val="FootnoteReference"/>
        </w:rPr>
        <w:footnoteReference w:id="37"/>
      </w:r>
      <w:r>
        <w:rPr>
          <w:rFonts w:ascii="Garamond" w:hAnsi="Garamond"/>
        </w:rPr>
        <w:t xml:space="preserve"> Every input is a public record. The method survives the industry's naming practices because it keys on what the shells cannot hide: the shared principal office, the shared registered agent, the deed of trust naming the securitization deal. Part I proposes the federal form of the fix, an annual parcel-level schedule from every covered investor in the format the operators already produce for their securitization trustees.</w:t>
      </w:r>
      <w:r>
        <w:rPr>
          <w:rStyle w:val="FootnoteReference"/>
        </w:rPr>
        <w:footnoteReference w:id="38"/>
      </w:r>
      <w:r>
        <w:rPr>
          <w:rFonts w:ascii="Garamond" w:hAnsi="Garamond"/>
        </w:rPr>
        <w:t xml:space="preserve"> A state regulator or Metro itself could maintain the same crosswalk continuously, and without it the 350-home threshold is unenforceable against any owner that declines to count itself. A violation carrying a million-dollar penalty deserves a regulator that can count to 350.</w:t>
      </w:r>
    </w:p>
    <w:p>
      <w:pPr>
        <w:spacing w:line="480" w:lineRule="auto" w:before="0" w:after="0"/>
        <w:ind w:firstLine="720"/>
      </w:pPr>
      <w:r>
        <w:rPr>
          <w:rFonts w:ascii="Garamond" w:hAnsi="Garamond"/>
        </w:rPr>
        <w:t>Third, put the parent on the recorded instrument. Tennessee's recording-tax statute already requires the filer of a recorded instrument to state the consideration, or the maximum principal indebtedness, for Tennessee recording-tax purposes.</w:t>
      </w:r>
      <w:r>
        <w:rPr>
          <w:rStyle w:val="FootnoteReference"/>
        </w:rPr>
        <w:footnoteReference w:id="39"/>
      </w:r>
      <w:r>
        <w:rPr>
          <w:rFonts w:ascii="Garamond" w:hAnsi="Garamond"/>
        </w:rPr>
        <w:t xml:space="preserve"> The securitization record shows why the statement needs one more field: the median recorded consideration on a pledged parcel is $0, and pool principals record identically across every collateral county. Adding the beneficial owner and the parent entity to the existing statement would surface ownership at the moment of transfer, through a form every filer already completes, at the one chokepoint every transaction must pass. Part I proposes the same field on the deed itself under the recording statute.</w:t>
      </w:r>
      <w:r>
        <w:rPr>
          <w:rStyle w:val="FootnoteReference"/>
        </w:rPr>
        <w:footnoteReference w:id="40"/>
      </w:r>
    </w:p>
    <w:p>
      <w:pPr>
        <w:spacing w:line="480" w:lineRule="auto" w:before="0" w:after="0"/>
        <w:ind w:firstLine="720"/>
      </w:pPr>
      <w:r>
        <w:rPr>
          <w:rFonts w:ascii="Garamond" w:hAnsi="Garamond"/>
        </w:rPr>
        <w:t>Fourth, pay for the outcome the ban cannot produce. The statute tells capital what it cannot do at one stage of the pipeline. It says nothing about what gets built, and build-to-rent manufactures rentals at the permit stage the ban never touches. If the concern is that new construction now feeds portfolios instead of families, the remedy sits at the front of the pipeline: extend the subsidy tools Nashville already uses for affordable housing to local builders who build homes for sale, and condition public land and infrastructure participation on for-sale delivery.</w:t>
      </w:r>
      <w:r>
        <w:rPr>
          <w:rStyle w:val="FootnoteReference"/>
        </w:rPr>
        <w:footnoteReference w:id="41"/>
      </w:r>
      <w:r>
        <w:rPr>
          <w:rFonts w:ascii="Garamond" w:hAnsi="Garamond"/>
        </w:rPr>
        <w:t xml:space="preserve"> A ban constrains one transaction. An incentive shapes what the market builds across every stage, which is the level where this problem now operates.</w:t>
      </w:r>
    </w:p>
    <w:p>
      <w:pPr>
        <w:pStyle w:val="Heading1"/>
        <w:spacing w:before="360"/>
      </w:pPr>
      <w:r>
        <w:t>Replication Beyond Nashville</w:t>
      </w:r>
    </w:p>
    <w:p>
      <w:pPr>
        <w:spacing w:line="480" w:lineRule="auto" w:before="0" w:after="0"/>
        <w:ind w:firstLine="720"/>
      </w:pPr>
      <w:r>
        <w:rPr>
          <w:rFonts w:ascii="Garamond" w:hAnsi="Garamond"/>
        </w:rPr>
        <w:t>Nothing in this method is proprietary to Davidson County. The series used cadastral GIS, deed records, permit histories, court dockets, corporate registrations, census demographics, and SEC filings, every one a public record with a public interface. No finding depends on a commercial aggregator, so no finding inherits an aggregator's entity-matching errors, licensing limits, or coverage gaps. A replicating researcher works from the same records a court or a county clerk would. Charlotte-Mecklenburg, Atlanta-Fulton, Phoenix-Maricopa, Dallas-Tarrant, and Tampa-Hillsborough operate comparable record infrastructures, and each metropolitan area ranks among those with the heaviest institutional single-family ownership in the Federal Reserve's and the Government Accountability Office's national counts.</w:t>
      </w:r>
      <w:r>
        <w:rPr>
          <w:rStyle w:val="FootnoteReference"/>
        </w:rPr>
        <w:footnoteReference w:id="42"/>
      </w:r>
      <w:r>
        <w:rPr>
          <w:rFonts w:ascii="Garamond" w:hAnsi="Garamond"/>
        </w:rPr>
        <w:t xml:space="preserve"> The two-geographies split, the shell architecture, and the build-to-rent pivot are all testable in any of them with the same join. The scripts that produced this series, from entity detection through the parent crosswalk to the securitization linkage, replay from a county's records without modification of the method, and the series publishes them with its crosswalks and tables in the online data appendix.</w:t>
      </w:r>
      <w:r>
        <w:rPr>
          <w:rStyle w:val="FootnoteReference"/>
        </w:rPr>
        <w:footnoteReference w:id="43"/>
      </w:r>
    </w:p>
    <w:p>
      <w:pPr>
        <w:pStyle w:val="Heading1"/>
        <w:spacing w:before="360"/>
      </w:pPr>
      <w:r>
        <w:t>The Open Research Agenda</w:t>
      </w:r>
    </w:p>
    <w:p>
      <w:pPr>
        <w:spacing w:line="480" w:lineRule="auto" w:before="0" w:after="0"/>
        <w:ind w:firstLine="720"/>
      </w:pPr>
      <w:r>
        <w:rPr>
          <w:rFonts w:ascii="Garamond" w:hAnsi="Garamond"/>
        </w:rPr>
        <w:t>Four lines of work follow. First, multi-county replication of the two-geographies finding. Whether the broad corporate class concentrates in burdened tracts while named operators buy homeowner suburbs, as it does here, determines whether the statute's coverage gap is a Nashville feature or a national one. Second, the time series the ban itself creates. The statute took effect against a market whose acquisition had already cooled; parcel-scale deed records will show whether the ban binds anyone, whether holdings rotate to exempt channels, and whether the build-to-rent share keeps climbing. Third, the exemption architecture. Section 1001's exception list, from build-for-sale at (a)(2)(A) through the two-year window for purchases from non-covered investors at (a)(2)(I), has not been analyzed provision by provision against observed conduct, and this county's record supplies a test case for each letter.</w:t>
      </w:r>
      <w:r>
        <w:rPr>
          <w:rStyle w:val="FootnoteReference"/>
        </w:rPr>
        <w:footnoteReference w:id="44"/>
      </w:r>
      <w:r>
        <w:rPr>
          <w:rFonts w:ascii="Garamond" w:hAnsi="Garamond"/>
        </w:rPr>
        <w:t xml:space="preserve"> Fourth, algorithmic rent coordination in the single-family segment. The Department of Justice's RealPage settlement addressed multifamily revenue-management software; the single-family operators run similar systems, and whether the challenged data flows exist in this segment is empirically open.</w:t>
      </w:r>
      <w:r>
        <w:rPr>
          <w:rStyle w:val="FootnoteReference"/>
        </w:rPr>
        <w:footnoteReference w:id="45"/>
      </w:r>
      <w:r>
        <w:rPr>
          <w:rFonts w:ascii="Garamond" w:hAnsi="Garamond"/>
        </w:rPr>
        <w:t xml:space="preserve"> The answer decides whether the next single-family statute regulates ownership or pricing.</w:t>
      </w:r>
    </w:p>
    <w:p>
      <w:pPr>
        <w:pStyle w:val="Heading1"/>
        <w:spacing w:before="360"/>
      </w:pPr>
      <w:r>
        <w:t>Conclusion</w:t>
      </w:r>
    </w:p>
    <w:p>
      <w:pPr>
        <w:spacing w:line="480" w:lineRule="auto" w:before="0" w:after="0"/>
        <w:ind w:firstLine="720"/>
      </w:pPr>
      <w:r>
        <w:rPr>
          <w:rFonts w:ascii="Garamond" w:hAnsi="Garamond"/>
        </w:rPr>
        <w:t>The statute Congress passed in July regulates a transaction that peaked in 2021, defines a class that excludes most of the ownership it worries about, and assumes a counting apparatus no one has built. Nashville cannot amend section 1001. It can build the record that decides what happens to it. The ban sunsets in fifteen years, and the renewal question in 2041 will turn on what the intervening record shows: whether acquisition stayed cold, where the exempt channels carried the capital, and whether anyone could see the owners well enough to enforce the threshold at all. Every instrument that record requires already sits in the county's own files. The registration roll, the assessment roll, the deed book, and the recording-tax statement can answer the renewal question before Congress asks it. This series built the first year of that record, and its datasets, crosswalks, and maps are public and replayable. The next fourteen years belong to the city.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rPr>
          <w:rFonts w:ascii="Garamond" w:hAnsi="Garamond"/>
          <w:sz w:val="20"/>
        </w:rPr>
        <w:separator/>
      </w:r>
    </w:p>
  </w:footnote>
  <w:footnote w:type="continuationSeparator" w:id="0">
    <w:p>
      <w:r>
        <w:rPr>
          <w:rFonts w:ascii="Garamond" w:hAnsi="Garamond"/>
          <w:sz w:val="20"/>
        </w:rPr>
        <w:continuationSeparator/>
      </w:r>
    </w:p>
  </w:footnote>
  <w:footnote w:id="1">
    <w:p>
      <w:pPr>
        <w:pStyle w:val="FootnoteText"/>
      </w:pPr>
      <w:r>
        <w:rPr>
          <w:rStyle w:val="FootnoteReference"/>
          <w:rFonts w:ascii="Garamond" w:hAnsi="Garamond"/>
          <w:sz w:val="20"/>
        </w:rPr>
        <w:footnoteRef/>
      </w:r>
      <w:r>
        <w:rPr>
          <w:rFonts w:ascii="Garamond" w:hAnsi="Garamond"/>
          <w:sz w:val="20"/>
        </w:rPr>
        <w:t xml:space="preserve"> 21st Century ROAD to Housing Act, Pub. L. No. 119-101, § 1001 (2026) (H.R. 6644, 119th Cong.; became law July 11, 2026, without the President's signature), enrolled text at https://www.congress.gov/119/bills/hr6644/BILLS-119hr6644enr.pdf. On the bill's evolution across versions, see Henry G. Watson, Comparison of Selected Versions of H.R. 6644, Cong. Rsch. Serv. R48922 (updated May 18, 2026), https://www.congress.gov/crs-product/R48922.</w:t>
      </w:r>
    </w:p>
  </w:footnote>
  <w:footnote w:id="2">
    <w:p>
      <w:pPr>
        <w:pStyle w:val="FootnoteText"/>
      </w:pPr>
      <w:r>
        <w:rPr>
          <w:rStyle w:val="FootnoteReference"/>
          <w:rFonts w:ascii="Garamond" w:hAnsi="Garamond"/>
          <w:sz w:val="20"/>
        </w:rPr>
        <w:footnoteRef/>
      </w:r>
      <w:r>
        <w:rPr>
          <w:rFonts w:ascii="Garamond" w:hAnsi="Garamond"/>
          <w:sz w:val="20"/>
        </w:rPr>
        <w:t xml:space="preserve"> Pub. L. No. 119-101, § 1001(b)(1) (prohibition); id. § 1001(a)(3)(A)(i)(II) (350 single-family homes); id. § 1001(a)(5) (single-family home defined as a structure containing two or fewer dwelling units).</w:t>
      </w:r>
    </w:p>
  </w:footnote>
  <w:footnote w:id="3">
    <w:p>
      <w:pPr>
        <w:pStyle w:val="FootnoteText"/>
      </w:pPr>
      <w:r>
        <w:rPr>
          <w:rStyle w:val="FootnoteReference"/>
          <w:rFonts w:ascii="Garamond" w:hAnsi="Garamond"/>
          <w:sz w:val="20"/>
        </w:rPr>
        <w:footnoteRef/>
      </w:r>
      <w:r>
        <w:rPr>
          <w:rFonts w:ascii="Garamond" w:hAnsi="Garamond"/>
          <w:sz w:val="20"/>
        </w:rPr>
        <w:t xml:space="preserve"> Id. § 1001(d)(1) (civil penalty of not more than $1,000,000 per violation or three times the purchase price of the property, whichever is greater, in an action by the Secretary of the Treasury or by the Attorney General at the Secretary's request); id. § 1001(f) (effective 180 days after enactment; repealed fifteen years after enactment).</w:t>
      </w:r>
    </w:p>
  </w:footnote>
  <w:footnote w:id="4">
    <w:p>
      <w:pPr>
        <w:pStyle w:val="FootnoteText"/>
      </w:pPr>
      <w:r>
        <w:rPr>
          <w:rStyle w:val="FootnoteReference"/>
          <w:rFonts w:ascii="Garamond" w:hAnsi="Garamond"/>
          <w:sz w:val="20"/>
        </w:rPr>
        <w:footnoteRef/>
      </w:r>
      <w:r>
        <w:rPr>
          <w:rFonts w:ascii="Garamond" w:hAnsi="Garamond"/>
          <w:sz w:val="20"/>
        </w:rPr>
        <w:t xml:space="preserve"> The series' replication materials, including the operator crosswalk, the parent-subsidiary registry, the per-tract tables, the detainer and securitization parcel lists, and the query strings for each public endpoint, are published in the online data appendix at https://nataliebaldacci.github.io/Who-Owns-Nashville/. Principal endpoints: Metro. Gov't of Nashville &amp; Davidson Cnty., Cadastral Parcels, https://maps.nashville.gov/arcgis/rest/services/Cadastral/Cadastral_Layers/MapServer/4; Parcel History, https://maps.nashville.gov/arcgis2/rest/services/Parcels/ParcelHistory/MapServer; ePermits, https://epermits.nashville.gov/; Davidson Cnty. Reg. of Deeds, https://davidsonportal.com/; Tenn. Sec'y of State, https://tncab.tnsos.gov/portal/business-entity-search; U.S. Census Bureau, https://api.census.gov/data/2024/acs/acs5; U.S. Sec. &amp; Exch. Comm'n, EDGAR, https://www.sec.gov/edgar/search/.</w:t>
      </w:r>
    </w:p>
  </w:footnote>
  <w:footnote w:id="5">
    <w:p>
      <w:pPr>
        <w:pStyle w:val="FootnoteText"/>
      </w:pPr>
      <w:r>
        <w:rPr>
          <w:rStyle w:val="FootnoteReference"/>
          <w:rFonts w:ascii="Garamond" w:hAnsi="Garamond"/>
          <w:sz w:val="20"/>
        </w:rPr>
        <w:footnoteRef/>
      </w:r>
      <w:r>
        <w:rPr>
          <w:rFonts w:ascii="Garamond" w:hAnsi="Garamond"/>
          <w:sz w:val="20"/>
        </w:rPr>
        <w:t xml:space="preserve"> Part I, Section 5, Finding 1 and Appendix Table A2 (205,933 framework parcels; 42,631 non-owner-occupied; 16,615 entity-owned; 3,940 held by named national single-family rental operators), from Cadastral Layer 4, https://maps.nashville.gov/arcgis/rest/services/Cadastral/Cadastral_Layers/MapServer/4.</w:t>
      </w:r>
    </w:p>
  </w:footnote>
  <w:footnote w:id="6">
    <w:p>
      <w:pPr>
        <w:pStyle w:val="FootnoteText"/>
      </w:pPr>
      <w:r>
        <w:rPr>
          <w:rStyle w:val="FootnoteReference"/>
          <w:rFonts w:ascii="Garamond" w:hAnsi="Garamond"/>
          <w:sz w:val="20"/>
        </w:rPr>
        <w:footnoteRef/>
      </w:r>
      <w:r>
        <w:rPr>
          <w:rFonts w:ascii="Garamond" w:hAnsi="Garamond"/>
          <w:sz w:val="20"/>
        </w:rPr>
        <w:t xml:space="preserve"> Ken Chilton, Robert M. Silverman, Rabia Chaudhry &amp; Chihuangji Wang, The Impact of Single-Family Rental REITs on Regional Housing Markets: A Case Study of Nashville, TN, 8 Societies 93, tbl.2 (2018), https://doi.org/10.3390/soc8040093 (825 REIT-owned homes in Davidson County, 2015 data).</w:t>
      </w:r>
    </w:p>
  </w:footnote>
  <w:footnote w:id="7">
    <w:p>
      <w:pPr>
        <w:pStyle w:val="FootnoteText"/>
      </w:pPr>
      <w:r>
        <w:rPr>
          <w:rStyle w:val="FootnoteReference"/>
          <w:rFonts w:ascii="Garamond" w:hAnsi="Garamond"/>
          <w:sz w:val="20"/>
        </w:rPr>
        <w:footnoteRef/>
      </w:r>
      <w:r>
        <w:rPr>
          <w:rFonts w:ascii="Garamond" w:hAnsi="Garamond"/>
          <w:sz w:val="20"/>
        </w:rPr>
        <w:t xml:space="preserve"> Part I, Appendix Table A1 (operator holdings of framework parcels, July 22, 2026 rollup).</w:t>
      </w:r>
    </w:p>
  </w:footnote>
  <w:footnote w:id="8">
    <w:p>
      <w:pPr>
        <w:pStyle w:val="FootnoteText"/>
      </w:pPr>
      <w:r>
        <w:rPr>
          <w:rStyle w:val="FootnoteReference"/>
          <w:rFonts w:ascii="Garamond" w:hAnsi="Garamond"/>
          <w:sz w:val="20"/>
        </w:rPr>
        <w:footnoteRef/>
      </w:r>
      <w:r>
        <w:rPr>
          <w:rFonts w:ascii="Garamond" w:hAnsi="Garamond"/>
          <w:sz w:val="20"/>
        </w:rPr>
        <w:t xml:space="preserve"> Part I, Section 5, Finding 3 and Appendix Table A3 (6,569 owner groups; three groups of 350 or more hold 17.8 percent; groups of one to three homes are 92 percent of owners and hold 44 percent of parcels).</w:t>
      </w:r>
    </w:p>
  </w:footnote>
  <w:footnote w:id="9">
    <w:p>
      <w:pPr>
        <w:pStyle w:val="FootnoteText"/>
      </w:pPr>
      <w:r>
        <w:rPr>
          <w:rStyle w:val="FootnoteReference"/>
          <w:rFonts w:ascii="Garamond" w:hAnsi="Garamond"/>
          <w:sz w:val="20"/>
        </w:rPr>
        <w:footnoteRef/>
      </w:r>
      <w:r>
        <w:rPr>
          <w:rFonts w:ascii="Garamond" w:hAnsi="Garamond"/>
          <w:sz w:val="20"/>
        </w:rPr>
        <w:t xml:space="preserve"> Part I, Appendix Table A7 (tract 142.00: 273 framework parcels, 91 entity-owned, none held by a named operator; median household income $16,538).</w:t>
      </w:r>
    </w:p>
  </w:footnote>
  <w:footnote w:id="10">
    <w:p>
      <w:pPr>
        <w:pStyle w:val="FootnoteText"/>
      </w:pPr>
      <w:r>
        <w:rPr>
          <w:rStyle w:val="FootnoteReference"/>
          <w:rFonts w:ascii="Garamond" w:hAnsi="Garamond"/>
          <w:sz w:val="20"/>
        </w:rPr>
        <w:footnoteRef/>
      </w:r>
      <w:r>
        <w:rPr>
          <w:rFonts w:ascii="Garamond" w:hAnsi="Garamond"/>
          <w:sz w:val="20"/>
        </w:rPr>
        <w:t xml:space="preserve"> Part II, Section 5 (registration coverage of roughly a quarter of the likely single-family rental stock; 2,300 registration violations since 2008, sixteen naming a large institutional investor), from Metro Codes ePermits case type 176, https://epermits.nashville.gov/.</w:t>
      </w:r>
    </w:p>
  </w:footnote>
  <w:footnote w:id="11">
    <w:p>
      <w:pPr>
        <w:pStyle w:val="FootnoteText"/>
      </w:pPr>
      <w:r>
        <w:rPr>
          <w:rStyle w:val="FootnoteReference"/>
          <w:rFonts w:ascii="Garamond" w:hAnsi="Garamond"/>
          <w:sz w:val="20"/>
        </w:rPr>
        <w:footnoteRef/>
      </w:r>
      <w:r>
        <w:rPr>
          <w:rFonts w:ascii="Garamond" w:hAnsi="Garamond"/>
          <w:sz w:val="20"/>
        </w:rPr>
        <w:t xml:space="preserve"> Part II, Section 5 and Appendix Table A1 (post-deed address-level registrations by operator: My Community Homes 100 of 100; RESICAP 64 of 64; FirstKey 80 of 84; Amherst 567 of 654; Maymont 90 of 106; Progress 873 of 1,232; Tricon 171 of 276; American Homes 4 Rent 23 of 1,092; Starwood two of 251; Rithm one of 52; Invitation Homes and VineBrook none).</w:t>
      </w:r>
    </w:p>
  </w:footnote>
  <w:footnote w:id="12">
    <w:p>
      <w:pPr>
        <w:pStyle w:val="FootnoteText"/>
      </w:pPr>
      <w:r>
        <w:rPr>
          <w:rStyle w:val="FootnoteReference"/>
          <w:rFonts w:ascii="Garamond" w:hAnsi="Garamond"/>
          <w:sz w:val="20"/>
        </w:rPr>
        <w:footnoteRef/>
      </w:r>
      <w:r>
        <w:rPr>
          <w:rFonts w:ascii="Garamond" w:hAnsi="Garamond"/>
          <w:sz w:val="20"/>
        </w:rPr>
        <w:t xml:space="preserve"> Part II, Section 5 (2,049 detainer warrants with a named operator or its shell as plaintiff, Davidson County General Sessions Court via CaseLink, searched June 2026: Progress Residential 926; Amherst / Main Street Renewal 609; Starwood 361; Tricon 81; American Homes 4 Rent four, all in 2013); the replication file is in the online data appendix.</w:t>
      </w:r>
    </w:p>
  </w:footnote>
  <w:footnote w:id="13">
    <w:p>
      <w:pPr>
        <w:pStyle w:val="FootnoteText"/>
      </w:pPr>
      <w:r>
        <w:rPr>
          <w:rStyle w:val="FootnoteReference"/>
          <w:rFonts w:ascii="Garamond" w:hAnsi="Garamond"/>
          <w:sz w:val="20"/>
        </w:rPr>
        <w:footnoteRef/>
      </w:r>
      <w:r>
        <w:rPr>
          <w:rFonts w:ascii="Garamond" w:hAnsi="Garamond"/>
          <w:sz w:val="20"/>
        </w:rPr>
        <w:t xml:space="preserve"> Part III, Section 5, Finding 1 and Appendix Table III.1 (build-to-rent 199 of 2,739 new single-family permits in 2025, 7.27 percent, on the Census Building Permits Survey denominator; strict measure, a floor).</w:t>
      </w:r>
    </w:p>
  </w:footnote>
  <w:footnote w:id="14">
    <w:p>
      <w:pPr>
        <w:pStyle w:val="FootnoteText"/>
      </w:pPr>
      <w:r>
        <w:rPr>
          <w:rStyle w:val="FootnoteReference"/>
          <w:rFonts w:ascii="Garamond" w:hAnsi="Garamond"/>
          <w:sz w:val="20"/>
        </w:rPr>
        <w:footnoteRef/>
      </w:r>
      <w:r>
        <w:rPr>
          <w:rFonts w:ascii="Garamond" w:hAnsi="Garamond"/>
          <w:sz w:val="20"/>
        </w:rPr>
        <w:t xml:space="preserve"> Part III, Section 5, Finding 2 (delivery models and named communities); Special Warranty Deed, Century Communities of Tennessee, LLC to VB TAH, LLC, Davidson Cnty. Reg. of Deeds, Instrument No. 20251230-0103700 (recorded Dec. 30, 2025), https://www.davidsonportal.com/gis/file.php?file=202512300103700 (106 parcels, $24,500,000); Porchlight East Hill bulk deed (42 homes, $25,016,333, 2024), Part III, Appendix Table III.2.</w:t>
      </w:r>
    </w:p>
  </w:footnote>
  <w:footnote w:id="15">
    <w:p>
      <w:pPr>
        <w:pStyle w:val="FootnoteText"/>
      </w:pPr>
      <w:r>
        <w:rPr>
          <w:rStyle w:val="FootnoteReference"/>
          <w:rFonts w:ascii="Garamond" w:hAnsi="Garamond"/>
          <w:sz w:val="20"/>
        </w:rPr>
        <w:footnoteRef/>
      </w:r>
      <w:r>
        <w:rPr>
          <w:rFonts w:ascii="Garamond" w:hAnsi="Garamond"/>
          <w:sz w:val="20"/>
        </w:rPr>
        <w:t xml:space="preserve"> Part III, Section 5, Finding 2 (local builders' share of institutional construction 48.9 percent in 2015 and 12.3 percent a decade later; 1,537 platted lots across 73 communities under fourteen operators).</w:t>
      </w:r>
    </w:p>
  </w:footnote>
  <w:footnote w:id="16">
    <w:p>
      <w:pPr>
        <w:pStyle w:val="FootnoteText"/>
      </w:pPr>
      <w:r>
        <w:rPr>
          <w:rStyle w:val="FootnoteReference"/>
          <w:rFonts w:ascii="Garamond" w:hAnsi="Garamond"/>
          <w:sz w:val="20"/>
        </w:rPr>
        <w:footnoteRef/>
      </w:r>
      <w:r>
        <w:rPr>
          <w:rFonts w:ascii="Garamond" w:hAnsi="Garamond"/>
          <w:sz w:val="20"/>
        </w:rPr>
        <w:t xml:space="preserve"> Part III, Section 5, Finding 3 and Appendix Table III.5 (2025 residential-to-commercial reclassification: ACPF 97.2 percent, VineBrook 93.7 percent, Porchlight 66.7 percent, Normandy 46.9 percent, American Homes 4 Rent 17.6 percent, Amherst 0.3 percent, Progress zero), from Metro. Gov't of Nashville &amp; Davidson Cnty., Parcel History: Assessment, https://maps.nashville.gov/arcgis2/rest/services/Parcels/ParcelHistory/MapServer/6.</w:t>
      </w:r>
    </w:p>
  </w:footnote>
  <w:footnote w:id="17">
    <w:p>
      <w:pPr>
        <w:pStyle w:val="FootnoteText"/>
      </w:pPr>
      <w:r>
        <w:rPr>
          <w:rStyle w:val="FootnoteReference"/>
          <w:rFonts w:ascii="Garamond" w:hAnsi="Garamond"/>
          <w:sz w:val="20"/>
        </w:rPr>
        <w:footnoteRef/>
      </w:r>
      <w:r>
        <w:rPr>
          <w:rFonts w:ascii="Garamond" w:hAnsi="Garamond"/>
          <w:sz w:val="20"/>
        </w:rPr>
        <w:t xml:space="preserve"> Part IV, Section 5 and Appendix Tables A1 and A2 (seventeen named land-bank and option vehicles, 1,444 parcels on June 24, 2026 and 993 on October 19, 2026; nine recorded option agreements with capital source, builder, project, and term), from Cadastral Layer 4 and the recorded Memoranda of Option Agreement at https://davidsonportal.com/.</w:t>
      </w:r>
    </w:p>
  </w:footnote>
  <w:footnote w:id="18">
    <w:p>
      <w:pPr>
        <w:pStyle w:val="FootnoteText"/>
      </w:pPr>
      <w:r>
        <w:rPr>
          <w:rStyle w:val="FootnoteReference"/>
          <w:rFonts w:ascii="Garamond" w:hAnsi="Garamond"/>
          <w:sz w:val="20"/>
        </w:rPr>
        <w:footnoteRef/>
      </w:r>
      <w:r>
        <w:rPr>
          <w:rFonts w:ascii="Garamond" w:hAnsi="Garamond"/>
          <w:sz w:val="20"/>
        </w:rPr>
        <w:t xml:space="preserve"> Series Introduction and Part IV, Section 5 (owned-versus-controlled instrument comparison in the deed record).</w:t>
      </w:r>
    </w:p>
  </w:footnote>
  <w:footnote w:id="19">
    <w:p>
      <w:pPr>
        <w:pStyle w:val="FootnoteText"/>
      </w:pPr>
      <w:r>
        <w:rPr>
          <w:rStyle w:val="FootnoteReference"/>
          <w:rFonts w:ascii="Garamond" w:hAnsi="Garamond"/>
          <w:sz w:val="20"/>
        </w:rPr>
        <w:footnoteRef/>
      </w:r>
      <w:r>
        <w:rPr>
          <w:rFonts w:ascii="Garamond" w:hAnsi="Garamond"/>
          <w:sz w:val="20"/>
        </w:rPr>
        <w:t xml:space="preserve"> Part IV, Section 5 (136,605 parcels that began as vacant land; 43,361 still vacant; 21,553 under a corporate name; 9,118 in the same corporate hands for a decade or more; 6,069 approved residential lots never built on, 1,127 acres, $2,672,702,600 appraised, median 20.6 years since takedown), from Parcel History Layers 2 and 3 and Cadastral Layer 4.</w:t>
      </w:r>
    </w:p>
  </w:footnote>
  <w:footnote w:id="20">
    <w:p>
      <w:pPr>
        <w:pStyle w:val="FootnoteText"/>
      </w:pPr>
      <w:r>
        <w:rPr>
          <w:rStyle w:val="FootnoteReference"/>
          <w:rFonts w:ascii="Garamond" w:hAnsi="Garamond"/>
          <w:sz w:val="20"/>
        </w:rPr>
        <w:footnoteRef/>
      </w:r>
      <w:r>
        <w:rPr>
          <w:rFonts w:ascii="Garamond" w:hAnsi="Garamond"/>
          <w:sz w:val="20"/>
        </w:rPr>
        <w:t xml:space="preserve"> Part IV, Section 5 (recorded deal chains of fourteen to 791 days from acquisition to first takedown; takedown spreads of about 16 to roughly 106 percent over the fund's cost; American Homes 4 Rent's one-to-two-year acquisition-to-plat interval against the funds' three to four).</w:t>
      </w:r>
    </w:p>
  </w:footnote>
  <w:footnote w:id="21">
    <w:p>
      <w:pPr>
        <w:pStyle w:val="FootnoteText"/>
      </w:pPr>
      <w:r>
        <w:rPr>
          <w:rStyle w:val="FootnoteReference"/>
          <w:rFonts w:ascii="Garamond" w:hAnsi="Garamond"/>
          <w:sz w:val="20"/>
        </w:rPr>
        <w:footnoteRef/>
      </w:r>
      <w:r>
        <w:rPr>
          <w:rFonts w:ascii="Garamond" w:hAnsi="Garamond"/>
          <w:sz w:val="20"/>
        </w:rPr>
        <w:t xml:space="preserve"> Part IV, Section 5 (entity-held vacant land carrying between 26,600 and 72,500 homes, bracketed by the market norm and the zoning maximum); Pub. L. No. 119-101, § 1001(a)(5).</w:t>
      </w:r>
    </w:p>
  </w:footnote>
  <w:footnote w:id="22">
    <w:p>
      <w:pPr>
        <w:pStyle w:val="FootnoteText"/>
      </w:pPr>
      <w:r>
        <w:rPr>
          <w:rStyle w:val="FootnoteReference"/>
          <w:rFonts w:ascii="Garamond" w:hAnsi="Garamond"/>
          <w:sz w:val="20"/>
        </w:rPr>
        <w:footnoteRef/>
      </w:r>
      <w:r>
        <w:rPr>
          <w:rFonts w:ascii="Garamond" w:hAnsi="Garamond"/>
          <w:sz w:val="20"/>
        </w:rPr>
        <w:t xml:space="preserve"> Part V, Section 5 and Appendix Table A-1 (1,833 parcels ever pledged, 122 borrower entities, six operator families: Pretium / Progress 923, Amherst 354, American Homes 4 Rent 248, Blackstone with Home Partners 234, Starwood 101, Cerberus with FirstKey 69; 878 in ZIP code 37013), from Form ABS-15G and Exhibit 99 filings on SEC EDGAR, https://www.sec.gov/edgar/search/, matched to Parcel History Layer 2.</w:t>
      </w:r>
    </w:p>
  </w:footnote>
  <w:footnote w:id="23">
    <w:p>
      <w:pPr>
        <w:pStyle w:val="FootnoteText"/>
      </w:pPr>
      <w:r>
        <w:rPr>
          <w:rStyle w:val="FootnoteReference"/>
          <w:rFonts w:ascii="Garamond" w:hAnsi="Garamond"/>
          <w:sz w:val="20"/>
        </w:rPr>
        <w:footnoteRef/>
      </w:r>
      <w:r>
        <w:rPr>
          <w:rFonts w:ascii="Garamond" w:hAnsi="Garamond"/>
          <w:sz w:val="20"/>
        </w:rPr>
        <w:t xml:space="preserve"> Part V, Section 5 and Appendix Tables A-2 and A-3 (securitized tracts 69 percent owner-occupied at loan year against 54 percent county-wide; share Black 28.8 percent against 18.6 percent, 2020 to 2024; appraisal-to-tract-median ratios of 0.65 to 0.84 by operator).</w:t>
      </w:r>
    </w:p>
  </w:footnote>
  <w:footnote w:id="24">
    <w:p>
      <w:pPr>
        <w:pStyle w:val="FootnoteText"/>
      </w:pPr>
      <w:r>
        <w:rPr>
          <w:rStyle w:val="FootnoteReference"/>
          <w:rFonts w:ascii="Garamond" w:hAnsi="Garamond"/>
          <w:sz w:val="20"/>
        </w:rPr>
        <w:footnoteRef/>
      </w:r>
      <w:r>
        <w:rPr>
          <w:rFonts w:ascii="Garamond" w:hAnsi="Garamond"/>
          <w:sz w:val="20"/>
        </w:rPr>
        <w:t xml:space="preserve"> Part V, Section 5 (695,174 rental-deal collateral rows, 86 percent with no address; 116 of 289 deals with no city or state; median recorded consideration $0 by Tennessee recording-tax election; recorded pool principal of $2,480,733,000 on one Antioch parcel across two successive deals).</w:t>
      </w:r>
    </w:p>
  </w:footnote>
  <w:footnote w:id="25">
    <w:p>
      <w:pPr>
        <w:pStyle w:val="FootnoteText"/>
      </w:pPr>
      <w:r>
        <w:rPr>
          <w:rStyle w:val="FootnoteReference"/>
          <w:rFonts w:ascii="Garamond" w:hAnsi="Garamond"/>
          <w:sz w:val="20"/>
        </w:rPr>
        <w:footnoteRef/>
      </w:r>
      <w:r>
        <w:rPr>
          <w:rFonts w:ascii="Garamond" w:hAnsi="Garamond"/>
          <w:sz w:val="20"/>
        </w:rPr>
        <w:t xml:space="preserve"> Kroll Bond Rating Agency, KBRA Assigns Preliminary Ratings to Progress Residential 2025-SFR3 (June 9, 2025), https://www.kbra.com/; Part V, Section 5 (the first securitization collateralized entirely by build-to-rent homes).</w:t>
      </w:r>
    </w:p>
  </w:footnote>
  <w:footnote w:id="26">
    <w:p>
      <w:pPr>
        <w:pStyle w:val="FootnoteText"/>
      </w:pPr>
      <w:r>
        <w:rPr>
          <w:rStyle w:val="FootnoteReference"/>
          <w:rFonts w:ascii="Garamond" w:hAnsi="Garamond"/>
          <w:sz w:val="20"/>
        </w:rPr>
        <w:footnoteRef/>
      </w:r>
      <w:r>
        <w:rPr>
          <w:rFonts w:ascii="Garamond" w:hAnsi="Garamond"/>
          <w:sz w:val="20"/>
        </w:rPr>
        <w:t xml:space="preserve"> Part I, Section 5, Finding 6 and Appendix Table A9 (net acquisitions by the nine largest single-family rental operators: 828 in 2021, 439 in 2022, 57 in 2023, 25 in 2024, 79 in 2025; parcels currently held per the ownership register's active records), from Parcel History Layer 2, https://maps.nashville.gov/arcgis2/rest/services/Parcels/ParcelHistory/MapServer/2.</w:t>
      </w:r>
    </w:p>
  </w:footnote>
  <w:footnote w:id="27">
    <w:p>
      <w:pPr>
        <w:pStyle w:val="FootnoteText"/>
      </w:pPr>
      <w:r>
        <w:rPr>
          <w:rStyle w:val="FootnoteReference"/>
          <w:rFonts w:ascii="Garamond" w:hAnsi="Garamond"/>
          <w:sz w:val="20"/>
        </w:rPr>
        <w:footnoteRef/>
      </w:r>
      <w:r>
        <w:rPr>
          <w:rFonts w:ascii="Garamond" w:hAnsi="Garamond"/>
          <w:sz w:val="20"/>
        </w:rPr>
        <w:t xml:space="preserve"> Part I, Section 5, Finding 5 and Appendix Tables A5 and A8 (entity-owned 9.89 percent of the stock in 72 burdened tracts against 8.04 percent county-wide, 1.23 times; named operators 1.67 against 1.91 percent, 0.88 times; 83.9 percent of named-operator homes in owner-majority tracts; appraisal-to-tract ratios of 0.51 to 0.79), from Cadastral Layer 4 joined to the American Community Survey 2020 to 2024, https://api.census.gov/data/2024/acs/acs5.</w:t>
      </w:r>
    </w:p>
  </w:footnote>
  <w:footnote w:id="28">
    <w:p>
      <w:pPr>
        <w:pStyle w:val="FootnoteText"/>
      </w:pPr>
      <w:r>
        <w:rPr>
          <w:rStyle w:val="FootnoteReference"/>
          <w:rFonts w:ascii="Garamond" w:hAnsi="Garamond"/>
          <w:sz w:val="20"/>
        </w:rPr>
        <w:footnoteRef/>
      </w:r>
      <w:r>
        <w:rPr>
          <w:rFonts w:ascii="Garamond" w:hAnsi="Garamond"/>
          <w:sz w:val="20"/>
        </w:rPr>
        <w:t xml:space="preserve"> Part I, Section 5, Finding 5 and Appendix Table A6 (Welch two-sample t-tests, fifty tracts with entity share of ten percent or more against 120 others; differences significant at p &lt; 0.05); Chilton et al., 8 Societies 93, tbl.4 (2018).</w:t>
      </w:r>
    </w:p>
  </w:footnote>
  <w:footnote w:id="29">
    <w:p>
      <w:pPr>
        <w:pStyle w:val="FootnoteText"/>
      </w:pPr>
      <w:r>
        <w:rPr>
          <w:rStyle w:val="FootnoteReference"/>
          <w:rFonts w:ascii="Garamond" w:hAnsi="Garamond"/>
          <w:sz w:val="20"/>
        </w:rPr>
        <w:footnoteRef/>
      </w:r>
      <w:r>
        <w:rPr>
          <w:rFonts w:ascii="Garamond" w:hAnsi="Garamond"/>
          <w:sz w:val="20"/>
        </w:rPr>
        <w:t xml:space="preserve"> Part I, Section 4.C and Section 5, Finding 4 (parent-subsidiary registry of 9,973 entities under 97 parent families; 329 recorded names behind the operator-attributed parcels), published in the online data appendix.</w:t>
      </w:r>
    </w:p>
  </w:footnote>
  <w:footnote w:id="30">
    <w:p>
      <w:pPr>
        <w:pStyle w:val="FootnoteText"/>
      </w:pPr>
      <w:r>
        <w:rPr>
          <w:rStyle w:val="FootnoteReference"/>
          <w:rFonts w:ascii="Garamond" w:hAnsi="Garamond"/>
          <w:sz w:val="20"/>
        </w:rPr>
        <w:footnoteRef/>
      </w:r>
      <w:r>
        <w:rPr>
          <w:rFonts w:ascii="Garamond" w:hAnsi="Garamond"/>
          <w:sz w:val="20"/>
        </w:rPr>
        <w:t xml:space="preserve"> Part I, Introduction and Section 5, Finding 4 (Yamasa Co., Ltd., 248 framework parcels; P.O. Box 4090, Scottsdale, 1,211 Progress-attributed parcels), from Cadastral Layer 4; Press Release, Pretium Partners, Pretium and Ares Management Complete Acquisition of Front Yard Residential (Jan. 11, 2021), https://pretium.com/news/.</w:t>
      </w:r>
    </w:p>
  </w:footnote>
  <w:footnote w:id="31">
    <w:p>
      <w:pPr>
        <w:pStyle w:val="FootnoteText"/>
      </w:pPr>
      <w:r>
        <w:rPr>
          <w:rStyle w:val="FootnoteReference"/>
          <w:rFonts w:ascii="Garamond" w:hAnsi="Garamond"/>
          <w:sz w:val="20"/>
        </w:rPr>
        <w:footnoteRef/>
      </w:r>
      <w:r>
        <w:rPr>
          <w:rFonts w:ascii="Garamond" w:hAnsi="Garamond"/>
          <w:sz w:val="20"/>
        </w:rPr>
        <w:t xml:space="preserve"> Elora Lee Raymond, Richard Duckworth, Ben Miller, Michael Lucas &amp; Shiraj Pokharel, Corporate Landlords, Institutional Investors, and Displacement: Eviction Rates in Single-Family Rentals, Fed. Rsrv. Bank of Atlanta, Cmty. &amp; Econ. Dev. Discussion Paper No. 04-16 (2016), https://www.atlantafed.org/-/media/documents/community-development/publications/discussion-papers/2016/04-corporate-landlords-institutional-investors-and-displacement-2016-12-21.pdf.</w:t>
      </w:r>
    </w:p>
  </w:footnote>
  <w:footnote w:id="32">
    <w:p>
      <w:pPr>
        <w:pStyle w:val="FootnoteText"/>
      </w:pPr>
      <w:r>
        <w:rPr>
          <w:rStyle w:val="FootnoteReference"/>
          <w:rFonts w:ascii="Garamond" w:hAnsi="Garamond"/>
          <w:sz w:val="20"/>
        </w:rPr>
        <w:footnoteRef/>
      </w:r>
      <w:r>
        <w:rPr>
          <w:rFonts w:ascii="Garamond" w:hAnsi="Garamond"/>
          <w:sz w:val="20"/>
        </w:rPr>
        <w:t xml:space="preserve"> Part V, Section 5 (of 1,833 ever-pledged parcels, 1,708 remain with their securitization borrowers; of the 125 that moved, 92 went to another institutional entity and 33 to an individual owner).</w:t>
      </w:r>
    </w:p>
  </w:footnote>
  <w:footnote w:id="33">
    <w:p>
      <w:pPr>
        <w:pStyle w:val="FootnoteText"/>
      </w:pPr>
      <w:r>
        <w:rPr>
          <w:rStyle w:val="FootnoteReference"/>
          <w:rFonts w:ascii="Garamond" w:hAnsi="Garamond"/>
          <w:sz w:val="20"/>
        </w:rPr>
        <w:footnoteRef/>
      </w:r>
      <w:r>
        <w:rPr>
          <w:rFonts w:ascii="Garamond" w:hAnsi="Garamond"/>
          <w:sz w:val="20"/>
        </w:rPr>
        <w:t xml:space="preserve"> Part V, Section 5 and Appendix Table A-3 (2014-vintage homes appraised near $177,000 at loan year and $433,600 in 2025; 2026 three-bedroom Small Area Fair Market Rent against tract median household income; metro rent growth of 80 percent from 2017 to 2026 against 69 percent income growth), from the Assessor's appraisal history at Parcel History Layer 6 and U.S. Dep't of Hous. &amp; Urban Dev., Small Area Fair Market Rents, https://www.huduser.gov/portal/datasets/fmr/smallarea/.</w:t>
      </w:r>
    </w:p>
  </w:footnote>
  <w:footnote w:id="34">
    <w:p>
      <w:pPr>
        <w:pStyle w:val="FootnoteText"/>
      </w:pPr>
      <w:r>
        <w:rPr>
          <w:rStyle w:val="FootnoteReference"/>
          <w:rFonts w:ascii="Garamond" w:hAnsi="Garamond"/>
          <w:sz w:val="20"/>
        </w:rPr>
        <w:footnoteRef/>
      </w:r>
      <w:r>
        <w:rPr>
          <w:rFonts w:ascii="Garamond" w:hAnsi="Garamond"/>
          <w:sz w:val="20"/>
        </w:rPr>
        <w:t xml:space="preserve"> Part III, Section 5, Finding 1 (permit share); Part IV, Section 5 (capacity); Part V, Section 5 (Progress Residential 2025-SFR3).</w:t>
      </w:r>
    </w:p>
  </w:footnote>
  <w:footnote w:id="35">
    <w:p>
      <w:pPr>
        <w:pStyle w:val="FootnoteText"/>
      </w:pPr>
      <w:r>
        <w:rPr>
          <w:rStyle w:val="FootnoteReference"/>
          <w:rFonts w:ascii="Garamond" w:hAnsi="Garamond"/>
          <w:sz w:val="20"/>
        </w:rPr>
        <w:footnoteRef/>
      </w:r>
      <w:r>
        <w:rPr>
          <w:rFonts w:ascii="Garamond" w:hAnsi="Garamond"/>
          <w:sz w:val="20"/>
        </w:rPr>
        <w:t xml:space="preserve"> Tenn. Code Ann. § 66-28-107(a)(1)(B) (registration of each rental unit by street address), https://law.justia.com/codes/tennessee/title-66/chapter-28/part-1/section-66-28-107/; Metro. Gov't of Nashville &amp; Davidson Cnty., Code of Laws § 16.33.170 (added by Ordinance BL2022-1471, effective May 26, 2023), https://library.municode.com/tn/metro_government_of_nashville_and_davidson_county/codes/code_of_ordinances?nodeId=CD_TIT16BUCO_CH16.33REIN. Part II, Section 2, sets out both provisions.</w:t>
      </w:r>
    </w:p>
  </w:footnote>
  <w:footnote w:id="36">
    <w:p>
      <w:pPr>
        <w:pStyle w:val="FootnoteText"/>
      </w:pPr>
      <w:r>
        <w:rPr>
          <w:rStyle w:val="FootnoteReference"/>
          <w:rFonts w:ascii="Garamond" w:hAnsi="Garamond"/>
          <w:sz w:val="20"/>
        </w:rPr>
        <w:footnoteRef/>
      </w:r>
      <w:r>
        <w:rPr>
          <w:rFonts w:ascii="Garamond" w:hAnsi="Garamond"/>
          <w:sz w:val="20"/>
        </w:rPr>
        <w:t xml:space="preserve"> See supra note 3.</w:t>
      </w:r>
    </w:p>
  </w:footnote>
  <w:footnote w:id="37">
    <w:p>
      <w:pPr>
        <w:pStyle w:val="FootnoteText"/>
      </w:pPr>
      <w:r>
        <w:rPr>
          <w:rStyle w:val="FootnoteReference"/>
          <w:rFonts w:ascii="Garamond" w:hAnsi="Garamond"/>
          <w:sz w:val="20"/>
        </w:rPr>
        <w:footnoteRef/>
      </w:r>
      <w:r>
        <w:rPr>
          <w:rFonts w:ascii="Garamond" w:hAnsi="Garamond"/>
          <w:sz w:val="20"/>
        </w:rPr>
        <w:t xml:space="preserve"> See supra note 29.</w:t>
      </w:r>
    </w:p>
  </w:footnote>
  <w:footnote w:id="38">
    <w:p>
      <w:pPr>
        <w:pStyle w:val="FootnoteText"/>
      </w:pPr>
      <w:r>
        <w:rPr>
          <w:rStyle w:val="FootnoteReference"/>
          <w:rFonts w:ascii="Garamond" w:hAnsi="Garamond"/>
          <w:sz w:val="20"/>
        </w:rPr>
        <w:footnoteRef/>
      </w:r>
      <w:r>
        <w:rPr>
          <w:rFonts w:ascii="Garamond" w:hAnsi="Garamond"/>
          <w:sz w:val="20"/>
        </w:rPr>
        <w:t xml:space="preserve"> Part I, Recommendations (an annual parcel-level control schedule filed by every covered investor; a parent-entity field on recorded conveyances under Tenn. Code Ann. § 66-22-101; a parent-entity field on Metro registrations under chapter 16.33).</w:t>
      </w:r>
    </w:p>
  </w:footnote>
  <w:footnote w:id="39">
    <w:p>
      <w:pPr>
        <w:pStyle w:val="FootnoteText"/>
      </w:pPr>
      <w:r>
        <w:rPr>
          <w:rStyle w:val="FootnoteReference"/>
          <w:rFonts w:ascii="Garamond" w:hAnsi="Garamond"/>
          <w:sz w:val="20"/>
        </w:rPr>
        <w:footnoteRef/>
      </w:r>
      <w:r>
        <w:rPr>
          <w:rFonts w:ascii="Garamond" w:hAnsi="Garamond"/>
          <w:sz w:val="20"/>
        </w:rPr>
        <w:t xml:space="preserve"> Tenn. Code Ann. § 67-4-409 (recordation tax; statement of consideration or value, and of the maximum principal indebtedness for Tennessee recording-tax purposes, on recorded instruments), https://law.justia.com/codes/tennessee/title-67/chapter-4/part-4/section-67-4-409/; Tenn. Dep't of Revenue, Realty Transfer and Recordation Tax Manual (Mar. 2023), https://www.tn.gov/content/dam/tn/revenue/documents/tax_manuals/march-2023/Realty-Transfer-Recordation-Tax.pdf. Part V, Section 5, documents the $0 recitals in use.</w:t>
      </w:r>
    </w:p>
  </w:footnote>
  <w:footnote w:id="40">
    <w:p>
      <w:pPr>
        <w:pStyle w:val="FootnoteText"/>
      </w:pPr>
      <w:r>
        <w:rPr>
          <w:rStyle w:val="FootnoteReference"/>
          <w:rFonts w:ascii="Garamond" w:hAnsi="Garamond"/>
          <w:sz w:val="20"/>
        </w:rPr>
        <w:footnoteRef/>
      </w:r>
      <w:r>
        <w:rPr>
          <w:rFonts w:ascii="Garamond" w:hAnsi="Garamond"/>
          <w:sz w:val="20"/>
        </w:rPr>
        <w:t xml:space="preserve"> See supra note 38.</w:t>
      </w:r>
    </w:p>
  </w:footnote>
  <w:footnote w:id="41">
    <w:p>
      <w:pPr>
        <w:pStyle w:val="FootnoteText"/>
      </w:pPr>
      <w:r>
        <w:rPr>
          <w:rStyle w:val="FootnoteReference"/>
          <w:rFonts w:ascii="Garamond" w:hAnsi="Garamond"/>
          <w:sz w:val="20"/>
        </w:rPr>
        <w:footnoteRef/>
      </w:r>
      <w:r>
        <w:rPr>
          <w:rFonts w:ascii="Garamond" w:hAnsi="Garamond"/>
          <w:sz w:val="20"/>
        </w:rPr>
        <w:t xml:space="preserve"> Laurel Kilgour, Capital Crunch: How the Fall of Local Finance and the Rise of Shareholder Primacy Warped Single-Family Homebuilding in America, Am. Econ. Liberties Project, at 20 to 23 (Nov. 2025), https://www.economicliberties.us/wp-content/uploads/2025/11/20251110-aelp-capitalcrunch-final-1.pdf; Am. Econ. Liberties Project, Fact Sheet: How Build-To-Rent Homes Limit Single-Family Home Supply and Squeeze Affordability (Feb. 2026), http://www.economicliberties.us/wp-content/uploads/2026/02/Build-To-Rent-Fact-Sheet-2.25.26.pdf.</w:t>
      </w:r>
    </w:p>
  </w:footnote>
  <w:footnote w:id="42">
    <w:p>
      <w:pPr>
        <w:pStyle w:val="FootnoteText"/>
      </w:pPr>
      <w:r>
        <w:rPr>
          <w:rStyle w:val="FootnoteReference"/>
          <w:rFonts w:ascii="Garamond" w:hAnsi="Garamond"/>
          <w:sz w:val="20"/>
        </w:rPr>
        <w:footnoteRef/>
      </w:r>
      <w:r>
        <w:rPr>
          <w:rFonts w:ascii="Garamond" w:hAnsi="Garamond"/>
          <w:sz w:val="20"/>
        </w:rPr>
        <w:t xml:space="preserve"> U.S. Gov't Accountability Off., GAO-24-106643, Rental Housing: Information on Institutional Investment in Single-Family Homes (May 2024), https://www.gao.gov/products/gao-24-106643 (metropolitan areas with the largest institutional single-family rental shares); Keyoung Lee &amp; David Wylie, Institutional Investors, Rents, and Neighborhood Change in the Single-Family Residential Market, Fed. Rsrv. Bank of Phila. Working Paper No. 24-13 (July 2024), https://doi.org/10.21799/frbp.wp.2024.13 (ranking core-based statistical areas by institutional single-family ownership; Nashville tenth at 1.80 percent of the housing stock).</w:t>
      </w:r>
    </w:p>
  </w:footnote>
  <w:footnote w:id="43">
    <w:p>
      <w:pPr>
        <w:pStyle w:val="FootnoteText"/>
      </w:pPr>
      <w:r>
        <w:rPr>
          <w:rStyle w:val="FootnoteReference"/>
          <w:rFonts w:ascii="Garamond" w:hAnsi="Garamond"/>
          <w:sz w:val="20"/>
        </w:rPr>
        <w:footnoteRef/>
      </w:r>
      <w:r>
        <w:rPr>
          <w:rFonts w:ascii="Garamond" w:hAnsi="Garamond"/>
          <w:sz w:val="20"/>
        </w:rPr>
        <w:t xml:space="preserve"> See supra note 4.</w:t>
      </w:r>
    </w:p>
  </w:footnote>
  <w:footnote w:id="44">
    <w:p>
      <w:pPr>
        <w:pStyle w:val="FootnoteText"/>
      </w:pPr>
      <w:r>
        <w:rPr>
          <w:rStyle w:val="FootnoteReference"/>
          <w:rFonts w:ascii="Garamond" w:hAnsi="Garamond"/>
          <w:sz w:val="20"/>
        </w:rPr>
        <w:footnoteRef/>
      </w:r>
      <w:r>
        <w:rPr>
          <w:rFonts w:ascii="Garamond" w:hAnsi="Garamond"/>
          <w:sz w:val="20"/>
        </w:rPr>
        <w:t xml:space="preserve"> Pub. L. No. 119-101, § 1001(a)(2)(A) to (K); id. § 1001(a)(2)(I) (purchases from an investor not covered by the section within two years of the effective date).</w:t>
      </w:r>
    </w:p>
  </w:footnote>
  <w:footnote w:id="45">
    <w:p>
      <w:pPr>
        <w:pStyle w:val="FootnoteText"/>
      </w:pPr>
      <w:r>
        <w:rPr>
          <w:rStyle w:val="FootnoteReference"/>
          <w:rFonts w:ascii="Garamond" w:hAnsi="Garamond"/>
          <w:sz w:val="20"/>
        </w:rPr>
        <w:footnoteRef/>
      </w:r>
      <w:r>
        <w:rPr>
          <w:rFonts w:ascii="Garamond" w:hAnsi="Garamond"/>
          <w:sz w:val="20"/>
        </w:rPr>
        <w:t xml:space="preserve"> Press Release, U.S. Dep't of Justice, Justice Department Requires RealPage to End the Sharing of Competitively Sensitive Information and Alignment of Pricing Among Competitors, https://www.justice.gov/opa/pr/justice-department-requires-realpage-end-sharing-competitively-sensitive-information-and.</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eastAsia="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eastAsia="Garamond"/>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eastAsia="Garamond"/>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eastAsia="Garamond"/>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aramond" w:hAnsi="Garamond" w:eastAsia="Garamond"/>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