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b/>
          <w:sz w:val="28"/>
        </w:rPr>
        <w:t>WHO OWNS NASHVILLE? WALL STREET'S QUIET TAKEOVER OF A CITY'S HOUSING MARKET</w:t>
      </w:r>
    </w:p>
    <w:p>
      <w:pPr>
        <w:jc w:val="center"/>
      </w:pPr>
      <w:r>
        <w:rPr>
          <w:rFonts w:ascii="Garamond" w:hAnsi="Garamond"/>
          <w:i/>
          <w:sz w:val="24"/>
        </w:rPr>
        <w:t>Series Introduction</w:t>
      </w:r>
    </w:p>
    <w:p>
      <w:pPr>
        <w:jc w:val="center"/>
      </w:pPr>
      <w:r>
        <w:rPr>
          <w:rFonts w:ascii="Garamond" w:hAnsi="Garamond"/>
          <w:i/>
          <w:sz w:val="22"/>
        </w:rPr>
        <w:t>By Natalie Baldacci</w:t>
      </w:r>
    </w:p>
    <w:p>
      <w:pPr>
        <w:pStyle w:val="Heading1"/>
        <w:spacing w:before="360"/>
      </w:pPr>
      <w:r>
        <w:t>Introduction</w:t>
      </w:r>
    </w:p>
    <w:p>
      <w:pPr>
        <w:spacing w:line="480" w:lineRule="auto" w:before="0" w:after="0"/>
        <w:ind w:firstLine="720"/>
      </w:pPr>
      <w:r>
        <w:rPr>
          <w:rFonts w:ascii="Garamond" w:hAnsi="Garamond"/>
        </w:rPr>
        <w:t>Two deeds of trust are recorded against the house at 8924 Ristau Court in Antioch. The first, recorded in October 2018, secures a loan from Morgan Stanley. The second, recorded in October 2021, secures a loan from Goldman Sachs. Together the two instruments state principal of $2,480,733,000.</w:t>
      </w:r>
      <w:r>
        <w:rPr>
          <w:rStyle w:val="FootnoteReference"/>
        </w:rPr>
        <w:footnoteReference w:id="1"/>
      </w:r>
      <w:r>
        <w:rPr>
          <w:rFonts w:ascii="Garamond" w:hAnsi="Garamond"/>
        </w:rPr>
        <w:t xml:space="preserve"> The house is an ordinary single-family home in southeast Davidson County. The figure is not its debt. It is the combined national size of the two rental securitization pools that successively counted this one house as collateral, because a pool loan records at its full amount in every county where the pool holds a home. A family pays rent on Ristau Court. The rent flows through a numbered borrower entity into a bond. Nothing in the county record says so in plain terms. A reader has to assemble it, instrument by instrument, from files no one designed to be read together.</w:t>
      </w:r>
    </w:p>
    <w:p>
      <w:pPr>
        <w:spacing w:line="480" w:lineRule="auto" w:before="0" w:after="0"/>
        <w:ind w:firstLine="720"/>
      </w:pPr>
      <w:r>
        <w:rPr>
          <w:rFonts w:ascii="Garamond" w:hAnsi="Garamond"/>
        </w:rPr>
        <w:t>Congress has now legislated against the companies behind arrangements like this one. On July 11, 2026, the 21st Century ROAD to Housing Act became law without the President's signature.</w:t>
      </w:r>
      <w:r>
        <w:rPr>
          <w:rStyle w:val="FootnoteReference"/>
        </w:rPr>
        <w:footnoteReference w:id="2"/>
      </w:r>
      <w:r>
        <w:rPr>
          <w:rFonts w:ascii="Garamond" w:hAnsi="Garamond"/>
        </w:rPr>
        <w:t xml:space="preserve"> Its single-family provision carries a heading that reads less like statutory drafting than a slogan: Homes Are for People, Not Corporations. For fifteen years, section 1001 bars a large institutional investor, a for-profit entity controlling 350 or more single-family homes nationwide under a five-prong control test, from purchasing another single-family home, defined as a structure with two or fewer dwelling units.</w:t>
      </w:r>
      <w:r>
        <w:rPr>
          <w:rStyle w:val="FootnoteReference"/>
        </w:rPr>
        <w:footnoteReference w:id="3"/>
      </w:r>
      <w:r>
        <w:rPr>
          <w:rFonts w:ascii="Garamond" w:hAnsi="Garamond"/>
        </w:rPr>
        <w:t xml:space="preserve"> The penalty is $1 million or three times the purchase price, whichever is greater. No one is forced to sell anything.</w:t>
      </w:r>
      <w:r>
        <w:rPr>
          <w:rStyle w:val="FootnoteReference"/>
        </w:rPr>
        <w:footnoteReference w:id="4"/>
      </w:r>
      <w:r>
        <w:rPr>
          <w:rFonts w:ascii="Garamond" w:hAnsi="Garamond"/>
        </w:rPr>
        <w:t xml:space="preserve"> And the ban arrives with eleven categories of excepted purchases, lettered (a)(2)(A) through (K), two of which, building new homes to rent and renovating existing ones to rent, bless the channels through which institutional capital now moves.</w:t>
      </w:r>
      <w:r>
        <w:rPr>
          <w:rStyle w:val="FootnoteReference"/>
        </w:rPr>
        <w:footnoteReference w:id="5"/>
      </w:r>
    </w:p>
    <w:p>
      <w:pPr>
        <w:spacing w:line="480" w:lineRule="auto" w:before="0" w:after="0"/>
        <w:ind w:firstLine="720"/>
      </w:pPr>
      <w:r>
        <w:rPr>
          <w:rFonts w:ascii="Garamond" w:hAnsi="Garamond"/>
        </w:rPr>
        <w:t>This series measures that statute against one county. Davidson County, Tennessee holds 205,933 single-family homes under the Act's definition. Individuals own 83.7 percent of them, corporate entities own 16,615 (8.1 percent), and the named national operators the statute was written against hold roughly 3,940 (1.9 percent), led by Progress Residential (1,222), American Homes 4 Rent (1,173), and Amherst (657).</w:t>
      </w:r>
      <w:r>
        <w:rPr>
          <w:rStyle w:val="FootnoteReference"/>
        </w:rPr>
        <w:footnoteReference w:id="6"/>
      </w:r>
      <w:r>
        <w:rPr>
          <w:rFonts w:ascii="Garamond" w:hAnsi="Garamond"/>
        </w:rPr>
        <w:t xml:space="preserve"> The wider absentee market dwarfs both figures: 42,631 of the county's single-family homes (20.7 percent) are not occupied by their owners, and 11,929 answer to an owner address outside Tennessee.</w:t>
      </w:r>
      <w:r>
        <w:rPr>
          <w:rStyle w:val="FootnoteReference"/>
        </w:rPr>
        <w:footnoteReference w:id="7"/>
      </w:r>
      <w:r>
        <w:rPr>
          <w:rFonts w:ascii="Garamond" w:hAnsi="Garamond"/>
        </w:rPr>
        <w:t xml:space="preserve"> The two corporate tiers also occupy two different geographies. The broad entity-owned class concentrates at 1.23 times its expected rate in the county's economically burdened tracts, while the named operators run the other way (0.88), buying the cheap end of middle-income homeowner suburbs.</w:t>
      </w:r>
      <w:r>
        <w:rPr>
          <w:rStyle w:val="FootnoteReference"/>
        </w:rPr>
        <w:footnoteReference w:id="8"/>
      </w:r>
      <w:r>
        <w:rPr>
          <w:rFonts w:ascii="Garamond" w:hAnsi="Garamond"/>
        </w:rPr>
        <w:t xml:space="preserve"> A statute with a single threshold reaches one of these phenomena and misses the other, and the series returns to that seam in every Part.</w:t>
      </w:r>
    </w:p>
    <w:p>
      <w:pPr>
        <w:pStyle w:val="Heading2"/>
      </w:pPr>
      <w:r>
        <w:t>The ban moved the problem upstream</w:t>
      </w:r>
    </w:p>
    <w:p>
      <w:pPr>
        <w:spacing w:line="480" w:lineRule="auto" w:before="0" w:after="0"/>
        <w:ind w:firstLine="720"/>
      </w:pPr>
      <w:r>
        <w:rPr>
          <w:rFonts w:ascii="Garamond" w:hAnsi="Garamond"/>
        </w:rPr>
        <w:t>The 21st Century ROAD to Housing Act did not solve the problem of institutional capital in single-family housing. It relocated it. The statute bans a large investor from buying an existing home to rent, the transaction that defined the first decade of Wall Street's entry into the sector. It leaves everything upstream of that transaction open. An investor barred from buying the finished house can still finance it, bank the land under it, build it as a rental, and deliver it into a portfolio the ban never touches. The law aimed at one stage of the housing lifecycle, and capital moved to the stages the law does not reach.</w:t>
      </w:r>
    </w:p>
    <w:p>
      <w:pPr>
        <w:spacing w:line="480" w:lineRule="auto" w:before="0" w:after="0"/>
        <w:ind w:firstLine="720"/>
      </w:pPr>
      <w:r>
        <w:rPr>
          <w:rFonts w:ascii="Garamond" w:hAnsi="Garamond"/>
        </w:rPr>
        <w:t>For a decade the concern was narrow and visible. Large operators bought foreclosed and existing homes, converted them to rentals, and became the landlords of neighborhoods that had been owner-occupied. Those operators are easy to name and easy to count, and the ban lands squarely on them. But the same capital now reaches into every stage of the lifecycle. In build-to-rent, funds acquire builders or contract public homebuilders to construct communities for rent rather than for sale. In land banking, new vehicles assemble raw land and unbuilt lots ahead of development, holding the ground before a home exists.</w:t>
      </w:r>
      <w:r>
        <w:rPr>
          <w:rStyle w:val="FootnoteReference"/>
        </w:rPr>
        <w:footnoteReference w:id="9"/>
      </w:r>
      <w:r>
        <w:rPr>
          <w:rFonts w:ascii="Garamond" w:hAnsi="Garamond"/>
        </w:rPr>
        <w:t xml:space="preserve"> In finance, the securitization model that pooled the rents of existing homes now extends to newly built ones. The player the public learned to watch, the buy-to-rent landlord, was only the first form the capital took.</w:t>
      </w:r>
    </w:p>
    <w:p>
      <w:pPr>
        <w:spacing w:line="480" w:lineRule="auto" w:before="0" w:after="0"/>
        <w:ind w:firstLine="720"/>
      </w:pPr>
      <w:r>
        <w:rPr>
          <w:rFonts w:ascii="Garamond" w:hAnsi="Garamond"/>
        </w:rPr>
        <w:t>The homebuilder pivot is the sharpest edge of this shift. For twenty years the national homebuilders acquired local builders, and few observers objected, because those builders built homes for sale. Ownership changed hands, but the product still reached families who could buy. That is no longer the assumption. Public builders now stand up their own build-to-rent lines or prioritize partnerships and forward contracts that route new construction into rental portfolios.</w:t>
      </w:r>
      <w:r>
        <w:rPr>
          <w:rStyle w:val="FootnoteReference"/>
        </w:rPr>
        <w:footnoteReference w:id="10"/>
      </w:r>
      <w:r>
        <w:rPr>
          <w:rFonts w:ascii="Garamond" w:hAnsi="Garamond"/>
        </w:rPr>
        <w:t xml:space="preserve"> Each home built for rent is a home not built for sale. The supply that once fed the ownership market feeds the rental market instead, and the shift happens through a channel the statute exempts by name.</w:t>
      </w:r>
    </w:p>
    <w:p>
      <w:pPr>
        <w:spacing w:line="480" w:lineRule="auto" w:before="0" w:after="0"/>
        <w:ind w:firstLine="720"/>
      </w:pPr>
      <w:r>
        <w:rPr>
          <w:rFonts w:ascii="Garamond" w:hAnsi="Garamond"/>
        </w:rPr>
        <w:t>This reframes the supply debate. The shortage may ease. New units may rise. But the question is not only how many homes get built. It is who is allowed to own them. A housing policy that counts units and ignores tenure can call itself a success while the path to ownership narrows underneath it. The cost of the new model is not measured in units. It is measured in the homes that families can no longer buy, which is to say it is measured against the promise the housing system was built to keep.</w:t>
      </w:r>
      <w:r>
        <w:rPr>
          <w:rStyle w:val="FootnoteReference"/>
        </w:rPr>
        <w:footnoteReference w:id="11"/>
      </w:r>
    </w:p>
    <w:p>
      <w:pPr>
        <w:spacing w:line="480" w:lineRule="auto" w:before="0" w:after="0"/>
        <w:ind w:firstLine="720"/>
      </w:pPr>
      <w:r>
        <w:rPr>
          <w:rFonts w:ascii="Garamond" w:hAnsi="Garamond"/>
        </w:rPr>
        <w:t>The new model also hides itself. The joint ventures, forward-flow agreements, and layered vehicles that route capital through construction and land make ownership harder to trace, not easier.</w:t>
      </w:r>
      <w:r>
        <w:rPr>
          <w:rStyle w:val="FootnoteReference"/>
        </w:rPr>
        <w:footnoteReference w:id="12"/>
      </w:r>
      <w:r>
        <w:rPr>
          <w:rFonts w:ascii="Garamond" w:hAnsi="Garamond"/>
        </w:rPr>
        <w:t xml:space="preserve"> Each partnership adds a legal layer between the entity on the deed and the capital behind it. A statute that governs purchasers cannot govern what it cannot see, and the structures that fund this expansion are built, in part, to not be seen. The Davidson record shows the layers in the instruments themselves: a recorded easement that defines a Kennedy Lewis vehicle as the "Land Bank Investor" and grants Lennar an option on its lots through 2028, a declaration of covenants that names a TPG Angelo Gordon vehicle the "Land Bank" on a second Lennar project, a December 2025 deed that moved 106 Hamilton Crossing parcels from a public builder to a VineBrook affiliate, and the two pool loans on Ristau Court.</w:t>
      </w:r>
      <w:r>
        <w:rPr>
          <w:rStyle w:val="FootnoteReference"/>
        </w:rPr>
        <w:footnoteReference w:id="13"/>
      </w:r>
    </w:p>
    <w:p>
      <w:pPr>
        <w:spacing w:line="480" w:lineRule="auto" w:before="0" w:after="0"/>
        <w:ind w:firstLine="720"/>
      </w:pPr>
      <w:r>
        <w:rPr>
          <w:rFonts w:ascii="Garamond" w:hAnsi="Garamond"/>
        </w:rPr>
        <w:t>That opacity supplies the second rule the series tests: the vaguer the actor, the weaker the statute. The players grow harder to identify the further upstream one looks. Owners and landlords are the clearest actors, named operators and registered landlords a reader can see on a deed or a rent roll. Builders blur into joint ventures and forward-purchase agreements. Landbankers blur further, into option contracts and single-purpose vehicles that hold dirt and nothing else. Financiers are the hardest to trace, hidden inside securitization shells and fund-over-entity stacks that surface only through SEC filings and recorded deeds of trust. The Act's force runs down the same gradient. It binds the actors it can see and exempts or ignores the ones it cannot.</w:t>
      </w:r>
    </w:p>
    <w:p>
      <w:pPr>
        <w:pStyle w:val="Heading2"/>
      </w:pPr>
      <w:r>
        <w:t>Why Nashville</w:t>
      </w:r>
    </w:p>
    <w:p>
      <w:pPr>
        <w:spacing w:line="480" w:lineRule="auto" w:before="0" w:after="0"/>
        <w:ind w:firstLine="720"/>
      </w:pPr>
      <w:r>
        <w:rPr>
          <w:rFonts w:ascii="Garamond" w:hAnsi="Garamond"/>
        </w:rPr>
        <w:t>Nashville rewards this test because its institutional surge came late. The first wave of corporate landlords stormed the Sun Belt during the foreclosure crisis, buying distressed homes at auction across Atlanta and Phoenix while Nashville stayed quiet. By 2015 the major operators held roughly 2,970 homes across the six-county region, concentrated in the suburban counties rather than Davidson's urban core.</w:t>
      </w:r>
      <w:r>
        <w:rPr>
          <w:rStyle w:val="FootnoteReference"/>
        </w:rPr>
        <w:footnoteReference w:id="14"/>
      </w:r>
      <w:r>
        <w:rPr>
          <w:rFonts w:ascii="Garamond" w:hAnsi="Garamond"/>
        </w:rPr>
        <w:t xml:space="preserve"> Institutional capital arrived in force during the pandemic price run: investors took 20 percent of Davidson County home purchases in 2020, and 21 percent of sales in Antioch, competing on the open market for the same entry-level homes first-time buyers wanted.</w:t>
      </w:r>
      <w:r>
        <w:rPr>
          <w:rStyle w:val="FootnoteReference"/>
        </w:rPr>
        <w:footnoteReference w:id="15"/>
      </w:r>
      <w:r>
        <w:rPr>
          <w:rFonts w:ascii="Garamond" w:hAnsi="Garamond"/>
        </w:rPr>
        <w:t xml:space="preserve"> The footprint here is not a residue of the 2008 collapse. It is a deliberate post-Covid bet on a rising market, which lets a reader separate what institutional buying does to a growing city from the distress that excused it elsewhere.</w:t>
      </w:r>
    </w:p>
    <w:p>
      <w:pPr>
        <w:spacing w:line="480" w:lineRule="auto" w:before="0" w:after="0"/>
        <w:ind w:firstLine="720"/>
      </w:pPr>
      <w:r>
        <w:rPr>
          <w:rFonts w:ascii="Garamond" w:hAnsi="Garamond"/>
        </w:rPr>
        <w:t>The state has also shown it will not regulate this market itself. The 2024 End Hedge Fund Control of Tennessee Homes Act proposed a $20,000-per-property annual tax on investors owning more than 100 homes and died in committee.</w:t>
      </w:r>
      <w:r>
        <w:rPr>
          <w:rStyle w:val="FootnoteReference"/>
        </w:rPr>
        <w:footnoteReference w:id="16"/>
      </w:r>
      <w:r>
        <w:rPr>
          <w:rFonts w:ascii="Garamond" w:hAnsi="Garamond"/>
        </w:rPr>
        <w:t xml:space="preserve"> The 2025 Homes Not Hedge Funds Act passed the Tennessee Senate 31 to 1 and then failed in a House subcommittee.</w:t>
      </w:r>
      <w:r>
        <w:rPr>
          <w:rStyle w:val="FootnoteReference"/>
        </w:rPr>
        <w:footnoteReference w:id="17"/>
      </w:r>
      <w:r>
        <w:rPr>
          <w:rFonts w:ascii="Garamond" w:hAnsi="Garamond"/>
        </w:rPr>
        <w:t xml:space="preserve"> Tennessee hosts one of the country's more concentrated institutional markets and has enacted none of the acquisition limits its legislators twice proposed. That failure throws the full weight of regulation onto a federal statute written in Washington, which makes the local record the right place to test what the statute reaches.</w:t>
      </w:r>
    </w:p>
    <w:p>
      <w:pPr>
        <w:spacing w:line="480" w:lineRule="auto" w:before="0" w:after="0"/>
        <w:ind w:firstLine="720"/>
      </w:pPr>
      <w:r>
        <w:rPr>
          <w:rFonts w:ascii="Garamond" w:hAnsi="Garamond"/>
        </w:rPr>
        <w:t>The scholarship is thin where the test is cleanest. Hundreds of studies examine Atlanta, Phoenix, and Charlotte. One peer-reviewed study examines Nashville, published in 2018, and it called for more local research.</w:t>
      </w:r>
      <w:r>
        <w:rPr>
          <w:rStyle w:val="FootnoteReference"/>
        </w:rPr>
        <w:footnoteReference w:id="18"/>
      </w:r>
      <w:r>
        <w:rPr>
          <w:rFonts w:ascii="Garamond" w:hAnsi="Garamond"/>
        </w:rPr>
        <w:t xml:space="preserve"> This series answers the call.</w:t>
      </w:r>
    </w:p>
    <w:p>
      <w:pPr>
        <w:pStyle w:val="Heading2"/>
      </w:pPr>
      <w:r>
        <w:t>The series</w:t>
      </w:r>
    </w:p>
    <w:p>
      <w:pPr>
        <w:spacing w:line="480" w:lineRule="auto" w:before="0" w:after="0"/>
        <w:ind w:firstLine="720"/>
      </w:pPr>
      <w:r>
        <w:rPr>
          <w:rFonts w:ascii="Garamond" w:hAnsi="Garamond"/>
        </w:rPr>
        <w:t>The series makes a structural argument, and the structure carries it. A home moves through a lifecycle: capital finances the land, a developer banks it, a builder raises the house, an owner holds it, and a landlord rents it. The Act splits along the same lifecycle. Its prohibition lands downstream, on buying existing homes to rent. Its exceptions bless the upstream end. Land sits in a blind spot the statute never names, and finance cuts across every stage. So the series walks the lifecycle backwards, from the finished rented house up to the raw land and the capital behind it, and reads each stage against the Act.</w:t>
      </w:r>
    </w:p>
    <w:p>
      <w:pPr>
        <w:spacing w:line="480" w:lineRule="auto" w:before="0" w:after="0"/>
        <w:ind w:firstLine="720"/>
      </w:pPr>
      <w:r>
        <w:rPr>
          <w:rFonts w:ascii="Garamond" w:hAnsi="Garamond"/>
        </w:rPr>
        <w:t>Part I, Who Owns Nashville, builds the definitional spine. It applies the Act's three definitions, single-family home, large institutional investor, and purchase, to every parcel in the county, resolves roughly ten thousand entity names to the parent families behind them, and states who holds what: the 205,933-home universe, the 16,615 entity-owned homes, the 3,940 held by named operators, and the two geographies they occupy.</w:t>
      </w:r>
    </w:p>
    <w:p>
      <w:pPr>
        <w:spacing w:line="480" w:lineRule="auto" w:before="0" w:after="0"/>
        <w:ind w:firstLine="720"/>
      </w:pPr>
      <w:r>
        <w:rPr>
          <w:rFonts w:ascii="Garamond" w:hAnsi="Garamond"/>
        </w:rPr>
        <w:t>Part II, Who Rents Nashville, examines where the ban lands. The prohibited conduct is renting out the existing home, so Part II reads the operators through the records their tenants generate: Nashville's landlord registration ordinance, which reaches a fraction of the rental stock after twenty years, and the eviction docket, where two operators account for most of the identified institutional filings while a third, with more homes than either, has filed almost none.</w:t>
      </w:r>
      <w:r>
        <w:rPr>
          <w:rStyle w:val="FootnoteReference"/>
        </w:rPr>
        <w:footnoteReference w:id="19"/>
      </w:r>
    </w:p>
    <w:p>
      <w:pPr>
        <w:spacing w:line="480" w:lineRule="auto" w:before="0" w:after="0"/>
        <w:ind w:firstLine="720"/>
      </w:pPr>
      <w:r>
        <w:rPr>
          <w:rFonts w:ascii="Garamond" w:hAnsi="Garamond"/>
        </w:rPr>
        <w:t>Part III, Who Builds Nashville, measures the exception that opens. Build-to-rent construction rose from nothing in 2013 to 7.3 percent of the county's 2025 single-family permits, and every national build-to-rent model now operates in Davidson County, from the operator that builds and holds to the builder that delivers finished streets into a fund's portfolio.</w:t>
      </w:r>
      <w:r>
        <w:rPr>
          <w:rStyle w:val="FootnoteReference"/>
        </w:rPr>
        <w:footnoteReference w:id="20"/>
      </w:r>
      <w:r>
        <w:rPr>
          <w:rFonts w:ascii="Garamond" w:hAnsi="Garamond"/>
        </w:rPr>
        <w:t xml:space="preserve"> The Act exempts this channel by name. Part III measures how fast capital is walking through the door the statute holds open.</w:t>
      </w:r>
    </w:p>
    <w:p>
      <w:pPr>
        <w:spacing w:line="480" w:lineRule="auto" w:before="0" w:after="0"/>
        <w:ind w:firstLine="720"/>
      </w:pPr>
      <w:r>
        <w:rPr>
          <w:rFonts w:ascii="Garamond" w:hAnsi="Garamond"/>
        </w:rPr>
        <w:t>Part IV, Who Landbanks Nashville, maps the blind spot. Raw land is not a home under section 1001(a)(5), so the ban never reaches the stage where control begins. The landbanking model holds ground through option contracts and single-purpose vehicles rather than deeds, which means the control barely registers in the county record at all. In the deed books, the difference between owning a subdivision and controlling one is the difference between two recorded instruments and twenty-five. The Act's silence about that stage is not an oversight to be noted but the finding itself.</w:t>
      </w:r>
    </w:p>
    <w:p>
      <w:pPr>
        <w:spacing w:line="480" w:lineRule="auto" w:before="0" w:after="0"/>
        <w:ind w:firstLine="720"/>
      </w:pPr>
      <w:r>
        <w:rPr>
          <w:rFonts w:ascii="Garamond" w:hAnsi="Garamond"/>
        </w:rPr>
        <w:t>Part V, Who Finances Nashville, follows the capital that outruns the statute. More than 118 securitization deals have pledged 1,833 Davidson County homes as collateral for rental-backed bonds. Ninety-three percent of those homes still sit with their borrower entities, and 1.8 percent have ever returned to an individual owner.</w:t>
      </w:r>
      <w:r>
        <w:rPr>
          <w:rStyle w:val="FootnoteReference"/>
        </w:rPr>
        <w:footnoteReference w:id="21"/>
      </w:r>
      <w:r>
        <w:rPr>
          <w:rFonts w:ascii="Garamond" w:hAnsi="Garamond"/>
        </w:rPr>
        <w:t xml:space="preserve"> The house on Ristau Court is one of them. The statute regulates purchasers. It says nothing about the structures that fund them, and Part V shows what those structures did to one county's starter homes.</w:t>
      </w:r>
    </w:p>
    <w:p>
      <w:pPr>
        <w:pStyle w:val="Heading2"/>
      </w:pPr>
      <w:r>
        <w:t>What the series contributes</w:t>
      </w:r>
    </w:p>
    <w:p>
      <w:pPr>
        <w:spacing w:line="480" w:lineRule="auto" w:before="0" w:after="0"/>
        <w:ind w:firstLine="720"/>
      </w:pPr>
      <w:r>
        <w:rPr>
          <w:rFonts w:ascii="Garamond" w:hAnsi="Garamond"/>
        </w:rPr>
        <w:t>The method is the contribution as much as the findings are. Every claim in the series rests on public primary records: the county's cadastral parcel data, the Register of Deeds chain of title, building permits, court dockets, Census data, and SEC filings. No proprietary vendor data stands between the reader and the evidence, and each Part ends where a reader can replay the query and check the claim.</w:t>
      </w:r>
      <w:r>
        <w:rPr>
          <w:rStyle w:val="FootnoteReference"/>
        </w:rPr>
        <w:footnoteReference w:id="22"/>
      </w:r>
      <w:r>
        <w:rPr>
          <w:rFonts w:ascii="Garamond" w:hAnsi="Garamond"/>
        </w:rPr>
        <w:t xml:space="preserve"> The method also answers a gap the statute itself creates. The Act's trigger is a count of controlled homes, but no agency operates the counting apparatus the trigger assumes. Resolving thousands of entity names to the parent families behind them, through corporate registrations, shared tax addresses, and recorded instruments, is a working model of the infrastructure the law needs and does not build. The series also updates the record. The 2018 Nashville study counted four operators and roughly 2,970 homes across the metro, concentrated in tracts whiter and richer than the county norm.</w:t>
      </w:r>
      <w:r>
        <w:rPr>
          <w:rStyle w:val="FootnoteReference"/>
        </w:rPr>
        <w:footnoteReference w:id="23"/>
      </w:r>
      <w:r>
        <w:rPr>
          <w:rFonts w:ascii="Garamond" w:hAnsi="Garamond"/>
        </w:rPr>
        <w:t xml:space="preserve"> That geography has reversed. The tracts where corporate ownership now concentrates are 37.8 percent Black against 17.9 percent elsewhere, with median household income of $70,640 against $92,212, while the housing stock in those tracts remains newer (median year built 1993 against 1979).</w:t>
      </w:r>
      <w:r>
        <w:rPr>
          <w:rStyle w:val="FootnoteReference"/>
        </w:rPr>
        <w:footnoteReference w:id="24"/>
      </w:r>
      <w:r>
        <w:rPr>
          <w:rFonts w:ascii="Garamond" w:hAnsi="Garamond"/>
        </w:rPr>
        <w:t xml:space="preserve"> The operators did not change what they buy. The county changed around what they bought, and the class of buyer below the statutory threshold changed the map.</w:t>
      </w:r>
    </w:p>
    <w:p>
      <w:pPr>
        <w:spacing w:line="480" w:lineRule="auto" w:before="0" w:after="0"/>
        <w:ind w:firstLine="720"/>
      </w:pPr>
      <w:r>
        <w:rPr>
          <w:rFonts w:ascii="Garamond" w:hAnsi="Garamond"/>
        </w:rPr>
        <w:t>The series ends where the next decade starts: at the permit, the plat, and the pool, all outside the statute. The ban closed the door the capital had already stopped using and left open every door it now walks through. The five Parts that follow document each of those doors in one county's records, beginning with the question the statute makes every other question depend on. Who owns Nashville?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rPr>
          <w:rFonts w:ascii="Garamond" w:hAnsi="Garamond"/>
          <w:sz w:val="20"/>
        </w:rPr>
        <w:separator/>
      </w:r>
    </w:p>
  </w:footnote>
  <w:footnote w:type="continuationSeparator" w:id="0">
    <w:p>
      <w:r>
        <w:rPr>
          <w:rFonts w:ascii="Garamond" w:hAnsi="Garamond"/>
          <w:sz w:val="20"/>
        </w:rPr>
        <w:continuationSeparator/>
      </w:r>
    </w:p>
  </w:footnote>
  <w:footnote w:id="1">
    <w:p>
      <w:pPr>
        <w:pStyle w:val="FootnoteText"/>
      </w:pPr>
      <w:r>
        <w:rPr>
          <w:rStyle w:val="FootnoteReference"/>
          <w:rFonts w:ascii="Garamond" w:hAnsi="Garamond"/>
          <w:sz w:val="20"/>
        </w:rPr>
        <w:footnoteRef/>
      </w:r>
      <w:r>
        <w:rPr>
          <w:rFonts w:ascii="Garamond" w:hAnsi="Garamond"/>
          <w:sz w:val="20"/>
        </w:rPr>
        <w:t xml:space="preserve"> Deeds of Trust, Davidson Cnty. Register of Deeds, Instrument No. 20181012-0101545 (recorded Oct. 12, 2018; $1,033,188,000; Morgan Stanley Mortgage Capital Holdings as lender), https://www.davidsonportal.com/gis/file.php?file=201810120101545, and Instrument No. 20211014-0138172 (recorded Oct. 14, 2021; $1,447,545,000; Goldman Sachs as lender), https://www.davidsonportal.com/gis/file.php?file=202110140138172, both encumbering 8924 Ristau Court, Antioch, with Progress Borrower 5 LLC as borrower. The recorded principals sum to $2,480,733,000. A single-family-rental securitization loan records at its full national principal in every county where its collateral sits, so neither figure is debt attributable to the parcel. Part V traces both instruments to their pools.</w:t>
      </w:r>
    </w:p>
  </w:footnote>
  <w:footnote w:id="2">
    <w:p>
      <w:pPr>
        <w:pStyle w:val="FootnoteText"/>
      </w:pPr>
      <w:r>
        <w:rPr>
          <w:rStyle w:val="FootnoteReference"/>
          <w:rFonts w:ascii="Garamond" w:hAnsi="Garamond"/>
          <w:sz w:val="20"/>
        </w:rPr>
        <w:footnoteRef/>
      </w:r>
      <w:r>
        <w:rPr>
          <w:rFonts w:ascii="Garamond" w:hAnsi="Garamond"/>
          <w:sz w:val="20"/>
        </w:rPr>
        <w:t xml:space="preserve"> 21st Century ROAD to Housing Act, Pub. L. No. 119-101, § 1001 (2026) (H.R. 6644, 119th Cong.; became law July 11, 2026, without the President's signature), enrolled text at https://www.congress.gov/119/bills/hr6644/BILLS-119hr6644enr.pdf; HTML at https://www.govinfo.gov/content/pkg/BILLS-119hr6644enr/html/BILLS-119hr6644enr.htm.</w:t>
      </w:r>
    </w:p>
  </w:footnote>
  <w:footnote w:id="3">
    <w:p>
      <w:pPr>
        <w:pStyle w:val="FootnoteText"/>
      </w:pPr>
      <w:r>
        <w:rPr>
          <w:rStyle w:val="FootnoteReference"/>
          <w:rFonts w:ascii="Garamond" w:hAnsi="Garamond"/>
          <w:sz w:val="20"/>
        </w:rPr>
        <w:footnoteRef/>
      </w:r>
      <w:r>
        <w:rPr>
          <w:rFonts w:ascii="Garamond" w:hAnsi="Garamond"/>
          <w:sz w:val="20"/>
        </w:rPr>
        <w:t xml:space="preserve"> Id. § 1001(a)(3)(A)(i)(II) (defining a large institutional investor as a for-profit entity that, alone or in concert with others, has investment control of not less than 350 single-family homes in the aggregate); id. § 1001(a)(3)(B)(i) to (v) (the five-prong investment-control rule of construction); id. § 1001(a)(5)(A) (defining a single-family home as a structure that contains 2 or fewer dwelling units); id. § 1001(b)(1) (prohibition); id. § 1001(f)(2) (repeal 15 years after the effective date).</w:t>
      </w:r>
    </w:p>
  </w:footnote>
  <w:footnote w:id="4">
    <w:p>
      <w:pPr>
        <w:pStyle w:val="FootnoteText"/>
      </w:pPr>
      <w:r>
        <w:rPr>
          <w:rStyle w:val="FootnoteReference"/>
          <w:rFonts w:ascii="Garamond" w:hAnsi="Garamond"/>
          <w:sz w:val="20"/>
        </w:rPr>
        <w:footnoteRef/>
      </w:r>
      <w:r>
        <w:rPr>
          <w:rFonts w:ascii="Garamond" w:hAnsi="Garamond"/>
          <w:sz w:val="20"/>
        </w:rPr>
        <w:t xml:space="preserve"> Id. § 1001(d)(1) (civil penalty of the greater of $1,000,000 per violation or three times the purchase price); id. § 1001(b)(3)(A) (no forced divestiture).</w:t>
      </w:r>
    </w:p>
  </w:footnote>
  <w:footnote w:id="5">
    <w:p>
      <w:pPr>
        <w:pStyle w:val="FootnoteText"/>
      </w:pPr>
      <w:r>
        <w:rPr>
          <w:rStyle w:val="FootnoteReference"/>
          <w:rFonts w:ascii="Garamond" w:hAnsi="Garamond"/>
          <w:sz w:val="20"/>
        </w:rPr>
        <w:footnoteRef/>
      </w:r>
      <w:r>
        <w:rPr>
          <w:rFonts w:ascii="Garamond" w:hAnsi="Garamond"/>
          <w:sz w:val="20"/>
        </w:rPr>
        <w:t xml:space="preserve"> Id. § 1001(a)(2)(A)–(K) (excepted purchases); id. § 1001(a)(2)(B) (construction of a new single-family home retained as a rental); id. § 1001(a)(2)(C)(ii) (renovation spending of not less than 15 percent of the purchase price).</w:t>
      </w:r>
    </w:p>
  </w:footnote>
  <w:footnote w:id="6">
    <w:p>
      <w:pPr>
        <w:pStyle w:val="FootnoteText"/>
      </w:pPr>
      <w:r>
        <w:rPr>
          <w:rStyle w:val="FootnoteReference"/>
          <w:rFonts w:ascii="Garamond" w:hAnsi="Garamond"/>
          <w:sz w:val="20"/>
        </w:rPr>
        <w:footnoteRef/>
      </w:r>
      <w:r>
        <w:rPr>
          <w:rFonts w:ascii="Garamond" w:hAnsi="Garamond"/>
          <w:sz w:val="20"/>
        </w:rPr>
        <w:t xml:space="preserve"> Author's analysis of Metro. Gov't of Nashville &amp; Davidson Cnty. cadastral parcel records, Cadastral Layer 4, https://maps.nashville.gov/arcgis/rest/services/Cadastral/Cadastral_Layers/MapServer/4. The framework universe is the Act's definition expressed in the county's fields, replayable as a count query: https://maps.nashville.gov/arcgis/rest/services/Cadastral/Cadastral_Layers/MapServer/4/query?where=(DUCount%3D1+OR+DUCount%3D2)+AND+LUDesc+IN+('SINGLE+FAMILY','ZERO+LOT+LINE','DUPLEX','RESIDENTIAL+CONDO')+AND+FeatureType+NOT+IN+('Multistory+Condo','Multistory+Common+Area','Open+Space')&amp;returnCountOnly=true&amp;f=json (205,933 parcels; individuals 172,328, or 83.7 percent; corporate entities 16,615, or 8.1 percent; non-owner-occupied 42,631; out-of-state 11,929). Operator counts are framework parcels as of July 22, 2026, from the series' operator rollup (Progress Residential 1,222, American Homes 4 Rent 1,173, Amherst 657, Tricon 276, Starwood 251, FirstKey 92; named national single-family rental operators approximately 3,940 parcels, or 1.9 percent), Part I, Appendix Table A1. The filter funnel is published at https://nataliebaldacci.github.io/Who-Owns-Nashville/Data_Filter_Funnel.html.</w:t>
      </w:r>
    </w:p>
  </w:footnote>
  <w:footnote w:id="7">
    <w:p>
      <w:pPr>
        <w:pStyle w:val="FootnoteText"/>
      </w:pPr>
      <w:r>
        <w:rPr>
          <w:rStyle w:val="FootnoteReference"/>
          <w:rFonts w:ascii="Garamond" w:hAnsi="Garamond"/>
          <w:sz w:val="20"/>
        </w:rPr>
        <w:footnoteRef/>
      </w:r>
      <w:r>
        <w:rPr>
          <w:rFonts w:ascii="Garamond" w:hAnsi="Garamond"/>
          <w:sz w:val="20"/>
        </w:rPr>
        <w:t xml:space="preserve"> See supra note 6.</w:t>
      </w:r>
    </w:p>
  </w:footnote>
  <w:footnote w:id="8">
    <w:p>
      <w:pPr>
        <w:pStyle w:val="FootnoteText"/>
      </w:pPr>
      <w:r>
        <w:rPr>
          <w:rStyle w:val="FootnoteReference"/>
          <w:rFonts w:ascii="Garamond" w:hAnsi="Garamond"/>
          <w:sz w:val="20"/>
        </w:rPr>
        <w:footnoteRef/>
      </w:r>
      <w:r>
        <w:rPr>
          <w:rFonts w:ascii="Garamond" w:hAnsi="Garamond"/>
          <w:sz w:val="20"/>
        </w:rPr>
        <w:t xml:space="preserve"> Author's tract-level analysis joining the parcel data to U.S. Census Bureau, American Community Survey 2020 to 2024 5-Year Estimates, https://api.census.gov/data/2024/acs/acs5 (entity-owned parcels over-represented at 1.23 times the expected rate in economically burdened tracts; named-operator parcels under-represented at 0.88). Part I, Section V; the tract table is published at https://nataliebaldacci.github.io/Who-Owns-Nashville/Chilton_2018_Update.html.</w:t>
      </w:r>
    </w:p>
  </w:footnote>
  <w:footnote w:id="9">
    <w:p>
      <w:pPr>
        <w:pStyle w:val="FootnoteText"/>
      </w:pPr>
      <w:r>
        <w:rPr>
          <w:rStyle w:val="FootnoteReference"/>
          <w:rFonts w:ascii="Garamond" w:hAnsi="Garamond"/>
          <w:sz w:val="20"/>
        </w:rPr>
        <w:footnoteRef/>
      </w:r>
      <w:r>
        <w:rPr>
          <w:rFonts w:ascii="Garamond" w:hAnsi="Garamond"/>
          <w:sz w:val="20"/>
        </w:rPr>
        <w:t xml:space="preserve"> On the industry's upstream turn from owning to controlling lots and the resulting withholding of developable land, see Laurel Kilgour, Capital Crunch: How the Fall of Local Finance and the Rise of Shareholder Primacy Warped Single-Family Homebuilding in America, Am. Econ. Liberties Project, at 22 (Nov. 2025) (public builders owned about 64 percent of their lots in 2017 and about 26 percent more recently), https://www.economicliberties.us/wp-content/uploads/2025/11/20251110-aelp-capitalcrunch-final-1.pdf; Am. Econ. Liberties Project, Fact Sheet: How Wall Street Drives Land Hoarding and Raises Housing Prices, at 2 (Jan. 2026), https://www.economicliberties.us/wp-content/uploads/2026/01/2026-1-13-Land-Hoarding-Fact-Sheet-CLEAN.pdf.</w:t>
      </w:r>
    </w:p>
  </w:footnote>
  <w:footnote w:id="10">
    <w:p>
      <w:pPr>
        <w:pStyle w:val="FootnoteText"/>
      </w:pPr>
      <w:r>
        <w:rPr>
          <w:rStyle w:val="FootnoteReference"/>
          <w:rFonts w:ascii="Garamond" w:hAnsi="Garamond"/>
          <w:sz w:val="20"/>
        </w:rPr>
        <w:footnoteRef/>
      </w:r>
      <w:r>
        <w:rPr>
          <w:rFonts w:ascii="Garamond" w:hAnsi="Garamond"/>
          <w:sz w:val="20"/>
        </w:rPr>
        <w:t xml:space="preserve"> On public homebuilders prioritizing margin and controlled inventory over volume, and routing production through joint ventures, see Kilgour, Capital Crunch, supra note 8, at 20–21, 23 (quoting D.R. Horton (2015), Meritage (2016), and PulteGroup (Apr. 2025) on controlling inventory and prioritizing margin over volume); Am. Econ. Liberties Project, Fact Sheet: How Build-To-Rent Homes Limit Single-Family Home Supply and Squeeze Affordability (Feb. 2026), https://www.economicliberties.us/wp-content/uploads/2026/02/Build-To-Rent-Fact-Sheet-2.25.26.pdf.</w:t>
      </w:r>
    </w:p>
  </w:footnote>
  <w:footnote w:id="11">
    <w:p>
      <w:pPr>
        <w:pStyle w:val="FootnoteText"/>
      </w:pPr>
      <w:r>
        <w:rPr>
          <w:rStyle w:val="FootnoteReference"/>
          <w:rFonts w:ascii="Garamond" w:hAnsi="Garamond"/>
          <w:sz w:val="20"/>
        </w:rPr>
        <w:footnoteRef/>
      </w:r>
      <w:r>
        <w:rPr>
          <w:rFonts w:ascii="Garamond" w:hAnsi="Garamond"/>
          <w:sz w:val="20"/>
        </w:rPr>
        <w:t xml:space="preserve"> On the collapse of the starter home as a share of new construction, see Kilgour, Capital Crunch, supra note 8, at 14 (since the financial crisis only a single-digit percentage of new homes have been starter homes, about half the rate of the early 2000s); Laurel Kilgour, Capital Crunch: Executive Summary, Am. Econ. Liberties Project, at 5 (Oct. 2025), https://www.economicliberties.us/wp-content/uploads/2025/11/20251014-aelp-capitalcrunch-execsum-v3.pdf.</w:t>
      </w:r>
    </w:p>
  </w:footnote>
  <w:footnote w:id="12">
    <w:p>
      <w:pPr>
        <w:pStyle w:val="FootnoteText"/>
      </w:pPr>
      <w:r>
        <w:rPr>
          <w:rStyle w:val="FootnoteReference"/>
          <w:rFonts w:ascii="Garamond" w:hAnsi="Garamond"/>
          <w:sz w:val="20"/>
        </w:rPr>
        <w:footnoteRef/>
      </w:r>
      <w:r>
        <w:rPr>
          <w:rFonts w:ascii="Garamond" w:hAnsi="Garamond"/>
          <w:sz w:val="20"/>
        </w:rPr>
        <w:t xml:space="preserve"> On joint ventures obscuring ownership and control in the homebuilding and land-holding chain, see Kilgour, Capital Crunch, supra note 8, at 21, 23 (quoting a public-homebuilder chief executive: "we're doing joint ventures with either Wall Street private equity or with our friends in the home building industry").</w:t>
      </w:r>
    </w:p>
  </w:footnote>
  <w:footnote w:id="13">
    <w:p>
      <w:pPr>
        <w:pStyle w:val="FootnoteText"/>
      </w:pPr>
      <w:r>
        <w:rPr>
          <w:rStyle w:val="FootnoteReference"/>
          <w:rFonts w:ascii="Garamond" w:hAnsi="Garamond"/>
          <w:sz w:val="20"/>
        </w:rPr>
        <w:footnoteRef/>
      </w:r>
      <w:r>
        <w:rPr>
          <w:rFonts w:ascii="Garamond" w:hAnsi="Garamond"/>
          <w:sz w:val="20"/>
        </w:rPr>
        <w:t xml:space="preserve"> Reciprocal Easement Agreement, Davidson Cnty. Register of Deeds, Instrument No. 20231012-0079930 (Oct. 12, 2023) (defining KLLB AIV LLC as "Land Bank Investor"), https://davidsonportal.com/gis/file.php?file=202310120079930, with Memorandum of Option Agreement to Lennar Homes of Tennessee through Jan. 7, 2028, Instrument No. 20231012-0079931, https://davidsonportal.com/gis/file.php?file=202310120079931; Declaration of Covenants, Conditions and Restrictions for Pemberton Townhomes, Instrument No. 20250819-0066340 (Aug. 19, 2025) (naming TPG AG EHC SD (LEN) Multi State 1, LLC the "Land Bank"), https://davidsonportal.com/gis/file.php?file=202508190066340; Deed, Century Communities of Tennessee, LLC to VB TAH Hamilton Crossing, LLC, Instrument No. 20251230-0103700 (dated Dec. 12, 2025; recorded Dec. 30, 2025; 106 parcels, 59 of them built), https://www.davidsonportal.com/gis/file.php?file=202512300103700; the Ristau Court deeds of trust, supra note 1. Parts III through V set out each instrument.</w:t>
      </w:r>
    </w:p>
  </w:footnote>
  <w:footnote w:id="14">
    <w:p>
      <w:pPr>
        <w:pStyle w:val="FootnoteText"/>
      </w:pPr>
      <w:r>
        <w:rPr>
          <w:rStyle w:val="FootnoteReference"/>
          <w:rFonts w:ascii="Garamond" w:hAnsi="Garamond"/>
          <w:sz w:val="20"/>
        </w:rPr>
        <w:footnoteRef/>
      </w:r>
      <w:r>
        <w:rPr>
          <w:rFonts w:ascii="Garamond" w:hAnsi="Garamond"/>
          <w:sz w:val="20"/>
        </w:rPr>
        <w:t xml:space="preserve"> Ken Chilton, Robert M. Silverman, Rabia Chaudhry &amp; Chihuangji Wang, The Impact of Single-Family Rental REITs on Regional Housing Markets: A Case Study of Nashville, TN, 8 Societies 93, at 97–99 (2018), https://doi.org/10.3390/soc8040093 (approximately 2,970 SFR REIT homes in the Nashville metropolitan area by 2015, concentrated in Rutherford, Williamson, and Wilson counties rather than Davidson's urban core).</w:t>
      </w:r>
    </w:p>
  </w:footnote>
  <w:footnote w:id="15">
    <w:p>
      <w:pPr>
        <w:pStyle w:val="FootnoteText"/>
      </w:pPr>
      <w:r>
        <w:rPr>
          <w:rStyle w:val="FootnoteReference"/>
          <w:rFonts w:ascii="Garamond" w:hAnsi="Garamond"/>
          <w:sz w:val="20"/>
        </w:rPr>
        <w:footnoteRef/>
      </w:r>
      <w:r>
        <w:rPr>
          <w:rFonts w:ascii="Garamond" w:hAnsi="Garamond"/>
          <w:sz w:val="20"/>
        </w:rPr>
        <w:t xml:space="preserve"> Murat Arik, An Analysis of Investor Purchases of Single-Family Homes in Davidson County, 2018–2022, Tenn. Hous. Dev. Agency, at 2–3 (May 2024), https://thda.org/images/Investor_Purchases_Davidson_County_2018_2022_Final.pdf.</w:t>
      </w:r>
    </w:p>
  </w:footnote>
  <w:footnote w:id="16">
    <w:p>
      <w:pPr>
        <w:pStyle w:val="FootnoteText"/>
      </w:pPr>
      <w:r>
        <w:rPr>
          <w:rStyle w:val="FootnoteReference"/>
          <w:rFonts w:ascii="Garamond" w:hAnsi="Garamond"/>
          <w:sz w:val="20"/>
        </w:rPr>
        <w:footnoteRef/>
      </w:r>
      <w:r>
        <w:rPr>
          <w:rFonts w:ascii="Garamond" w:hAnsi="Garamond"/>
          <w:sz w:val="20"/>
        </w:rPr>
        <w:t xml:space="preserve"> H.B. 2210 / S.B. 2490, 113th Tenn. Gen. Assemb. (2024) (End Hedge Fund Control of Tennessee Homes Act), https://trackbill.com/bill/tennessee-senate-bill-2490/2502819/.</w:t>
      </w:r>
    </w:p>
  </w:footnote>
  <w:footnote w:id="17">
    <w:p>
      <w:pPr>
        <w:pStyle w:val="FootnoteText"/>
      </w:pPr>
      <w:r>
        <w:rPr>
          <w:rStyle w:val="FootnoteReference"/>
          <w:rFonts w:ascii="Garamond" w:hAnsi="Garamond"/>
          <w:sz w:val="20"/>
        </w:rPr>
        <w:footnoteRef/>
      </w:r>
      <w:r>
        <w:rPr>
          <w:rFonts w:ascii="Garamond" w:hAnsi="Garamond"/>
          <w:sz w:val="20"/>
        </w:rPr>
        <w:t xml:space="preserve"> S.B. 242 / H.B. 298, 114th Tenn. Gen. Assemb. (2025) (Homes Not Hedge Funds Act), https://www.capitol.tn.gov/Bills/114/Bill/SB0242.pdf.</w:t>
      </w:r>
    </w:p>
  </w:footnote>
  <w:footnote w:id="18">
    <w:p>
      <w:pPr>
        <w:pStyle w:val="FootnoteText"/>
      </w:pPr>
      <w:r>
        <w:rPr>
          <w:rStyle w:val="FootnoteReference"/>
          <w:rFonts w:ascii="Garamond" w:hAnsi="Garamond"/>
          <w:sz w:val="20"/>
        </w:rPr>
        <w:footnoteRef/>
      </w:r>
      <w:r>
        <w:rPr>
          <w:rFonts w:ascii="Garamond" w:hAnsi="Garamond"/>
          <w:sz w:val="20"/>
        </w:rPr>
        <w:t xml:space="preserve"> Chilton et al., supra note 13.</w:t>
      </w:r>
    </w:p>
  </w:footnote>
  <w:footnote w:id="19">
    <w:p>
      <w:pPr>
        <w:pStyle w:val="FootnoteText"/>
      </w:pPr>
      <w:r>
        <w:rPr>
          <w:rStyle w:val="FootnoteReference"/>
          <w:rFonts w:ascii="Garamond" w:hAnsi="Garamond"/>
          <w:sz w:val="20"/>
        </w:rPr>
        <w:footnoteRef/>
      </w:r>
      <w:r>
        <w:rPr>
          <w:rFonts w:ascii="Garamond" w:hAnsi="Garamond"/>
          <w:sz w:val="20"/>
        </w:rPr>
        <w:t xml:space="preserve"> Author's analysis of Metro landlord registration filings, ePermits case type 176, https://epermits.nashville.gov/api/permit/1.0/Case?$filter=caseTypeID%20eq%20176&amp;$inlinecount=allpages&amp;$top=100&amp;$orderby=caseID%20asc, and Davidson County General Sessions detainer records, CaseLink, https://caselink.nashville.gov/public/ (2,049 detainer warrants filed by a named operator or one of its shells, pulled June 2026; Progress Residential and Amherst, filing through Main Street Renewal, account for 74.9 percent of them, Starwood's securitization borrowers for most of the rest, and American Homes 4 Rent for four). Part II, Sections V.B and V.D, and its Appendix D.</w:t>
      </w:r>
    </w:p>
  </w:footnote>
  <w:footnote w:id="20">
    <w:p>
      <w:pPr>
        <w:pStyle w:val="FootnoteText"/>
      </w:pPr>
      <w:r>
        <w:rPr>
          <w:rStyle w:val="FootnoteReference"/>
          <w:rFonts w:ascii="Garamond" w:hAnsi="Garamond"/>
          <w:sz w:val="20"/>
        </w:rPr>
        <w:footnoteRef/>
      </w:r>
      <w:r>
        <w:rPr>
          <w:rFonts w:ascii="Garamond" w:hAnsi="Garamond"/>
          <w:sz w:val="20"/>
        </w:rPr>
        <w:t xml:space="preserve"> Author's analysis of Metro Codes residential building permits against the U.S. Census Bureau, Building Permits Survey, Davidson County, Tenn., https://www.census.gov/construction/bps/ (build-to-rent at 7.3 percent of 2025 single-family permits under the strict definition and the Building Permits Survey one-unit denominator, up from approximately zero in 2013; a floor, since forward-flow conveyances record after the permit). Part III, Appendix Table III.1.</w:t>
      </w:r>
    </w:p>
  </w:footnote>
  <w:footnote w:id="21">
    <w:p>
      <w:pPr>
        <w:pStyle w:val="FootnoteText"/>
      </w:pPr>
      <w:r>
        <w:rPr>
          <w:rStyle w:val="FootnoteReference"/>
          <w:rFonts w:ascii="Garamond" w:hAnsi="Garamond"/>
          <w:sz w:val="20"/>
        </w:rPr>
        <w:footnoteRef/>
      </w:r>
      <w:r>
        <w:rPr>
          <w:rFonts w:ascii="Garamond" w:hAnsi="Garamond"/>
          <w:sz w:val="20"/>
        </w:rPr>
        <w:t xml:space="preserve"> Author's securitization collateral dataset assembled from SEC filings and Davidson County recorded deeds of trust (more than 118 deals pledging 1,833 Davidson County parcels; 93 percent still held by the securitization borrower; 33 homes, or 1.8 percent, ever returned to an individual owner); interactive map at https://nataliebaldacci.github.io/Who-Owns-Nashville/Securitized_Parcels_MAP_v2.html; Part V, Appendix.</w:t>
      </w:r>
    </w:p>
  </w:footnote>
  <w:footnote w:id="22">
    <w:p>
      <w:pPr>
        <w:pStyle w:val="FootnoteText"/>
      </w:pPr>
      <w:r>
        <w:rPr>
          <w:rStyle w:val="FootnoteReference"/>
          <w:rFonts w:ascii="Garamond" w:hAnsi="Garamond"/>
          <w:sz w:val="20"/>
        </w:rPr>
        <w:footnoteRef/>
      </w:r>
      <w:r>
        <w:rPr>
          <w:rFonts w:ascii="Garamond" w:hAnsi="Garamond"/>
          <w:sz w:val="20"/>
        </w:rPr>
        <w:t xml:space="preserve"> Primary sources: Metro cadastral parcel data, supra note 6; Davidson Cnty. Register of Deeds, https://davidsonportal.com/; Parcel History MapServer, https://maps.nashville.gov/arcgis2/rest/services/Parcels/ParcelHistory/MapServer; Metro Codes ePermits, https://epermits.nashville.gov/; U.S. Census Bureau ACS, supra note 7; SEC EDGAR, https://www.sec.gov/edgar/search/. Replayable queries and exhibits at https://nataliebaldacci.github.io/Who-Owns-Nashville/.</w:t>
      </w:r>
    </w:p>
  </w:footnote>
  <w:footnote w:id="23">
    <w:p>
      <w:pPr>
        <w:pStyle w:val="FootnoteText"/>
      </w:pPr>
      <w:r>
        <w:rPr>
          <w:rStyle w:val="FootnoteReference"/>
          <w:rFonts w:ascii="Garamond" w:hAnsi="Garamond"/>
          <w:sz w:val="20"/>
        </w:rPr>
        <w:footnoteRef/>
      </w:r>
      <w:r>
        <w:rPr>
          <w:rFonts w:ascii="Garamond" w:hAnsi="Garamond"/>
          <w:sz w:val="20"/>
        </w:rPr>
        <w:t xml:space="preserve"> Chilton et al., supra note 13, at 97–99.</w:t>
      </w:r>
    </w:p>
  </w:footnote>
  <w:footnote w:id="24">
    <w:p>
      <w:pPr>
        <w:pStyle w:val="FootnoteText"/>
      </w:pPr>
      <w:r>
        <w:rPr>
          <w:rStyle w:val="FootnoteReference"/>
          <w:rFonts w:ascii="Garamond" w:hAnsi="Garamond"/>
          <w:sz w:val="20"/>
        </w:rPr>
        <w:footnoteRef/>
      </w:r>
      <w:r>
        <w:rPr>
          <w:rFonts w:ascii="Garamond" w:hAnsi="Garamond"/>
          <w:sz w:val="20"/>
        </w:rPr>
        <w:t xml:space="preserve"> Author's tract-level analysis, supra note 7 (high-concentration tracts 37.8 percent Black against 17.9 percent in other tracts; median household income $70,640 against $92,212; median year built 1993 against 1979; differences significant at p &lt; 0.05). Part I, Section V, and https://nataliebaldacci.github.io/Who-Owns-Nashville/Chilton_2018_Update.html.</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eastAsia="Garamond"/>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eastAsia="Garamond"/>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eastAsia="Garamond"/>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