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AE91E" w14:textId="40FF2607" w:rsidR="002B01B4" w:rsidRDefault="002B01B4" w:rsidP="009C7A23">
      <w:pPr>
        <w:spacing w:after="0" w:line="480" w:lineRule="auto"/>
        <w:jc w:val="right"/>
        <w:rPr>
          <w:caps/>
          <w:color w:val="5B9BD5" w:themeColor="accent1"/>
          <w:sz w:val="64"/>
          <w:szCs w:val="64"/>
        </w:rPr>
      </w:pPr>
      <w:r>
        <w:rPr>
          <w:caps/>
          <w:color w:val="5B9BD5" w:themeColor="accent1"/>
          <w:sz w:val="64"/>
          <w:szCs w:val="64"/>
        </w:rPr>
        <w:t>REDUCTION IN UNINSURED RATE FOR SMALL-GROUP VERSUS LARGE-GROUP EMPLOYEES post-ACA</w:t>
      </w:r>
    </w:p>
    <w:p w14:paraId="5688E6AF" w14:textId="2593978B" w:rsidR="00F11E3E" w:rsidRDefault="00F11E3E" w:rsidP="009C7A23">
      <w:pPr>
        <w:spacing w:after="0" w:line="480" w:lineRule="auto"/>
        <w:jc w:val="right"/>
        <w:rPr>
          <w:b/>
          <w:sz w:val="32"/>
          <w:szCs w:val="36"/>
        </w:rPr>
      </w:pPr>
      <w:r w:rsidRPr="009C7A23">
        <w:rPr>
          <w:b/>
          <w:sz w:val="32"/>
          <w:szCs w:val="36"/>
        </w:rPr>
        <w:t xml:space="preserve">Authors: Natalie Chan-Phuong Le, Sally C. Stearns, Justin </w:t>
      </w:r>
      <w:r w:rsidR="00FC10EC">
        <w:rPr>
          <w:b/>
          <w:sz w:val="32"/>
          <w:szCs w:val="36"/>
        </w:rPr>
        <w:t xml:space="preserve">G. </w:t>
      </w:r>
      <w:r w:rsidRPr="009C7A23">
        <w:rPr>
          <w:b/>
          <w:sz w:val="32"/>
          <w:szCs w:val="36"/>
        </w:rPr>
        <w:t>Trogdon</w:t>
      </w:r>
    </w:p>
    <w:p w14:paraId="117F6697" w14:textId="77777777" w:rsidR="007C7FFE" w:rsidRPr="009C7A23" w:rsidRDefault="007C7FFE" w:rsidP="009C7A23">
      <w:pPr>
        <w:spacing w:after="0" w:line="480" w:lineRule="auto"/>
        <w:jc w:val="right"/>
        <w:rPr>
          <w:b/>
          <w:sz w:val="32"/>
          <w:szCs w:val="36"/>
        </w:rPr>
      </w:pPr>
    </w:p>
    <w:p w14:paraId="3BB4B79C" w14:textId="29749BD6" w:rsidR="007C1DC2" w:rsidRDefault="007C1DC2" w:rsidP="009C7A23">
      <w:pPr>
        <w:spacing w:after="0" w:line="360" w:lineRule="auto"/>
        <w:jc w:val="right"/>
        <w:rPr>
          <w:b/>
          <w:sz w:val="24"/>
          <w:szCs w:val="24"/>
        </w:rPr>
      </w:pPr>
      <w:r>
        <w:rPr>
          <w:b/>
          <w:sz w:val="24"/>
          <w:szCs w:val="24"/>
        </w:rPr>
        <w:t>Affiliation</w:t>
      </w:r>
    </w:p>
    <w:p w14:paraId="28C2C4E3" w14:textId="6BF79137" w:rsidR="007C1DC2" w:rsidRDefault="007C1DC2" w:rsidP="009C7A23">
      <w:pPr>
        <w:spacing w:after="0" w:line="360" w:lineRule="auto"/>
        <w:jc w:val="right"/>
        <w:rPr>
          <w:color w:val="595959" w:themeColor="text1" w:themeTint="A6"/>
          <w:sz w:val="20"/>
          <w:szCs w:val="20"/>
        </w:rPr>
      </w:pPr>
      <w:r w:rsidRPr="009D37D4">
        <w:rPr>
          <w:color w:val="595959" w:themeColor="text1" w:themeTint="A6"/>
          <w:sz w:val="20"/>
          <w:szCs w:val="20"/>
        </w:rPr>
        <w:t xml:space="preserve">Natalie Le is an MSPH </w:t>
      </w:r>
      <w:r>
        <w:rPr>
          <w:color w:val="595959" w:themeColor="text1" w:themeTint="A6"/>
          <w:sz w:val="20"/>
          <w:szCs w:val="20"/>
        </w:rPr>
        <w:t xml:space="preserve">(Master of Science in Public Health) </w:t>
      </w:r>
      <w:r w:rsidRPr="009D37D4">
        <w:rPr>
          <w:color w:val="595959" w:themeColor="text1" w:themeTint="A6"/>
          <w:sz w:val="20"/>
          <w:szCs w:val="20"/>
        </w:rPr>
        <w:t xml:space="preserve">graduate from University of North Carolina </w:t>
      </w:r>
      <w:r>
        <w:rPr>
          <w:color w:val="595959" w:themeColor="text1" w:themeTint="A6"/>
          <w:sz w:val="20"/>
          <w:szCs w:val="20"/>
        </w:rPr>
        <w:t xml:space="preserve">at </w:t>
      </w:r>
      <w:r w:rsidRPr="009D37D4">
        <w:rPr>
          <w:color w:val="595959" w:themeColor="text1" w:themeTint="A6"/>
          <w:sz w:val="20"/>
          <w:szCs w:val="20"/>
        </w:rPr>
        <w:t>Chapel Hill</w:t>
      </w:r>
      <w:r w:rsidRPr="009D37D4">
        <w:rPr>
          <w:color w:val="595959" w:themeColor="text1" w:themeTint="A6"/>
          <w:sz w:val="20"/>
          <w:szCs w:val="20"/>
        </w:rPr>
        <w:br/>
        <w:t>Sally C. Stearns is a professor in the Health and Policy Department at University of North</w:t>
      </w:r>
      <w:r>
        <w:rPr>
          <w:color w:val="595959" w:themeColor="text1" w:themeTint="A6"/>
          <w:sz w:val="20"/>
          <w:szCs w:val="20"/>
        </w:rPr>
        <w:t xml:space="preserve"> </w:t>
      </w:r>
      <w:r w:rsidRPr="009D37D4">
        <w:rPr>
          <w:color w:val="595959" w:themeColor="text1" w:themeTint="A6"/>
          <w:sz w:val="20"/>
          <w:szCs w:val="20"/>
        </w:rPr>
        <w:t xml:space="preserve">Carolina </w:t>
      </w:r>
      <w:r>
        <w:rPr>
          <w:color w:val="595959" w:themeColor="text1" w:themeTint="A6"/>
          <w:sz w:val="20"/>
          <w:szCs w:val="20"/>
        </w:rPr>
        <w:t xml:space="preserve">at </w:t>
      </w:r>
      <w:r w:rsidRPr="009D37D4">
        <w:rPr>
          <w:color w:val="595959" w:themeColor="text1" w:themeTint="A6"/>
          <w:sz w:val="20"/>
          <w:szCs w:val="20"/>
        </w:rPr>
        <w:t>Chapel Hill</w:t>
      </w:r>
    </w:p>
    <w:p w14:paraId="138ADFCC" w14:textId="347F3048" w:rsidR="007C1DC2" w:rsidRPr="009C7A23" w:rsidRDefault="007C1DC2" w:rsidP="009C7A23">
      <w:pPr>
        <w:spacing w:after="0" w:line="360" w:lineRule="auto"/>
        <w:jc w:val="right"/>
        <w:rPr>
          <w:color w:val="595959" w:themeColor="text1" w:themeTint="A6"/>
          <w:sz w:val="20"/>
          <w:szCs w:val="20"/>
        </w:rPr>
      </w:pPr>
      <w:r>
        <w:rPr>
          <w:color w:val="595959" w:themeColor="text1" w:themeTint="A6"/>
          <w:sz w:val="20"/>
          <w:szCs w:val="20"/>
        </w:rPr>
        <w:t>Justin G. Trogdon is a</w:t>
      </w:r>
      <w:r w:rsidR="001E1F16">
        <w:rPr>
          <w:color w:val="595959" w:themeColor="text1" w:themeTint="A6"/>
          <w:sz w:val="20"/>
          <w:szCs w:val="20"/>
        </w:rPr>
        <w:t>n associate</w:t>
      </w:r>
      <w:r>
        <w:rPr>
          <w:color w:val="595959" w:themeColor="text1" w:themeTint="A6"/>
          <w:sz w:val="20"/>
          <w:szCs w:val="20"/>
        </w:rPr>
        <w:t xml:space="preserve"> professor </w:t>
      </w:r>
      <w:r w:rsidRPr="009D37D4">
        <w:rPr>
          <w:color w:val="595959" w:themeColor="text1" w:themeTint="A6"/>
          <w:sz w:val="20"/>
          <w:szCs w:val="20"/>
        </w:rPr>
        <w:t>in the Health and Policy Department at University of North</w:t>
      </w:r>
      <w:r>
        <w:rPr>
          <w:color w:val="595959" w:themeColor="text1" w:themeTint="A6"/>
          <w:sz w:val="20"/>
          <w:szCs w:val="20"/>
        </w:rPr>
        <w:t xml:space="preserve"> </w:t>
      </w:r>
      <w:r w:rsidRPr="009D37D4">
        <w:rPr>
          <w:color w:val="595959" w:themeColor="text1" w:themeTint="A6"/>
          <w:sz w:val="20"/>
          <w:szCs w:val="20"/>
        </w:rPr>
        <w:t xml:space="preserve">Carolina </w:t>
      </w:r>
      <w:r>
        <w:rPr>
          <w:color w:val="595959" w:themeColor="text1" w:themeTint="A6"/>
          <w:sz w:val="20"/>
          <w:szCs w:val="20"/>
        </w:rPr>
        <w:t xml:space="preserve">at </w:t>
      </w:r>
      <w:r w:rsidRPr="009D37D4">
        <w:rPr>
          <w:color w:val="595959" w:themeColor="text1" w:themeTint="A6"/>
          <w:sz w:val="20"/>
          <w:szCs w:val="20"/>
        </w:rPr>
        <w:t>Chapel Hill</w:t>
      </w:r>
    </w:p>
    <w:p w14:paraId="1EF49E96" w14:textId="77777777" w:rsidR="007C1DC2" w:rsidRDefault="007C1DC2" w:rsidP="009C7A23">
      <w:pPr>
        <w:spacing w:after="0" w:line="480" w:lineRule="auto"/>
        <w:jc w:val="right"/>
        <w:rPr>
          <w:b/>
          <w:sz w:val="24"/>
          <w:szCs w:val="24"/>
        </w:rPr>
      </w:pPr>
    </w:p>
    <w:p w14:paraId="1B53E61B" w14:textId="77777777" w:rsidR="00D94C12" w:rsidRDefault="00D94C12" w:rsidP="00D94C12">
      <w:pPr>
        <w:pStyle w:val="NoSpacing"/>
        <w:jc w:val="right"/>
        <w:rPr>
          <w:color w:val="595959" w:themeColor="text1" w:themeTint="A6"/>
          <w:sz w:val="18"/>
          <w:szCs w:val="18"/>
        </w:rPr>
      </w:pPr>
      <w:r w:rsidRPr="009D37D4">
        <w:rPr>
          <w:i/>
          <w:color w:val="595959" w:themeColor="text1" w:themeTint="A6"/>
          <w:sz w:val="18"/>
          <w:szCs w:val="18"/>
        </w:rPr>
        <w:t>Disclosures:</w:t>
      </w:r>
      <w:r>
        <w:rPr>
          <w:color w:val="595959" w:themeColor="text1" w:themeTint="A6"/>
          <w:sz w:val="18"/>
          <w:szCs w:val="18"/>
        </w:rPr>
        <w:t xml:space="preserve"> None</w:t>
      </w:r>
    </w:p>
    <w:p w14:paraId="7CAF53E0" w14:textId="77777777" w:rsidR="00D94C12" w:rsidRDefault="00D94C12" w:rsidP="00D94C12">
      <w:pPr>
        <w:pStyle w:val="NoSpacing"/>
        <w:jc w:val="right"/>
        <w:rPr>
          <w:color w:val="595959" w:themeColor="text1" w:themeTint="A6"/>
          <w:sz w:val="18"/>
          <w:szCs w:val="18"/>
        </w:rPr>
      </w:pPr>
      <w:r w:rsidRPr="009D37D4">
        <w:rPr>
          <w:i/>
          <w:color w:val="595959" w:themeColor="text1" w:themeTint="A6"/>
          <w:sz w:val="18"/>
          <w:szCs w:val="18"/>
        </w:rPr>
        <w:t>Funding source:</w:t>
      </w:r>
      <w:r>
        <w:rPr>
          <w:color w:val="595959" w:themeColor="text1" w:themeTint="A6"/>
          <w:sz w:val="18"/>
          <w:szCs w:val="18"/>
        </w:rPr>
        <w:t xml:space="preserve"> None</w:t>
      </w:r>
    </w:p>
    <w:p w14:paraId="28BDFB06" w14:textId="77777777" w:rsidR="00D94C12" w:rsidRPr="007C1DC2" w:rsidRDefault="00D94C12" w:rsidP="009C7A23">
      <w:pPr>
        <w:spacing w:after="0" w:line="480" w:lineRule="auto"/>
        <w:jc w:val="right"/>
        <w:rPr>
          <w:b/>
          <w:sz w:val="24"/>
          <w:szCs w:val="24"/>
        </w:rPr>
      </w:pPr>
    </w:p>
    <w:p w14:paraId="7C8E2778" w14:textId="13813A13" w:rsidR="001A0159" w:rsidRPr="009D2D41" w:rsidRDefault="002B01B4" w:rsidP="0061404A">
      <w:pPr>
        <w:rPr>
          <w:b/>
          <w:sz w:val="24"/>
        </w:rPr>
      </w:pPr>
      <w:r>
        <w:rPr>
          <w:b/>
          <w:sz w:val="24"/>
          <w:szCs w:val="24"/>
        </w:rPr>
        <w:br w:type="page"/>
      </w:r>
      <w:r w:rsidR="001A0159" w:rsidRPr="009D2D41">
        <w:rPr>
          <w:b/>
          <w:sz w:val="24"/>
        </w:rPr>
        <w:lastRenderedPageBreak/>
        <w:t>Abstract</w:t>
      </w:r>
    </w:p>
    <w:p w14:paraId="748D254B" w14:textId="3B73A7B7" w:rsidR="00BE08FD" w:rsidRDefault="001A0159" w:rsidP="006E5E3B">
      <w:pPr>
        <w:spacing w:after="0" w:line="480" w:lineRule="auto"/>
        <w:rPr>
          <w:sz w:val="24"/>
          <w:szCs w:val="24"/>
        </w:rPr>
      </w:pPr>
      <w:r>
        <w:rPr>
          <w:sz w:val="24"/>
          <w:szCs w:val="24"/>
        </w:rPr>
        <w:t>Using data from the Medical Expenditure Panel Survey (MEP</w:t>
      </w:r>
      <w:r w:rsidR="00630927">
        <w:rPr>
          <w:sz w:val="24"/>
          <w:szCs w:val="24"/>
        </w:rPr>
        <w:t>S) Household Component 2007-2015</w:t>
      </w:r>
      <w:r>
        <w:rPr>
          <w:sz w:val="24"/>
          <w:szCs w:val="24"/>
        </w:rPr>
        <w:t xml:space="preserve">, we examined whether trends in </w:t>
      </w:r>
      <w:r w:rsidR="007A6EA8">
        <w:rPr>
          <w:sz w:val="24"/>
          <w:szCs w:val="24"/>
        </w:rPr>
        <w:t>insurance offering</w:t>
      </w:r>
      <w:r>
        <w:rPr>
          <w:sz w:val="24"/>
          <w:szCs w:val="24"/>
        </w:rPr>
        <w:t xml:space="preserve">, insurance status, access to care, and financial burden differed for </w:t>
      </w:r>
      <w:r w:rsidR="00072366">
        <w:rPr>
          <w:sz w:val="24"/>
          <w:szCs w:val="24"/>
        </w:rPr>
        <w:t>small-group</w:t>
      </w:r>
      <w:r>
        <w:rPr>
          <w:sz w:val="24"/>
          <w:szCs w:val="24"/>
        </w:rPr>
        <w:t xml:space="preserve"> employees </w:t>
      </w:r>
      <w:r w:rsidR="00A438AD">
        <w:rPr>
          <w:sz w:val="24"/>
          <w:szCs w:val="24"/>
        </w:rPr>
        <w:t>(</w:t>
      </w:r>
      <w:r w:rsidR="005E53C7">
        <w:rPr>
          <w:sz w:val="24"/>
          <w:szCs w:val="24"/>
        </w:rPr>
        <w:t xml:space="preserve">defined as </w:t>
      </w:r>
      <w:r w:rsidR="00A438AD">
        <w:rPr>
          <w:sz w:val="24"/>
          <w:szCs w:val="24"/>
        </w:rPr>
        <w:t xml:space="preserve">less than 50 </w:t>
      </w:r>
      <w:r w:rsidR="005E53C7">
        <w:rPr>
          <w:sz w:val="24"/>
          <w:szCs w:val="24"/>
        </w:rPr>
        <w:t>full-time equivalent employees</w:t>
      </w:r>
      <w:r w:rsidR="00A438AD">
        <w:rPr>
          <w:sz w:val="24"/>
          <w:szCs w:val="24"/>
        </w:rPr>
        <w:t xml:space="preserve">) </w:t>
      </w:r>
      <w:r>
        <w:rPr>
          <w:sz w:val="24"/>
          <w:szCs w:val="24"/>
        </w:rPr>
        <w:t xml:space="preserve">versus </w:t>
      </w:r>
      <w:r w:rsidR="004A7041">
        <w:rPr>
          <w:sz w:val="24"/>
          <w:szCs w:val="24"/>
        </w:rPr>
        <w:t>large-group</w:t>
      </w:r>
      <w:r>
        <w:rPr>
          <w:sz w:val="24"/>
          <w:szCs w:val="24"/>
        </w:rPr>
        <w:t xml:space="preserve"> employees</w:t>
      </w:r>
      <w:r w:rsidR="00871C04">
        <w:rPr>
          <w:sz w:val="24"/>
          <w:szCs w:val="24"/>
        </w:rPr>
        <w:t xml:space="preserve"> </w:t>
      </w:r>
      <w:r w:rsidR="007333C1">
        <w:rPr>
          <w:sz w:val="24"/>
          <w:szCs w:val="24"/>
        </w:rPr>
        <w:t xml:space="preserve">after </w:t>
      </w:r>
      <w:r w:rsidR="00D14503">
        <w:rPr>
          <w:sz w:val="24"/>
          <w:szCs w:val="24"/>
        </w:rPr>
        <w:t xml:space="preserve">the </w:t>
      </w:r>
      <w:r w:rsidR="007333C1">
        <w:rPr>
          <w:sz w:val="24"/>
          <w:szCs w:val="24"/>
        </w:rPr>
        <w:t>implementation of the</w:t>
      </w:r>
      <w:r w:rsidR="00871C04">
        <w:rPr>
          <w:sz w:val="24"/>
          <w:szCs w:val="24"/>
        </w:rPr>
        <w:t xml:space="preserve"> A</w:t>
      </w:r>
      <w:r w:rsidR="007333C1">
        <w:rPr>
          <w:sz w:val="24"/>
          <w:szCs w:val="24"/>
        </w:rPr>
        <w:t xml:space="preserve">ffordable </w:t>
      </w:r>
      <w:r w:rsidR="00871C04">
        <w:rPr>
          <w:sz w:val="24"/>
          <w:szCs w:val="24"/>
        </w:rPr>
        <w:t>C</w:t>
      </w:r>
      <w:r w:rsidR="007333C1">
        <w:rPr>
          <w:sz w:val="24"/>
          <w:szCs w:val="24"/>
        </w:rPr>
        <w:t xml:space="preserve">are </w:t>
      </w:r>
      <w:r w:rsidR="00871C04">
        <w:rPr>
          <w:sz w:val="24"/>
          <w:szCs w:val="24"/>
        </w:rPr>
        <w:t>A</w:t>
      </w:r>
      <w:r w:rsidR="007333C1">
        <w:rPr>
          <w:sz w:val="24"/>
          <w:szCs w:val="24"/>
        </w:rPr>
        <w:t>ct</w:t>
      </w:r>
      <w:r>
        <w:rPr>
          <w:sz w:val="24"/>
          <w:szCs w:val="24"/>
        </w:rPr>
        <w:t>.</w:t>
      </w:r>
      <w:r w:rsidR="00585A38">
        <w:rPr>
          <w:sz w:val="24"/>
          <w:szCs w:val="24"/>
        </w:rPr>
        <w:t xml:space="preserve"> </w:t>
      </w:r>
      <w:r w:rsidR="00A2355F">
        <w:rPr>
          <w:sz w:val="24"/>
          <w:szCs w:val="24"/>
        </w:rPr>
        <w:t>Our</w:t>
      </w:r>
      <w:r w:rsidR="00585A38">
        <w:rPr>
          <w:sz w:val="24"/>
          <w:szCs w:val="24"/>
        </w:rPr>
        <w:t xml:space="preserve"> difference-in-differenc</w:t>
      </w:r>
      <w:r w:rsidR="00E35FD3">
        <w:rPr>
          <w:sz w:val="24"/>
          <w:szCs w:val="24"/>
        </w:rPr>
        <w:t>e model showed a reduction of 3 percentage points</w:t>
      </w:r>
      <w:r w:rsidR="00585A38">
        <w:rPr>
          <w:sz w:val="24"/>
          <w:szCs w:val="24"/>
        </w:rPr>
        <w:t xml:space="preserve"> </w:t>
      </w:r>
      <w:r w:rsidR="00E35FD3">
        <w:rPr>
          <w:sz w:val="24"/>
          <w:szCs w:val="24"/>
        </w:rPr>
        <w:t xml:space="preserve">(p&lt;0.001) </w:t>
      </w:r>
      <w:r w:rsidR="00585A38">
        <w:rPr>
          <w:sz w:val="24"/>
          <w:szCs w:val="24"/>
        </w:rPr>
        <w:t xml:space="preserve">in </w:t>
      </w:r>
      <w:r w:rsidR="007333C1">
        <w:rPr>
          <w:sz w:val="24"/>
          <w:szCs w:val="24"/>
        </w:rPr>
        <w:t xml:space="preserve">the </w:t>
      </w:r>
      <w:r w:rsidR="00585A38">
        <w:rPr>
          <w:sz w:val="24"/>
          <w:szCs w:val="24"/>
        </w:rPr>
        <w:t>uninsured rate for small-group versus large-group employees.</w:t>
      </w:r>
      <w:r>
        <w:rPr>
          <w:sz w:val="24"/>
          <w:szCs w:val="24"/>
        </w:rPr>
        <w:t xml:space="preserve"> </w:t>
      </w:r>
      <w:r w:rsidR="00A421EB">
        <w:rPr>
          <w:sz w:val="24"/>
          <w:szCs w:val="24"/>
        </w:rPr>
        <w:t>Changes in o</w:t>
      </w:r>
      <w:r w:rsidR="00BE08FD">
        <w:rPr>
          <w:sz w:val="24"/>
          <w:szCs w:val="24"/>
        </w:rPr>
        <w:t xml:space="preserve">ther </w:t>
      </w:r>
      <w:r w:rsidR="00A421EB">
        <w:rPr>
          <w:sz w:val="24"/>
          <w:szCs w:val="24"/>
        </w:rPr>
        <w:t xml:space="preserve">outcomes </w:t>
      </w:r>
      <w:r w:rsidR="00E35FD3">
        <w:rPr>
          <w:sz w:val="24"/>
          <w:szCs w:val="24"/>
        </w:rPr>
        <w:t>were</w:t>
      </w:r>
      <w:r w:rsidR="00585A38">
        <w:rPr>
          <w:sz w:val="24"/>
          <w:szCs w:val="24"/>
        </w:rPr>
        <w:t xml:space="preserve"> not statistically significant</w:t>
      </w:r>
      <w:bookmarkStart w:id="0" w:name="_GoBack"/>
      <w:bookmarkEnd w:id="0"/>
      <w:r w:rsidR="00A421EB">
        <w:rPr>
          <w:sz w:val="24"/>
          <w:szCs w:val="24"/>
        </w:rPr>
        <w:t>ly different between small-group and large-group employees</w:t>
      </w:r>
      <w:r w:rsidR="00E35FD3">
        <w:rPr>
          <w:sz w:val="24"/>
          <w:szCs w:val="24"/>
        </w:rPr>
        <w:t>.</w:t>
      </w:r>
      <w:r w:rsidR="00BE08FD">
        <w:rPr>
          <w:sz w:val="24"/>
          <w:szCs w:val="24"/>
        </w:rPr>
        <w:t xml:space="preserve"> </w:t>
      </w:r>
    </w:p>
    <w:p w14:paraId="0F5269A5" w14:textId="77777777" w:rsidR="00F046B6" w:rsidRDefault="00F046B6" w:rsidP="006E5E3B">
      <w:pPr>
        <w:spacing w:after="0" w:line="480" w:lineRule="auto"/>
        <w:rPr>
          <w:sz w:val="24"/>
          <w:szCs w:val="24"/>
        </w:rPr>
      </w:pPr>
      <w:r>
        <w:rPr>
          <w:sz w:val="24"/>
          <w:szCs w:val="24"/>
        </w:rPr>
        <w:br w:type="page"/>
      </w:r>
    </w:p>
    <w:p w14:paraId="2B6795A1" w14:textId="6E85F657" w:rsidR="00F046B6" w:rsidRDefault="00B016C5" w:rsidP="006E5E3B">
      <w:pPr>
        <w:spacing w:after="0" w:line="480" w:lineRule="auto"/>
        <w:rPr>
          <w:sz w:val="24"/>
          <w:szCs w:val="24"/>
        </w:rPr>
      </w:pPr>
      <w:r>
        <w:rPr>
          <w:b/>
          <w:sz w:val="24"/>
          <w:szCs w:val="24"/>
        </w:rPr>
        <w:lastRenderedPageBreak/>
        <w:t xml:space="preserve">Reduction in uninsured rate for </w:t>
      </w:r>
      <w:r w:rsidRPr="00750CA4">
        <w:rPr>
          <w:b/>
          <w:sz w:val="24"/>
          <w:szCs w:val="24"/>
        </w:rPr>
        <w:t xml:space="preserve">small-group </w:t>
      </w:r>
      <w:r>
        <w:rPr>
          <w:b/>
          <w:sz w:val="24"/>
          <w:szCs w:val="24"/>
        </w:rPr>
        <w:t>versus</w:t>
      </w:r>
      <w:r w:rsidRPr="00750CA4">
        <w:rPr>
          <w:b/>
          <w:sz w:val="24"/>
          <w:szCs w:val="24"/>
        </w:rPr>
        <w:t xml:space="preserve"> large-group employees</w:t>
      </w:r>
      <w:r>
        <w:rPr>
          <w:b/>
          <w:sz w:val="24"/>
          <w:szCs w:val="24"/>
        </w:rPr>
        <w:t xml:space="preserve"> post</w:t>
      </w:r>
      <w:r w:rsidR="00B251B3">
        <w:rPr>
          <w:b/>
          <w:sz w:val="24"/>
          <w:szCs w:val="24"/>
        </w:rPr>
        <w:t>-</w:t>
      </w:r>
      <w:r>
        <w:rPr>
          <w:b/>
          <w:sz w:val="24"/>
          <w:szCs w:val="24"/>
        </w:rPr>
        <w:t>ACA</w:t>
      </w:r>
    </w:p>
    <w:p w14:paraId="02EB4E95" w14:textId="593F1737" w:rsidR="00736BB2" w:rsidRPr="00F046B6" w:rsidRDefault="00DF0C24" w:rsidP="006E5E3B">
      <w:pPr>
        <w:spacing w:after="0" w:line="480" w:lineRule="auto"/>
        <w:rPr>
          <w:i/>
          <w:sz w:val="24"/>
          <w:szCs w:val="24"/>
        </w:rPr>
      </w:pPr>
      <w:r w:rsidRPr="00F046B6">
        <w:rPr>
          <w:i/>
          <w:sz w:val="24"/>
          <w:szCs w:val="24"/>
        </w:rPr>
        <w:t>Analyses using</w:t>
      </w:r>
      <w:r w:rsidR="00736BB2" w:rsidRPr="00F046B6">
        <w:rPr>
          <w:i/>
          <w:sz w:val="24"/>
          <w:szCs w:val="24"/>
        </w:rPr>
        <w:t xml:space="preserve"> </w:t>
      </w:r>
      <w:r w:rsidR="00F046B6" w:rsidRPr="00F046B6">
        <w:rPr>
          <w:i/>
          <w:sz w:val="24"/>
          <w:szCs w:val="24"/>
        </w:rPr>
        <w:t xml:space="preserve">the </w:t>
      </w:r>
      <w:r w:rsidR="00736BB2" w:rsidRPr="00F046B6">
        <w:rPr>
          <w:i/>
          <w:sz w:val="24"/>
          <w:szCs w:val="24"/>
        </w:rPr>
        <w:t>Medical Expenditure Panel Survey 20</w:t>
      </w:r>
      <w:r w:rsidR="0010484A" w:rsidRPr="00F046B6">
        <w:rPr>
          <w:i/>
          <w:sz w:val="24"/>
          <w:szCs w:val="24"/>
        </w:rPr>
        <w:t>07-2015 showed a reduction of 3 percentage points</w:t>
      </w:r>
      <w:r w:rsidR="00736BB2" w:rsidRPr="00F046B6">
        <w:rPr>
          <w:i/>
          <w:sz w:val="24"/>
          <w:szCs w:val="24"/>
        </w:rPr>
        <w:t xml:space="preserve"> </w:t>
      </w:r>
      <w:r w:rsidR="0010484A" w:rsidRPr="00F046B6">
        <w:rPr>
          <w:i/>
          <w:sz w:val="24"/>
          <w:szCs w:val="24"/>
        </w:rPr>
        <w:t xml:space="preserve">(p&lt;0.001) </w:t>
      </w:r>
      <w:r w:rsidR="00736BB2" w:rsidRPr="00F046B6">
        <w:rPr>
          <w:i/>
          <w:sz w:val="24"/>
          <w:szCs w:val="24"/>
        </w:rPr>
        <w:t xml:space="preserve">in </w:t>
      </w:r>
      <w:r w:rsidRPr="00F046B6">
        <w:rPr>
          <w:i/>
          <w:sz w:val="24"/>
          <w:szCs w:val="24"/>
        </w:rPr>
        <w:t xml:space="preserve">the </w:t>
      </w:r>
      <w:r w:rsidR="00736BB2" w:rsidRPr="00F046B6">
        <w:rPr>
          <w:i/>
          <w:sz w:val="24"/>
          <w:szCs w:val="24"/>
        </w:rPr>
        <w:t>uninsured rate for small-group versus large-group employees</w:t>
      </w:r>
      <w:r w:rsidR="0038601D" w:rsidRPr="00F046B6">
        <w:rPr>
          <w:i/>
          <w:sz w:val="24"/>
          <w:szCs w:val="24"/>
        </w:rPr>
        <w:t xml:space="preserve"> post-ACA</w:t>
      </w:r>
      <w:r w:rsidR="00736BB2" w:rsidRPr="00F046B6">
        <w:rPr>
          <w:i/>
          <w:sz w:val="24"/>
          <w:szCs w:val="24"/>
        </w:rPr>
        <w:t xml:space="preserve">. </w:t>
      </w:r>
      <w:r w:rsidRPr="00F046B6">
        <w:rPr>
          <w:i/>
          <w:sz w:val="24"/>
          <w:szCs w:val="24"/>
        </w:rPr>
        <w:t xml:space="preserve">No difference was found in </w:t>
      </w:r>
      <w:r w:rsidR="004F461F">
        <w:rPr>
          <w:i/>
          <w:sz w:val="24"/>
          <w:szCs w:val="24"/>
        </w:rPr>
        <w:t xml:space="preserve">other </w:t>
      </w:r>
      <w:r w:rsidR="00736BB2" w:rsidRPr="00F046B6">
        <w:rPr>
          <w:i/>
          <w:sz w:val="24"/>
          <w:szCs w:val="24"/>
        </w:rPr>
        <w:t xml:space="preserve">insurance </w:t>
      </w:r>
      <w:r w:rsidR="004F461F">
        <w:rPr>
          <w:i/>
          <w:sz w:val="24"/>
          <w:szCs w:val="24"/>
        </w:rPr>
        <w:t>and</w:t>
      </w:r>
      <w:r w:rsidR="00736BB2" w:rsidRPr="00F046B6">
        <w:rPr>
          <w:i/>
          <w:sz w:val="24"/>
          <w:szCs w:val="24"/>
        </w:rPr>
        <w:t xml:space="preserve"> access</w:t>
      </w:r>
      <w:r w:rsidR="004F461F">
        <w:rPr>
          <w:i/>
          <w:sz w:val="24"/>
          <w:szCs w:val="24"/>
        </w:rPr>
        <w:t xml:space="preserve"> measures</w:t>
      </w:r>
      <w:r w:rsidR="00736BB2" w:rsidRPr="00F046B6">
        <w:rPr>
          <w:i/>
          <w:sz w:val="24"/>
          <w:szCs w:val="24"/>
        </w:rPr>
        <w:t xml:space="preserve">, signaling that </w:t>
      </w:r>
      <w:r w:rsidRPr="00F046B6">
        <w:rPr>
          <w:i/>
          <w:sz w:val="24"/>
          <w:szCs w:val="24"/>
        </w:rPr>
        <w:t xml:space="preserve">the ACA did not adversely affect </w:t>
      </w:r>
      <w:r w:rsidR="00736BB2" w:rsidRPr="00F046B6">
        <w:rPr>
          <w:i/>
          <w:sz w:val="24"/>
          <w:szCs w:val="24"/>
        </w:rPr>
        <w:t xml:space="preserve">small-group </w:t>
      </w:r>
      <w:r w:rsidRPr="00F046B6">
        <w:rPr>
          <w:i/>
          <w:sz w:val="24"/>
          <w:szCs w:val="24"/>
        </w:rPr>
        <w:t xml:space="preserve">relative to </w:t>
      </w:r>
      <w:r w:rsidR="00736BB2" w:rsidRPr="00F046B6">
        <w:rPr>
          <w:i/>
          <w:sz w:val="24"/>
          <w:szCs w:val="24"/>
        </w:rPr>
        <w:t>large-group employees.</w:t>
      </w:r>
    </w:p>
    <w:p w14:paraId="54125C08" w14:textId="3FE4018D" w:rsidR="00F046B6" w:rsidRDefault="00F046B6" w:rsidP="006E5E3B">
      <w:pPr>
        <w:spacing w:after="0" w:line="480" w:lineRule="auto"/>
        <w:rPr>
          <w:b/>
          <w:sz w:val="24"/>
          <w:szCs w:val="24"/>
        </w:rPr>
      </w:pPr>
    </w:p>
    <w:p w14:paraId="2DC6C52E" w14:textId="5862BB19" w:rsidR="006F229C" w:rsidRDefault="007D35B8" w:rsidP="006E5E3B">
      <w:pPr>
        <w:spacing w:after="0" w:line="480" w:lineRule="auto"/>
        <w:rPr>
          <w:sz w:val="24"/>
          <w:szCs w:val="24"/>
        </w:rPr>
      </w:pPr>
      <w:r>
        <w:rPr>
          <w:sz w:val="24"/>
          <w:szCs w:val="24"/>
        </w:rPr>
        <w:t>Prior to the A</w:t>
      </w:r>
      <w:r w:rsidR="00ED4152">
        <w:rPr>
          <w:sz w:val="24"/>
          <w:szCs w:val="24"/>
        </w:rPr>
        <w:t xml:space="preserve">ffordable </w:t>
      </w:r>
      <w:r>
        <w:rPr>
          <w:sz w:val="24"/>
          <w:szCs w:val="24"/>
        </w:rPr>
        <w:t>C</w:t>
      </w:r>
      <w:r w:rsidR="00ED4152">
        <w:rPr>
          <w:sz w:val="24"/>
          <w:szCs w:val="24"/>
        </w:rPr>
        <w:t xml:space="preserve">are </w:t>
      </w:r>
      <w:r>
        <w:rPr>
          <w:sz w:val="24"/>
          <w:szCs w:val="24"/>
        </w:rPr>
        <w:t>A</w:t>
      </w:r>
      <w:r w:rsidR="00ED4152">
        <w:rPr>
          <w:sz w:val="24"/>
          <w:szCs w:val="24"/>
        </w:rPr>
        <w:t>ct (ACA)</w:t>
      </w:r>
      <w:r>
        <w:rPr>
          <w:sz w:val="24"/>
          <w:szCs w:val="24"/>
        </w:rPr>
        <w:t xml:space="preserve">, no firm was required to provide health insurance to employees, although small firms </w:t>
      </w:r>
      <w:r w:rsidR="00DA0996">
        <w:rPr>
          <w:sz w:val="24"/>
          <w:szCs w:val="24"/>
        </w:rPr>
        <w:t xml:space="preserve">(defined as less than 50 full-time equivalent employees) </w:t>
      </w:r>
      <w:r>
        <w:rPr>
          <w:sz w:val="24"/>
          <w:szCs w:val="24"/>
        </w:rPr>
        <w:t xml:space="preserve">historically offered </w:t>
      </w:r>
      <w:r w:rsidR="00B32D94">
        <w:rPr>
          <w:sz w:val="24"/>
          <w:szCs w:val="24"/>
        </w:rPr>
        <w:t>insurance</w:t>
      </w:r>
      <w:r>
        <w:rPr>
          <w:sz w:val="24"/>
          <w:szCs w:val="24"/>
        </w:rPr>
        <w:t xml:space="preserve"> at lower rates than large firms. Beginning January 1, 2014, </w:t>
      </w:r>
      <w:r w:rsidR="002C7D0A">
        <w:rPr>
          <w:sz w:val="24"/>
          <w:szCs w:val="24"/>
        </w:rPr>
        <w:t xml:space="preserve">the ACA imposed </w:t>
      </w:r>
      <w:r>
        <w:rPr>
          <w:sz w:val="24"/>
          <w:szCs w:val="24"/>
        </w:rPr>
        <w:t xml:space="preserve">new rules and regulations on </w:t>
      </w:r>
      <w:r w:rsidR="002C7D0A">
        <w:rPr>
          <w:sz w:val="24"/>
          <w:szCs w:val="24"/>
        </w:rPr>
        <w:t xml:space="preserve">health </w:t>
      </w:r>
      <w:r>
        <w:rPr>
          <w:sz w:val="24"/>
          <w:szCs w:val="24"/>
        </w:rPr>
        <w:t>insurance</w:t>
      </w:r>
      <w:r w:rsidR="002C7D0A">
        <w:rPr>
          <w:sz w:val="24"/>
          <w:szCs w:val="24"/>
        </w:rPr>
        <w:t>,</w:t>
      </w:r>
      <w:r>
        <w:rPr>
          <w:sz w:val="24"/>
          <w:szCs w:val="24"/>
        </w:rPr>
        <w:t xml:space="preserve"> </w:t>
      </w:r>
      <w:r w:rsidR="002C7D0A">
        <w:rPr>
          <w:sz w:val="24"/>
          <w:szCs w:val="24"/>
        </w:rPr>
        <w:t>s</w:t>
      </w:r>
      <w:r>
        <w:rPr>
          <w:sz w:val="24"/>
          <w:szCs w:val="24"/>
        </w:rPr>
        <w:t>ome o</w:t>
      </w:r>
      <w:r w:rsidR="002C7D0A">
        <w:rPr>
          <w:sz w:val="24"/>
          <w:szCs w:val="24"/>
        </w:rPr>
        <w:t>f</w:t>
      </w:r>
      <w:r>
        <w:rPr>
          <w:sz w:val="24"/>
          <w:szCs w:val="24"/>
        </w:rPr>
        <w:t xml:space="preserve"> </w:t>
      </w:r>
      <w:r w:rsidR="002C7D0A">
        <w:rPr>
          <w:sz w:val="24"/>
          <w:szCs w:val="24"/>
        </w:rPr>
        <w:t>which</w:t>
      </w:r>
      <w:r>
        <w:rPr>
          <w:sz w:val="24"/>
          <w:szCs w:val="24"/>
        </w:rPr>
        <w:t xml:space="preserve"> applied to fully-insured plans sold to small firms but not to fully-insured plans sold to large firms or self-insured plans.</w:t>
      </w:r>
      <w:r w:rsidR="00B52105">
        <w:rPr>
          <w:sz w:val="24"/>
          <w:szCs w:val="24"/>
        </w:rPr>
        <w:fldChar w:fldCharType="begin"/>
      </w:r>
      <w:r w:rsidR="00010220">
        <w:rPr>
          <w:sz w:val="24"/>
          <w:szCs w:val="24"/>
        </w:rPr>
        <w:instrText>ADDIN F1000_CSL_CITATION&lt;~#@#~&gt;[{"title":"Patient Protection and Affordable Care Act","id":"2237898","type":"article-journal","issued":{},"itemType":"MANUAL_ITEM_PDF","container-title":"42 U.S.C. § 2701 (2010)"}]</w:instrText>
      </w:r>
      <w:r w:rsidR="00B52105">
        <w:rPr>
          <w:sz w:val="24"/>
          <w:szCs w:val="24"/>
        </w:rPr>
        <w:fldChar w:fldCharType="separate"/>
      </w:r>
      <w:r w:rsidR="00BC2F47">
        <w:rPr>
          <w:sz w:val="24"/>
          <w:szCs w:val="24"/>
        </w:rPr>
        <w:t>(1)</w:t>
      </w:r>
      <w:r w:rsidR="00B52105">
        <w:rPr>
          <w:sz w:val="24"/>
          <w:szCs w:val="24"/>
        </w:rPr>
        <w:fldChar w:fldCharType="end"/>
      </w:r>
      <w:r w:rsidR="002C7D0A">
        <w:rPr>
          <w:sz w:val="24"/>
          <w:szCs w:val="24"/>
        </w:rPr>
        <w:t xml:space="preserve"> </w:t>
      </w:r>
    </w:p>
    <w:p w14:paraId="5F03392D" w14:textId="2B309049" w:rsidR="007D35B8" w:rsidRDefault="005D3A8C" w:rsidP="006E5E3B">
      <w:pPr>
        <w:spacing w:after="0" w:line="480" w:lineRule="auto"/>
        <w:ind w:firstLine="720"/>
        <w:rPr>
          <w:sz w:val="24"/>
          <w:szCs w:val="24"/>
        </w:rPr>
      </w:pPr>
      <w:r>
        <w:rPr>
          <w:sz w:val="24"/>
          <w:szCs w:val="24"/>
        </w:rPr>
        <w:t>Researchers have</w:t>
      </w:r>
      <w:r w:rsidR="000048F5">
        <w:rPr>
          <w:sz w:val="24"/>
          <w:szCs w:val="24"/>
        </w:rPr>
        <w:t xml:space="preserve"> </w:t>
      </w:r>
      <w:r w:rsidR="007333C1">
        <w:rPr>
          <w:sz w:val="24"/>
          <w:szCs w:val="24"/>
        </w:rPr>
        <w:t xml:space="preserve">expressed </w:t>
      </w:r>
      <w:r w:rsidR="001B12AF">
        <w:rPr>
          <w:sz w:val="24"/>
          <w:szCs w:val="24"/>
        </w:rPr>
        <w:t>concerns that t</w:t>
      </w:r>
      <w:r w:rsidR="002D2F7F">
        <w:rPr>
          <w:sz w:val="24"/>
          <w:szCs w:val="24"/>
        </w:rPr>
        <w:t>he above r</w:t>
      </w:r>
      <w:r w:rsidR="00DA0996" w:rsidRPr="002D2F7F">
        <w:rPr>
          <w:sz w:val="24"/>
          <w:szCs w:val="24"/>
        </w:rPr>
        <w:t xml:space="preserve">equirements </w:t>
      </w:r>
      <w:r w:rsidR="001B12AF">
        <w:rPr>
          <w:sz w:val="24"/>
          <w:szCs w:val="24"/>
        </w:rPr>
        <w:t>would raise</w:t>
      </w:r>
      <w:r w:rsidR="00DA0996" w:rsidRPr="002D2F7F">
        <w:rPr>
          <w:sz w:val="24"/>
          <w:szCs w:val="24"/>
        </w:rPr>
        <w:t xml:space="preserve"> monthly premiums for small </w:t>
      </w:r>
      <w:r w:rsidR="002D2F7F">
        <w:rPr>
          <w:sz w:val="24"/>
          <w:szCs w:val="24"/>
        </w:rPr>
        <w:t>firms</w:t>
      </w:r>
      <w:r w:rsidR="001B12AF">
        <w:rPr>
          <w:sz w:val="24"/>
          <w:szCs w:val="24"/>
        </w:rPr>
        <w:t xml:space="preserve"> and</w:t>
      </w:r>
      <w:r w:rsidR="006F7E4A" w:rsidRPr="002D2F7F">
        <w:rPr>
          <w:sz w:val="24"/>
          <w:szCs w:val="24"/>
        </w:rPr>
        <w:t xml:space="preserve"> </w:t>
      </w:r>
      <w:r w:rsidR="001B12AF">
        <w:rPr>
          <w:sz w:val="24"/>
          <w:szCs w:val="24"/>
        </w:rPr>
        <w:t xml:space="preserve">as a result, </w:t>
      </w:r>
      <w:r w:rsidR="00C211E5">
        <w:rPr>
          <w:sz w:val="24"/>
          <w:szCs w:val="24"/>
        </w:rPr>
        <w:t xml:space="preserve">many </w:t>
      </w:r>
      <w:r w:rsidR="007333C1">
        <w:rPr>
          <w:sz w:val="24"/>
          <w:szCs w:val="24"/>
        </w:rPr>
        <w:t>small firms would</w:t>
      </w:r>
      <w:r w:rsidR="00C211E5">
        <w:rPr>
          <w:sz w:val="24"/>
          <w:szCs w:val="24"/>
        </w:rPr>
        <w:t xml:space="preserve"> drop </w:t>
      </w:r>
      <w:r w:rsidR="001B12AF">
        <w:rPr>
          <w:sz w:val="24"/>
          <w:szCs w:val="24"/>
        </w:rPr>
        <w:t xml:space="preserve">their </w:t>
      </w:r>
      <w:r w:rsidR="00C211E5">
        <w:rPr>
          <w:sz w:val="24"/>
          <w:szCs w:val="24"/>
        </w:rPr>
        <w:t>health coverage.</w:t>
      </w:r>
      <w:r w:rsidR="00623CEA">
        <w:rPr>
          <w:sz w:val="24"/>
          <w:szCs w:val="24"/>
        </w:rPr>
        <w:fldChar w:fldCharType="begin"/>
      </w:r>
      <w:r w:rsidR="00010220">
        <w:rPr>
          <w:sz w:val="24"/>
          <w:szCs w:val="24"/>
        </w:rPr>
        <w:instrText>ADDIN F1000_CSL_CITATION&lt;~#@#~&gt;[{"title":"Small business health insurance coverage in a post-ACA world","id":"4999939","type":"article-journal","author":[{"family":"Corlette","given":"Sabrina"}],"issued":{"date-parts":[["2015","6"]]},"URL":"https://www.nihcm.org/pdf/Small_Business_Health_Insurance_Coverage_Post-ACA.pdf","itemType":"UNKNOWN"}]</w:instrText>
      </w:r>
      <w:r w:rsidR="00623CEA">
        <w:rPr>
          <w:sz w:val="24"/>
          <w:szCs w:val="24"/>
        </w:rPr>
        <w:fldChar w:fldCharType="separate"/>
      </w:r>
      <w:r w:rsidR="00623CEA">
        <w:rPr>
          <w:sz w:val="24"/>
          <w:szCs w:val="24"/>
        </w:rPr>
        <w:t>(2)</w:t>
      </w:r>
      <w:r w:rsidR="00623CEA">
        <w:rPr>
          <w:sz w:val="24"/>
          <w:szCs w:val="24"/>
        </w:rPr>
        <w:fldChar w:fldCharType="end"/>
      </w:r>
      <w:r w:rsidR="00C211E5">
        <w:rPr>
          <w:sz w:val="24"/>
          <w:szCs w:val="24"/>
        </w:rPr>
        <w:t xml:space="preserve"> </w:t>
      </w:r>
      <w:r w:rsidR="007333C1">
        <w:rPr>
          <w:sz w:val="24"/>
          <w:szCs w:val="24"/>
        </w:rPr>
        <w:t>At the same time, however</w:t>
      </w:r>
      <w:r w:rsidR="002C7D0A">
        <w:rPr>
          <w:sz w:val="24"/>
          <w:szCs w:val="24"/>
        </w:rPr>
        <w:t>, the A</w:t>
      </w:r>
      <w:r w:rsidR="00C3197A">
        <w:rPr>
          <w:sz w:val="24"/>
          <w:szCs w:val="24"/>
        </w:rPr>
        <w:t xml:space="preserve">ffordable </w:t>
      </w:r>
      <w:r w:rsidR="002C7D0A">
        <w:rPr>
          <w:sz w:val="24"/>
          <w:szCs w:val="24"/>
        </w:rPr>
        <w:t>C</w:t>
      </w:r>
      <w:r w:rsidR="00C3197A">
        <w:rPr>
          <w:sz w:val="24"/>
          <w:szCs w:val="24"/>
        </w:rPr>
        <w:t xml:space="preserve">are </w:t>
      </w:r>
      <w:r w:rsidR="002C7D0A">
        <w:rPr>
          <w:sz w:val="24"/>
          <w:szCs w:val="24"/>
        </w:rPr>
        <w:t>A</w:t>
      </w:r>
      <w:r w:rsidR="00C3197A">
        <w:rPr>
          <w:sz w:val="24"/>
          <w:szCs w:val="24"/>
        </w:rPr>
        <w:t>ct</w:t>
      </w:r>
      <w:r w:rsidR="002C7D0A">
        <w:rPr>
          <w:sz w:val="24"/>
          <w:szCs w:val="24"/>
        </w:rPr>
        <w:t xml:space="preserve"> established individual exchange</w:t>
      </w:r>
      <w:r w:rsidR="00C3197A">
        <w:rPr>
          <w:sz w:val="24"/>
          <w:szCs w:val="24"/>
        </w:rPr>
        <w:t>s</w:t>
      </w:r>
      <w:r w:rsidR="002C7D0A">
        <w:rPr>
          <w:sz w:val="24"/>
          <w:szCs w:val="24"/>
        </w:rPr>
        <w:t xml:space="preserve"> as well as expanded Medicaid in certain states, giving employees more choices in obtaining health insurance. </w:t>
      </w:r>
      <w:r w:rsidR="007333C1">
        <w:rPr>
          <w:sz w:val="24"/>
          <w:szCs w:val="24"/>
        </w:rPr>
        <w:t>The net effect of</w:t>
      </w:r>
      <w:r w:rsidR="005763AA">
        <w:rPr>
          <w:sz w:val="24"/>
          <w:szCs w:val="24"/>
        </w:rPr>
        <w:t xml:space="preserve"> t</w:t>
      </w:r>
      <w:r w:rsidR="002C7D0A">
        <w:rPr>
          <w:sz w:val="24"/>
          <w:szCs w:val="24"/>
        </w:rPr>
        <w:t xml:space="preserve">hese changes </w:t>
      </w:r>
      <w:r w:rsidR="007333C1">
        <w:rPr>
          <w:sz w:val="24"/>
          <w:szCs w:val="24"/>
        </w:rPr>
        <w:t>on</w:t>
      </w:r>
      <w:r w:rsidR="002C7D0A">
        <w:rPr>
          <w:sz w:val="24"/>
          <w:szCs w:val="24"/>
        </w:rPr>
        <w:t xml:space="preserve"> </w:t>
      </w:r>
      <w:r w:rsidR="00EB2548">
        <w:rPr>
          <w:sz w:val="24"/>
          <w:szCs w:val="24"/>
        </w:rPr>
        <w:t xml:space="preserve">insurance status, </w:t>
      </w:r>
      <w:r w:rsidR="002C7D0A">
        <w:rPr>
          <w:sz w:val="24"/>
          <w:szCs w:val="24"/>
        </w:rPr>
        <w:t>access to care and financial burden</w:t>
      </w:r>
      <w:r w:rsidR="005763AA">
        <w:rPr>
          <w:sz w:val="24"/>
          <w:szCs w:val="24"/>
        </w:rPr>
        <w:t xml:space="preserve"> </w:t>
      </w:r>
      <w:r w:rsidR="007333C1">
        <w:rPr>
          <w:sz w:val="24"/>
          <w:szCs w:val="24"/>
        </w:rPr>
        <w:t xml:space="preserve">for </w:t>
      </w:r>
      <w:r w:rsidR="00072366">
        <w:rPr>
          <w:sz w:val="24"/>
          <w:szCs w:val="24"/>
        </w:rPr>
        <w:t>small-group</w:t>
      </w:r>
      <w:r w:rsidR="007333C1">
        <w:rPr>
          <w:sz w:val="24"/>
          <w:szCs w:val="24"/>
        </w:rPr>
        <w:t xml:space="preserve"> employees </w:t>
      </w:r>
      <w:r w:rsidR="005763AA">
        <w:rPr>
          <w:sz w:val="24"/>
          <w:szCs w:val="24"/>
        </w:rPr>
        <w:t>w</w:t>
      </w:r>
      <w:r w:rsidR="007333C1">
        <w:rPr>
          <w:sz w:val="24"/>
          <w:szCs w:val="24"/>
        </w:rPr>
        <w:t>as</w:t>
      </w:r>
      <w:r w:rsidR="005763AA">
        <w:rPr>
          <w:sz w:val="24"/>
          <w:szCs w:val="24"/>
        </w:rPr>
        <w:t xml:space="preserve"> unknown</w:t>
      </w:r>
      <w:r w:rsidR="002C7D0A">
        <w:rPr>
          <w:sz w:val="24"/>
          <w:szCs w:val="24"/>
        </w:rPr>
        <w:t>.</w:t>
      </w:r>
    </w:p>
    <w:p w14:paraId="19B5634B" w14:textId="6F6D319B" w:rsidR="00B0092C" w:rsidRDefault="00EB2548" w:rsidP="00FB7001">
      <w:pPr>
        <w:spacing w:after="0" w:line="480" w:lineRule="auto"/>
        <w:ind w:firstLine="720"/>
        <w:rPr>
          <w:sz w:val="24"/>
          <w:szCs w:val="24"/>
        </w:rPr>
      </w:pPr>
      <w:r>
        <w:rPr>
          <w:sz w:val="24"/>
          <w:szCs w:val="24"/>
        </w:rPr>
        <w:t>U</w:t>
      </w:r>
      <w:r w:rsidR="00FF4C8D">
        <w:rPr>
          <w:sz w:val="24"/>
          <w:szCs w:val="24"/>
        </w:rPr>
        <w:t>sing</w:t>
      </w:r>
      <w:r w:rsidR="00792899">
        <w:rPr>
          <w:sz w:val="24"/>
          <w:szCs w:val="24"/>
        </w:rPr>
        <w:t xml:space="preserve"> </w:t>
      </w:r>
      <w:r w:rsidR="00FF4C8D">
        <w:rPr>
          <w:sz w:val="24"/>
          <w:szCs w:val="24"/>
        </w:rPr>
        <w:t>data from the Medical Expenditure Panel Survey (MEP</w:t>
      </w:r>
      <w:r w:rsidR="00045A80">
        <w:rPr>
          <w:sz w:val="24"/>
          <w:szCs w:val="24"/>
        </w:rPr>
        <w:t>S) Household Component 2007-2015</w:t>
      </w:r>
      <w:r w:rsidR="007625A5">
        <w:rPr>
          <w:sz w:val="24"/>
          <w:szCs w:val="24"/>
        </w:rPr>
        <w:t xml:space="preserve">, </w:t>
      </w:r>
      <w:r w:rsidR="00077D70">
        <w:rPr>
          <w:sz w:val="24"/>
          <w:szCs w:val="24"/>
        </w:rPr>
        <w:t xml:space="preserve">we found </w:t>
      </w:r>
      <w:r>
        <w:rPr>
          <w:sz w:val="24"/>
          <w:szCs w:val="24"/>
        </w:rPr>
        <w:t xml:space="preserve">that the ACA was associated with significant reductions in the likelihood of being uninsured for small-group versus large-group employees (Exhibit 1). </w:t>
      </w:r>
      <w:r w:rsidR="00AB7045">
        <w:rPr>
          <w:sz w:val="24"/>
          <w:szCs w:val="24"/>
        </w:rPr>
        <w:t xml:space="preserve">From 2013 to </w:t>
      </w:r>
      <w:r w:rsidR="00AB7045" w:rsidRPr="00AB7045">
        <w:rPr>
          <w:sz w:val="24"/>
          <w:szCs w:val="24"/>
        </w:rPr>
        <w:t xml:space="preserve">2015, the share of the uninsured in small </w:t>
      </w:r>
      <w:r w:rsidR="003A48D6">
        <w:rPr>
          <w:sz w:val="24"/>
          <w:szCs w:val="24"/>
        </w:rPr>
        <w:t>firms</w:t>
      </w:r>
      <w:r w:rsidR="00AB7045" w:rsidRPr="00AB7045">
        <w:rPr>
          <w:sz w:val="24"/>
          <w:szCs w:val="24"/>
        </w:rPr>
        <w:t xml:space="preserve"> declined by 10 percentage points to 21.1%, 6.5 </w:t>
      </w:r>
      <w:r w:rsidR="00AB7045" w:rsidRPr="00AB7045">
        <w:rPr>
          <w:sz w:val="24"/>
          <w:szCs w:val="24"/>
        </w:rPr>
        <w:lastRenderedPageBreak/>
        <w:t xml:space="preserve">percentage points below the uninsured level in 2007. </w:t>
      </w:r>
      <w:r w:rsidR="00AB7045" w:rsidRPr="00AB7045">
        <w:rPr>
          <w:rFonts w:ascii="Calibri" w:hAnsi="Calibri"/>
          <w:color w:val="000000"/>
          <w:sz w:val="24"/>
          <w:szCs w:val="24"/>
        </w:rPr>
        <w:t xml:space="preserve">Regression analysis using a difference-in-difference (DD) methodology showed that </w:t>
      </w:r>
      <w:r w:rsidR="00CC3D25">
        <w:rPr>
          <w:rFonts w:ascii="Calibri" w:hAnsi="Calibri"/>
          <w:color w:val="000000"/>
          <w:sz w:val="24"/>
          <w:szCs w:val="24"/>
        </w:rPr>
        <w:t>the small-group employees had a</w:t>
      </w:r>
      <w:r w:rsidR="00AB7045" w:rsidRPr="00AB7045">
        <w:rPr>
          <w:rFonts w:ascii="Calibri" w:hAnsi="Calibri"/>
          <w:color w:val="000000"/>
          <w:sz w:val="24"/>
          <w:szCs w:val="24"/>
        </w:rPr>
        <w:t xml:space="preserve"> greater </w:t>
      </w:r>
      <w:r w:rsidR="00CC3D25" w:rsidRPr="00AB7045">
        <w:rPr>
          <w:rFonts w:ascii="Calibri" w:hAnsi="Calibri"/>
          <w:color w:val="000000"/>
          <w:sz w:val="24"/>
          <w:szCs w:val="24"/>
        </w:rPr>
        <w:t xml:space="preserve">estimated </w:t>
      </w:r>
      <w:r w:rsidR="00AB7045" w:rsidRPr="00AB7045">
        <w:rPr>
          <w:rFonts w:ascii="Calibri" w:hAnsi="Calibri"/>
          <w:color w:val="000000"/>
          <w:sz w:val="24"/>
          <w:szCs w:val="24"/>
        </w:rPr>
        <w:t>reduction in the likelihood of being uninsured of 3 percentage points relative to large-group employees.</w:t>
      </w:r>
      <w:r w:rsidR="00AB7045">
        <w:rPr>
          <w:rFonts w:ascii="Calibri" w:hAnsi="Calibri"/>
          <w:color w:val="000000"/>
        </w:rPr>
        <w:t xml:space="preserve"> </w:t>
      </w:r>
      <w:r w:rsidR="004F461F">
        <w:rPr>
          <w:sz w:val="24"/>
          <w:szCs w:val="24"/>
        </w:rPr>
        <w:t xml:space="preserve">We also analyzed </w:t>
      </w:r>
      <w:r w:rsidR="00077D70">
        <w:rPr>
          <w:sz w:val="24"/>
          <w:szCs w:val="24"/>
        </w:rPr>
        <w:t xml:space="preserve">trends in </w:t>
      </w:r>
      <w:r w:rsidR="004F461F">
        <w:rPr>
          <w:sz w:val="24"/>
          <w:szCs w:val="24"/>
        </w:rPr>
        <w:t xml:space="preserve">a number of other </w:t>
      </w:r>
      <w:r w:rsidR="00077D70">
        <w:rPr>
          <w:sz w:val="24"/>
          <w:szCs w:val="24"/>
        </w:rPr>
        <w:t>measures (</w:t>
      </w:r>
      <w:r w:rsidR="00C7438F">
        <w:rPr>
          <w:sz w:val="24"/>
          <w:szCs w:val="24"/>
        </w:rPr>
        <w:t xml:space="preserve">employer-sponsored insurance </w:t>
      </w:r>
      <w:r w:rsidR="00077D70">
        <w:rPr>
          <w:sz w:val="24"/>
          <w:szCs w:val="24"/>
        </w:rPr>
        <w:t>availability</w:t>
      </w:r>
      <w:r w:rsidR="00C7438F">
        <w:rPr>
          <w:sz w:val="24"/>
          <w:szCs w:val="24"/>
        </w:rPr>
        <w:t xml:space="preserve"> and rate of take-up</w:t>
      </w:r>
      <w:r w:rsidR="00077D70">
        <w:rPr>
          <w:sz w:val="24"/>
          <w:szCs w:val="24"/>
        </w:rPr>
        <w:t xml:space="preserve">, access to care and financial burden) for small-group </w:t>
      </w:r>
      <w:r w:rsidR="004F461F">
        <w:rPr>
          <w:sz w:val="24"/>
          <w:szCs w:val="24"/>
        </w:rPr>
        <w:t>versus</w:t>
      </w:r>
      <w:r w:rsidR="00077D70">
        <w:rPr>
          <w:sz w:val="24"/>
          <w:szCs w:val="24"/>
        </w:rPr>
        <w:t xml:space="preserve"> large-group employees</w:t>
      </w:r>
      <w:r w:rsidR="004F461F">
        <w:rPr>
          <w:sz w:val="24"/>
          <w:szCs w:val="24"/>
        </w:rPr>
        <w:t>, but did not find any statistically significant differences associated with ACA implementation</w:t>
      </w:r>
      <w:r w:rsidR="00077D70">
        <w:rPr>
          <w:sz w:val="24"/>
          <w:szCs w:val="24"/>
        </w:rPr>
        <w:t>.</w:t>
      </w:r>
      <w:r w:rsidR="004F461F">
        <w:rPr>
          <w:sz w:val="24"/>
          <w:szCs w:val="24"/>
        </w:rPr>
        <w:t xml:space="preserve">  Therefore, the ACA appears not to have adversely affected small-group employees on a range of insurance offering and access to care measures.</w:t>
      </w:r>
      <w:r w:rsidR="00077D70">
        <w:rPr>
          <w:sz w:val="24"/>
          <w:szCs w:val="24"/>
        </w:rPr>
        <w:t xml:space="preserve"> </w:t>
      </w:r>
    </w:p>
    <w:p w14:paraId="04498174" w14:textId="77777777" w:rsidR="003B5639" w:rsidRDefault="003B5639" w:rsidP="00FB7001">
      <w:pPr>
        <w:spacing w:after="0" w:line="480" w:lineRule="auto"/>
        <w:rPr>
          <w:b/>
          <w:sz w:val="24"/>
        </w:rPr>
      </w:pPr>
      <w:bookmarkStart w:id="1" w:name="_Toc481958248"/>
    </w:p>
    <w:p w14:paraId="64CA611F" w14:textId="217400E4" w:rsidR="00614426" w:rsidRPr="00B52105" w:rsidRDefault="00614426" w:rsidP="00FB7001">
      <w:pPr>
        <w:spacing w:after="0" w:line="480" w:lineRule="auto"/>
        <w:rPr>
          <w:b/>
          <w:sz w:val="28"/>
          <w:szCs w:val="24"/>
        </w:rPr>
      </w:pPr>
      <w:r w:rsidRPr="00B52105">
        <w:rPr>
          <w:b/>
          <w:sz w:val="24"/>
        </w:rPr>
        <w:t xml:space="preserve">Study </w:t>
      </w:r>
      <w:r w:rsidR="00EB2548" w:rsidRPr="00B52105">
        <w:rPr>
          <w:b/>
          <w:sz w:val="24"/>
        </w:rPr>
        <w:t>D</w:t>
      </w:r>
      <w:r w:rsidRPr="00B52105">
        <w:rPr>
          <w:b/>
          <w:sz w:val="24"/>
        </w:rPr>
        <w:t xml:space="preserve">ata and </w:t>
      </w:r>
      <w:r w:rsidR="00EB2548" w:rsidRPr="00B52105">
        <w:rPr>
          <w:b/>
          <w:sz w:val="24"/>
        </w:rPr>
        <w:t>M</w:t>
      </w:r>
      <w:r w:rsidRPr="00B52105">
        <w:rPr>
          <w:b/>
          <w:sz w:val="24"/>
        </w:rPr>
        <w:t>ethods</w:t>
      </w:r>
      <w:bookmarkEnd w:id="1"/>
    </w:p>
    <w:p w14:paraId="29752193" w14:textId="4BDD7387" w:rsidR="00C80A40" w:rsidRDefault="00EB2548" w:rsidP="00FB7001">
      <w:pPr>
        <w:spacing w:after="0" w:line="480" w:lineRule="auto"/>
        <w:rPr>
          <w:sz w:val="24"/>
          <w:szCs w:val="24"/>
        </w:rPr>
      </w:pPr>
      <w:r>
        <w:rPr>
          <w:sz w:val="24"/>
          <w:szCs w:val="24"/>
        </w:rPr>
        <w:t>Exhibit 2 shows selected differences between plans sold to small firm</w:t>
      </w:r>
      <w:r w:rsidR="002F5AF9">
        <w:rPr>
          <w:sz w:val="24"/>
          <w:szCs w:val="24"/>
        </w:rPr>
        <w:t>s versus large firms starting</w:t>
      </w:r>
      <w:r>
        <w:rPr>
          <w:sz w:val="24"/>
          <w:szCs w:val="24"/>
        </w:rPr>
        <w:t xml:space="preserve"> 2014. </w:t>
      </w:r>
      <w:r w:rsidR="004D4E25">
        <w:rPr>
          <w:sz w:val="24"/>
          <w:szCs w:val="24"/>
        </w:rPr>
        <w:t>For small firms, the ACA limits the factors that health insurance companies can use to price premiums to age, geography, tobacco usage and whether the coverage is for individual or family.</w:t>
      </w:r>
      <w:r w:rsidR="00010220">
        <w:rPr>
          <w:sz w:val="24"/>
          <w:szCs w:val="24"/>
        </w:rPr>
        <w:fldChar w:fldCharType="begin"/>
      </w:r>
      <w:r w:rsidR="00010220">
        <w:rPr>
          <w:sz w:val="24"/>
          <w:szCs w:val="24"/>
        </w:rPr>
        <w:instrText>ADDIN F1000_CSL_CITATION&lt;~#@#~&gt;[{"title":"Patient Protection and Affordable Care Act","id":"2237898","type":"article-journal","issued":{},"itemType":"MANUAL_ITEM_PDF","container-title":"42 U.S.C. § 2701 (2010)"}]</w:instrText>
      </w:r>
      <w:r w:rsidR="00010220">
        <w:rPr>
          <w:sz w:val="24"/>
          <w:szCs w:val="24"/>
        </w:rPr>
        <w:fldChar w:fldCharType="separate"/>
      </w:r>
      <w:r w:rsidR="00010220">
        <w:rPr>
          <w:sz w:val="24"/>
          <w:szCs w:val="24"/>
        </w:rPr>
        <w:t>(1)</w:t>
      </w:r>
      <w:r w:rsidR="00010220">
        <w:rPr>
          <w:sz w:val="24"/>
          <w:szCs w:val="24"/>
        </w:rPr>
        <w:fldChar w:fldCharType="end"/>
      </w:r>
      <w:r w:rsidR="004D4E25">
        <w:rPr>
          <w:sz w:val="24"/>
          <w:szCs w:val="24"/>
        </w:rPr>
        <w:t xml:space="preserve"> </w:t>
      </w:r>
      <w:r w:rsidR="00BA4BAA">
        <w:rPr>
          <w:sz w:val="24"/>
          <w:szCs w:val="24"/>
        </w:rPr>
        <w:t>Plans are also</w:t>
      </w:r>
      <w:r w:rsidR="004D4E25">
        <w:rPr>
          <w:sz w:val="24"/>
          <w:szCs w:val="24"/>
        </w:rPr>
        <w:t xml:space="preserve"> </w:t>
      </w:r>
      <w:r w:rsidR="00BA4BAA">
        <w:rPr>
          <w:sz w:val="24"/>
          <w:szCs w:val="24"/>
        </w:rPr>
        <w:t xml:space="preserve">required to have </w:t>
      </w:r>
      <w:r w:rsidR="004D4E25">
        <w:rPr>
          <w:sz w:val="24"/>
          <w:szCs w:val="24"/>
        </w:rPr>
        <w:t xml:space="preserve">ten essential health benefits including </w:t>
      </w:r>
      <w:r w:rsidR="004D4E25" w:rsidRPr="00697289">
        <w:rPr>
          <w:sz w:val="24"/>
          <w:szCs w:val="24"/>
        </w:rPr>
        <w:t>maternity and newborn care, preventive and wellness services</w:t>
      </w:r>
      <w:r w:rsidR="004D4E25">
        <w:rPr>
          <w:sz w:val="24"/>
          <w:szCs w:val="24"/>
        </w:rPr>
        <w:t>,</w:t>
      </w:r>
      <w:r w:rsidR="004D4E25" w:rsidRPr="00697289">
        <w:rPr>
          <w:sz w:val="24"/>
          <w:szCs w:val="24"/>
        </w:rPr>
        <w:t xml:space="preserve"> disease management serv</w:t>
      </w:r>
      <w:r w:rsidR="004D4E25">
        <w:rPr>
          <w:sz w:val="24"/>
          <w:szCs w:val="24"/>
        </w:rPr>
        <w:t>ices, and mental health services.</w:t>
      </w:r>
      <w:r w:rsidR="00010220">
        <w:rPr>
          <w:sz w:val="24"/>
          <w:szCs w:val="24"/>
        </w:rPr>
        <w:fldChar w:fldCharType="begin"/>
      </w:r>
      <w:r w:rsidR="00010220">
        <w:rPr>
          <w:sz w:val="24"/>
          <w:szCs w:val="24"/>
        </w:rPr>
        <w:instrText>ADDIN F1000_CSL_CITATION&lt;~#@#~&gt;[{"title":"Patient Protection and Affordable Care Act","id":"2238055","type":"article-journal","issued":{},"itemType":"MANUAL_ITEM_PDF","container-title":"42 U.S.C. § 2707 (2010)."},{"title":"Patient Protection and Affordable Care Act","id":"2156943","type":"article-journal","issued":{},"itemType":"MANUAL_ITEM_PDF","container-title":"42 U.S.C. § 1302 (2010)"}]</w:instrText>
      </w:r>
      <w:r w:rsidR="00010220">
        <w:rPr>
          <w:sz w:val="24"/>
          <w:szCs w:val="24"/>
        </w:rPr>
        <w:fldChar w:fldCharType="separate"/>
      </w:r>
      <w:r w:rsidR="00010220">
        <w:rPr>
          <w:sz w:val="24"/>
          <w:szCs w:val="24"/>
        </w:rPr>
        <w:t>(3,4)</w:t>
      </w:r>
      <w:r w:rsidR="00010220">
        <w:rPr>
          <w:sz w:val="24"/>
          <w:szCs w:val="24"/>
        </w:rPr>
        <w:fldChar w:fldCharType="end"/>
      </w:r>
      <w:r w:rsidR="004D4E25">
        <w:rPr>
          <w:sz w:val="24"/>
          <w:szCs w:val="24"/>
        </w:rPr>
        <w:t xml:space="preserve"> These benefits can be more generous than what small firms use</w:t>
      </w:r>
      <w:r w:rsidR="00BA4BAA">
        <w:rPr>
          <w:sz w:val="24"/>
          <w:szCs w:val="24"/>
        </w:rPr>
        <w:t>d</w:t>
      </w:r>
      <w:r w:rsidR="004D4E25">
        <w:rPr>
          <w:sz w:val="24"/>
          <w:szCs w:val="24"/>
        </w:rPr>
        <w:t xml:space="preserve"> to offer prior to the ACA.</w:t>
      </w:r>
    </w:p>
    <w:p w14:paraId="42FCCC6F" w14:textId="40982FF8" w:rsidR="00614426" w:rsidRDefault="00ED6755" w:rsidP="00BD6760">
      <w:pPr>
        <w:spacing w:after="0" w:line="480" w:lineRule="auto"/>
        <w:ind w:firstLine="360"/>
        <w:rPr>
          <w:sz w:val="24"/>
          <w:szCs w:val="24"/>
        </w:rPr>
      </w:pPr>
      <w:r>
        <w:rPr>
          <w:sz w:val="24"/>
          <w:szCs w:val="24"/>
        </w:rPr>
        <w:t>For the study, w</w:t>
      </w:r>
      <w:r w:rsidR="00614426">
        <w:rPr>
          <w:sz w:val="24"/>
          <w:szCs w:val="24"/>
        </w:rPr>
        <w:t xml:space="preserve">e used 7 years of data pre-ACA (2007-2013) and </w:t>
      </w:r>
      <w:r w:rsidR="00AD7F67">
        <w:rPr>
          <w:sz w:val="24"/>
          <w:szCs w:val="24"/>
        </w:rPr>
        <w:t>2</w:t>
      </w:r>
      <w:r w:rsidR="00614426">
        <w:rPr>
          <w:sz w:val="24"/>
          <w:szCs w:val="24"/>
        </w:rPr>
        <w:t xml:space="preserve"> year</w:t>
      </w:r>
      <w:r w:rsidR="00AD7F67">
        <w:rPr>
          <w:sz w:val="24"/>
          <w:szCs w:val="24"/>
        </w:rPr>
        <w:t>s</w:t>
      </w:r>
      <w:r w:rsidR="00614426">
        <w:rPr>
          <w:sz w:val="24"/>
          <w:szCs w:val="24"/>
        </w:rPr>
        <w:t xml:space="preserve"> of data post-ACA (</w:t>
      </w:r>
      <w:r w:rsidR="00C9497B">
        <w:rPr>
          <w:sz w:val="24"/>
          <w:szCs w:val="24"/>
        </w:rPr>
        <w:t>2014-</w:t>
      </w:r>
      <w:r w:rsidR="00614426">
        <w:rPr>
          <w:sz w:val="24"/>
          <w:szCs w:val="24"/>
        </w:rPr>
        <w:t>201</w:t>
      </w:r>
      <w:r w:rsidR="00AD7F67">
        <w:rPr>
          <w:sz w:val="24"/>
          <w:szCs w:val="24"/>
        </w:rPr>
        <w:t>5</w:t>
      </w:r>
      <w:r w:rsidR="00614426">
        <w:rPr>
          <w:sz w:val="24"/>
          <w:szCs w:val="24"/>
        </w:rPr>
        <w:t>) from the Medical Expenditure Panel Survey (MEPS) Household Component Public Use File (PUF). The analysis sample was limited to employees age 26 and older,</w:t>
      </w:r>
      <w:r w:rsidR="00614426" w:rsidRPr="00902F7D">
        <w:rPr>
          <w:sz w:val="24"/>
          <w:szCs w:val="24"/>
        </w:rPr>
        <w:t xml:space="preserve"> </w:t>
      </w:r>
      <w:r w:rsidR="00614426">
        <w:rPr>
          <w:sz w:val="24"/>
          <w:szCs w:val="24"/>
        </w:rPr>
        <w:t>defined as any persons age 26 to less than 65 who were “currently employed” and who were not self-employed. Employees of federal, state or local government were also excluded.</w:t>
      </w:r>
    </w:p>
    <w:p w14:paraId="773BA6EC" w14:textId="77777777" w:rsidR="00614426" w:rsidRDefault="00614426" w:rsidP="00C7438F">
      <w:pPr>
        <w:spacing w:after="0" w:line="480" w:lineRule="auto"/>
        <w:ind w:firstLine="360"/>
        <w:rPr>
          <w:sz w:val="24"/>
          <w:szCs w:val="24"/>
        </w:rPr>
      </w:pPr>
      <w:r>
        <w:rPr>
          <w:sz w:val="24"/>
          <w:szCs w:val="24"/>
        </w:rPr>
        <w:lastRenderedPageBreak/>
        <w:t>The outcome variables of interest were:</w:t>
      </w:r>
    </w:p>
    <w:p w14:paraId="467F9B74" w14:textId="0E234040" w:rsidR="00614426" w:rsidRPr="006F3261" w:rsidRDefault="00614426" w:rsidP="006E5E3B">
      <w:pPr>
        <w:pStyle w:val="ListParagraph"/>
        <w:numPr>
          <w:ilvl w:val="0"/>
          <w:numId w:val="1"/>
        </w:numPr>
        <w:spacing w:after="0" w:line="480" w:lineRule="auto"/>
      </w:pPr>
      <w:r w:rsidRPr="00C97346">
        <w:rPr>
          <w:sz w:val="24"/>
          <w:szCs w:val="24"/>
        </w:rPr>
        <w:t xml:space="preserve">the offer rates of </w:t>
      </w:r>
      <w:r w:rsidR="00C7438F">
        <w:rPr>
          <w:sz w:val="24"/>
          <w:szCs w:val="24"/>
        </w:rPr>
        <w:t>employer-sponsored insurance (</w:t>
      </w:r>
      <w:r w:rsidRPr="00C97346">
        <w:rPr>
          <w:sz w:val="24"/>
          <w:szCs w:val="24"/>
        </w:rPr>
        <w:t>ESI</w:t>
      </w:r>
      <w:r w:rsidR="00C7438F">
        <w:rPr>
          <w:sz w:val="24"/>
          <w:szCs w:val="24"/>
        </w:rPr>
        <w:t>)</w:t>
      </w:r>
      <w:r>
        <w:rPr>
          <w:sz w:val="24"/>
          <w:szCs w:val="24"/>
        </w:rPr>
        <w:t>;</w:t>
      </w:r>
      <w:r w:rsidRPr="00C97346">
        <w:rPr>
          <w:sz w:val="24"/>
          <w:szCs w:val="24"/>
        </w:rPr>
        <w:t xml:space="preserve"> </w:t>
      </w:r>
    </w:p>
    <w:p w14:paraId="287B8463" w14:textId="77777777" w:rsidR="00614426" w:rsidRPr="00C97346" w:rsidRDefault="00614426" w:rsidP="006E5E3B">
      <w:pPr>
        <w:pStyle w:val="ListParagraph"/>
        <w:numPr>
          <w:ilvl w:val="0"/>
          <w:numId w:val="1"/>
        </w:numPr>
        <w:spacing w:after="0" w:line="480" w:lineRule="auto"/>
      </w:pPr>
      <w:r w:rsidRPr="00C97346">
        <w:rPr>
          <w:sz w:val="24"/>
          <w:szCs w:val="24"/>
        </w:rPr>
        <w:t>the take-up rates of different insurance types, which were categorized as employment-related insurance (including personal ESI and spouse’s ESI), public insurance (Medicare, Medicaid etc.) and private insurance (including individual health exchange plans)</w:t>
      </w:r>
      <w:r>
        <w:rPr>
          <w:sz w:val="24"/>
          <w:szCs w:val="24"/>
        </w:rPr>
        <w:t>;</w:t>
      </w:r>
    </w:p>
    <w:p w14:paraId="0002AEFA" w14:textId="77777777" w:rsidR="00C80A40" w:rsidRPr="00BD6760" w:rsidRDefault="00C80A40" w:rsidP="006E5E3B">
      <w:pPr>
        <w:pStyle w:val="ListParagraph"/>
        <w:numPr>
          <w:ilvl w:val="0"/>
          <w:numId w:val="1"/>
        </w:numPr>
        <w:spacing w:after="0" w:line="480" w:lineRule="auto"/>
      </w:pPr>
      <w:r>
        <w:rPr>
          <w:sz w:val="24"/>
          <w:szCs w:val="24"/>
        </w:rPr>
        <w:t>three self-reported measures of access and financial burden:</w:t>
      </w:r>
    </w:p>
    <w:p w14:paraId="25929C3D" w14:textId="795D012A" w:rsidR="00614426" w:rsidRPr="00C97346" w:rsidRDefault="00614426" w:rsidP="00BD6760">
      <w:pPr>
        <w:pStyle w:val="ListParagraph"/>
        <w:numPr>
          <w:ilvl w:val="1"/>
          <w:numId w:val="5"/>
        </w:numPr>
        <w:spacing w:after="0" w:line="480" w:lineRule="auto"/>
      </w:pPr>
      <w:r w:rsidRPr="00C97346">
        <w:rPr>
          <w:sz w:val="24"/>
          <w:szCs w:val="24"/>
        </w:rPr>
        <w:t>whether the person was unable to get necessary medical care</w:t>
      </w:r>
      <w:r>
        <w:rPr>
          <w:sz w:val="24"/>
          <w:szCs w:val="24"/>
        </w:rPr>
        <w:t>;</w:t>
      </w:r>
    </w:p>
    <w:p w14:paraId="04809493" w14:textId="77777777" w:rsidR="00614426" w:rsidRPr="006F3261" w:rsidRDefault="00614426" w:rsidP="00BD6760">
      <w:pPr>
        <w:pStyle w:val="ListParagraph"/>
        <w:numPr>
          <w:ilvl w:val="1"/>
          <w:numId w:val="5"/>
        </w:numPr>
        <w:spacing w:after="0" w:line="480" w:lineRule="auto"/>
      </w:pPr>
      <w:r w:rsidRPr="00C97346">
        <w:rPr>
          <w:sz w:val="24"/>
          <w:szCs w:val="24"/>
        </w:rPr>
        <w:t>whether the person delayed in getting necessary medical care</w:t>
      </w:r>
      <w:r>
        <w:rPr>
          <w:sz w:val="24"/>
          <w:szCs w:val="24"/>
        </w:rPr>
        <w:t>;</w:t>
      </w:r>
      <w:r w:rsidRPr="00C97346">
        <w:rPr>
          <w:sz w:val="24"/>
          <w:szCs w:val="24"/>
        </w:rPr>
        <w:t xml:space="preserve"> and</w:t>
      </w:r>
    </w:p>
    <w:p w14:paraId="53D078A8" w14:textId="0B227D8B" w:rsidR="00614426" w:rsidRPr="00DB0A71" w:rsidRDefault="00614426" w:rsidP="00BD6760">
      <w:pPr>
        <w:pStyle w:val="ListParagraph"/>
        <w:numPr>
          <w:ilvl w:val="1"/>
          <w:numId w:val="1"/>
        </w:numPr>
        <w:spacing w:after="0" w:line="480" w:lineRule="auto"/>
      </w:pPr>
      <w:r w:rsidRPr="00C97346">
        <w:rPr>
          <w:sz w:val="24"/>
          <w:szCs w:val="24"/>
        </w:rPr>
        <w:t>whether the person experienced medical financial burden, defined as having total out-of-pocket expenditure (total amount of health care expenditure paid by self/family, not including premiums) higher than 10% of family income.</w:t>
      </w:r>
      <w:r w:rsidRPr="00C97346">
        <w:rPr>
          <w:sz w:val="24"/>
          <w:szCs w:val="24"/>
        </w:rPr>
        <w:fldChar w:fldCharType="begin"/>
      </w:r>
      <w:r w:rsidR="00010220">
        <w:rPr>
          <w:sz w:val="24"/>
          <w:szCs w:val="24"/>
        </w:rPr>
        <w:instrText>ADDIN F1000_CSL_CITATION&lt;~#@#~&gt;[{"title":"Impact of out-of-pocket spending caps on financial burden of those with group health insurance.","id":"2305495","page":"683-688","type":"article-journal","volume":"30","issue":"5","author":[{"family":"Riggs","given":"Kevin R"},{"family":"Buttorff","given":"Christine"},{"family":"Alexander","given":"G Caleb"}],"issued":{"date-parts":[["2015","5"]]},"container-title":"Journal of General Internal Medicine","container-title-short":"J Gen Intern Med","DOI":"10.1007/s11606-014-3127-z","PMID":"25472507","PMCID":"PMC4395601"}]</w:instrText>
      </w:r>
      <w:r w:rsidRPr="00C97346">
        <w:rPr>
          <w:sz w:val="24"/>
          <w:szCs w:val="24"/>
        </w:rPr>
        <w:fldChar w:fldCharType="separate"/>
      </w:r>
      <w:r w:rsidR="00010220">
        <w:rPr>
          <w:sz w:val="24"/>
          <w:szCs w:val="24"/>
        </w:rPr>
        <w:t>(5)</w:t>
      </w:r>
      <w:r w:rsidRPr="00C97346">
        <w:rPr>
          <w:sz w:val="24"/>
          <w:szCs w:val="24"/>
        </w:rPr>
        <w:fldChar w:fldCharType="end"/>
      </w:r>
    </w:p>
    <w:p w14:paraId="7FB1BA24" w14:textId="6917A2FF" w:rsidR="00614426" w:rsidRDefault="00B961DC" w:rsidP="006E5E3B">
      <w:pPr>
        <w:spacing w:after="0" w:line="480" w:lineRule="auto"/>
        <w:rPr>
          <w:sz w:val="24"/>
          <w:szCs w:val="24"/>
        </w:rPr>
      </w:pPr>
      <w:r>
        <w:rPr>
          <w:sz w:val="24"/>
          <w:szCs w:val="24"/>
        </w:rPr>
        <w:t>Population-weighted d</w:t>
      </w:r>
      <w:r w:rsidR="00614426">
        <w:rPr>
          <w:sz w:val="24"/>
          <w:szCs w:val="24"/>
        </w:rPr>
        <w:t>escriptive statistics were used to plot trends in the outcomes of interest. Logistic regressions models were used to estimate the difference-in-differ</w:t>
      </w:r>
      <w:r w:rsidR="00777C04">
        <w:rPr>
          <w:sz w:val="24"/>
          <w:szCs w:val="24"/>
        </w:rPr>
        <w:t>ence effect of the ACA on small-group and large-</w:t>
      </w:r>
      <w:r w:rsidR="00614426">
        <w:rPr>
          <w:sz w:val="24"/>
          <w:szCs w:val="24"/>
        </w:rPr>
        <w:t>group employees in 2014</w:t>
      </w:r>
      <w:r w:rsidR="00523E73">
        <w:rPr>
          <w:sz w:val="24"/>
          <w:szCs w:val="24"/>
        </w:rPr>
        <w:t xml:space="preserve"> and 2015</w:t>
      </w:r>
      <w:r w:rsidR="00614426">
        <w:rPr>
          <w:sz w:val="24"/>
          <w:szCs w:val="24"/>
        </w:rPr>
        <w:t xml:space="preserve"> versus the previous 7 years. The models</w:t>
      </w:r>
      <w:r w:rsidR="00C80A40">
        <w:rPr>
          <w:sz w:val="24"/>
          <w:szCs w:val="24"/>
        </w:rPr>
        <w:t>, which</w:t>
      </w:r>
      <w:r w:rsidR="00614426">
        <w:rPr>
          <w:sz w:val="24"/>
          <w:szCs w:val="24"/>
        </w:rPr>
        <w:t xml:space="preserve"> were </w:t>
      </w:r>
      <w:r w:rsidR="006D6A2D">
        <w:rPr>
          <w:sz w:val="24"/>
          <w:szCs w:val="24"/>
        </w:rPr>
        <w:t>population-weighted</w:t>
      </w:r>
      <w:r w:rsidR="00C80A40">
        <w:rPr>
          <w:sz w:val="24"/>
          <w:szCs w:val="24"/>
        </w:rPr>
        <w:t xml:space="preserve"> and adjusted for the complex survey design</w:t>
      </w:r>
      <w:r w:rsidR="006D6A2D">
        <w:rPr>
          <w:sz w:val="24"/>
          <w:szCs w:val="24"/>
        </w:rPr>
        <w:t xml:space="preserve">, </w:t>
      </w:r>
      <w:r w:rsidR="00C80A40">
        <w:rPr>
          <w:sz w:val="24"/>
          <w:szCs w:val="24"/>
        </w:rPr>
        <w:t>controlled</w:t>
      </w:r>
      <w:r w:rsidR="00614426">
        <w:rPr>
          <w:sz w:val="24"/>
          <w:szCs w:val="24"/>
        </w:rPr>
        <w:t xml:space="preserve"> for age, race, gender, family poverty level, education level, hours worked per week, region, and health risk level (based on the number of conditions out of 11 priority conditions as defined by MEPS: diabetes, heart disease, high blood pressure, stroke, emphysema, chronic bronchitis, high cholesterol, cancer, joint pain, arthritis, and asthma). </w:t>
      </w:r>
      <w:r w:rsidR="00E02F16">
        <w:rPr>
          <w:sz w:val="24"/>
          <w:szCs w:val="24"/>
        </w:rPr>
        <w:t xml:space="preserve">We calculated the marginal effects of pre and post ACA on </w:t>
      </w:r>
      <w:r w:rsidR="00072366">
        <w:rPr>
          <w:sz w:val="24"/>
          <w:szCs w:val="24"/>
        </w:rPr>
        <w:t>small-</w:t>
      </w:r>
      <w:r w:rsidR="00E02F16">
        <w:rPr>
          <w:sz w:val="24"/>
          <w:szCs w:val="24"/>
        </w:rPr>
        <w:t xml:space="preserve">group versus </w:t>
      </w:r>
      <w:r w:rsidR="004A7041">
        <w:rPr>
          <w:sz w:val="24"/>
          <w:szCs w:val="24"/>
        </w:rPr>
        <w:t>large-group</w:t>
      </w:r>
      <w:r w:rsidR="00072366">
        <w:rPr>
          <w:sz w:val="24"/>
          <w:szCs w:val="24"/>
        </w:rPr>
        <w:t xml:space="preserve"> employees</w:t>
      </w:r>
      <w:r w:rsidR="00E02F16">
        <w:rPr>
          <w:sz w:val="24"/>
          <w:szCs w:val="24"/>
        </w:rPr>
        <w:t xml:space="preserve"> and used the Wald test to test the DD effects.</w:t>
      </w:r>
      <w:r w:rsidR="00CF4806">
        <w:rPr>
          <w:sz w:val="24"/>
          <w:szCs w:val="24"/>
        </w:rPr>
        <w:fldChar w:fldCharType="begin"/>
      </w:r>
      <w:r w:rsidR="00010220">
        <w:rPr>
          <w:sz w:val="24"/>
          <w:szCs w:val="24"/>
        </w:rPr>
        <w:instrText>ADDIN F1000_CSL_CITATION&lt;~#@#~&gt;[{"title":"Interaction terms in nonlinear models.","id":"4844918","page":"255-274","type":"article-journal","volume":"47","issue":"1 Pt 1","author":[{"family":"Karaca-Mandic","given":"Pinar"},{"family":"Norton","given":"Edward C"},{"family":"Dowd","given":"Bryan"}],"issued":{"date-parts":[["2012","2"]]},"container-title":"Health Services Research","container-title-short":"Health Serv Res","DOI":"10.1111/j.1475-6773.2011.01314.x","PMID":"22091735","PMCID":"PMC3447245"}]</w:instrText>
      </w:r>
      <w:r w:rsidR="00CF4806">
        <w:rPr>
          <w:sz w:val="24"/>
          <w:szCs w:val="24"/>
        </w:rPr>
        <w:fldChar w:fldCharType="separate"/>
      </w:r>
      <w:r w:rsidR="00010220">
        <w:rPr>
          <w:sz w:val="24"/>
          <w:szCs w:val="24"/>
        </w:rPr>
        <w:t>(6)</w:t>
      </w:r>
      <w:r w:rsidR="00CF4806">
        <w:rPr>
          <w:sz w:val="24"/>
          <w:szCs w:val="24"/>
        </w:rPr>
        <w:fldChar w:fldCharType="end"/>
      </w:r>
    </w:p>
    <w:p w14:paraId="2548C5B4" w14:textId="77777777" w:rsidR="00D14503" w:rsidRDefault="00D14503" w:rsidP="00FB7001">
      <w:pPr>
        <w:spacing w:after="0" w:line="480" w:lineRule="auto"/>
        <w:rPr>
          <w:b/>
          <w:sz w:val="24"/>
        </w:rPr>
      </w:pPr>
      <w:bookmarkStart w:id="2" w:name="_Toc481958249"/>
    </w:p>
    <w:p w14:paraId="6A147D50" w14:textId="7E5607B1" w:rsidR="00C44201" w:rsidRPr="00FB7001" w:rsidRDefault="00C44201" w:rsidP="00FB7001">
      <w:pPr>
        <w:spacing w:after="0" w:line="480" w:lineRule="auto"/>
        <w:rPr>
          <w:b/>
          <w:sz w:val="24"/>
        </w:rPr>
      </w:pPr>
      <w:r w:rsidRPr="00FB7001">
        <w:rPr>
          <w:b/>
          <w:sz w:val="24"/>
        </w:rPr>
        <w:lastRenderedPageBreak/>
        <w:t xml:space="preserve">Study </w:t>
      </w:r>
      <w:r w:rsidR="00EB2548" w:rsidRPr="00FB7001">
        <w:rPr>
          <w:b/>
          <w:sz w:val="24"/>
        </w:rPr>
        <w:t>R</w:t>
      </w:r>
      <w:r w:rsidRPr="00FB7001">
        <w:rPr>
          <w:b/>
          <w:sz w:val="24"/>
        </w:rPr>
        <w:t>esults</w:t>
      </w:r>
      <w:bookmarkEnd w:id="2"/>
    </w:p>
    <w:p w14:paraId="2F185781" w14:textId="5CFAE816" w:rsidR="006B4A90" w:rsidRDefault="004051ED" w:rsidP="006E5E3B">
      <w:pPr>
        <w:spacing w:after="0" w:line="480" w:lineRule="auto"/>
        <w:rPr>
          <w:sz w:val="24"/>
          <w:szCs w:val="24"/>
        </w:rPr>
      </w:pPr>
      <w:r>
        <w:rPr>
          <w:sz w:val="24"/>
          <w:szCs w:val="24"/>
        </w:rPr>
        <w:t>Exhibit 3</w:t>
      </w:r>
      <w:r w:rsidR="006B4A90">
        <w:rPr>
          <w:sz w:val="24"/>
          <w:szCs w:val="24"/>
        </w:rPr>
        <w:t xml:space="preserve"> shows the availability of ESI from curren</w:t>
      </w:r>
      <w:r w:rsidR="006749DD">
        <w:rPr>
          <w:sz w:val="24"/>
          <w:szCs w:val="24"/>
        </w:rPr>
        <w:t>t main job separately for small-</w:t>
      </w:r>
      <w:r w:rsidR="006B4A90">
        <w:rPr>
          <w:sz w:val="24"/>
          <w:szCs w:val="24"/>
        </w:rPr>
        <w:t>group and large</w:t>
      </w:r>
      <w:r w:rsidR="006749DD">
        <w:rPr>
          <w:sz w:val="24"/>
          <w:szCs w:val="24"/>
        </w:rPr>
        <w:t>-</w:t>
      </w:r>
      <w:r w:rsidR="006B4A90">
        <w:rPr>
          <w:sz w:val="24"/>
          <w:szCs w:val="24"/>
        </w:rPr>
        <w:t>group employees. Th</w:t>
      </w:r>
      <w:r w:rsidR="006749DD">
        <w:rPr>
          <w:sz w:val="24"/>
          <w:szCs w:val="24"/>
        </w:rPr>
        <w:t>e availability of ESI for large-</w:t>
      </w:r>
      <w:r w:rsidR="006B4A90">
        <w:rPr>
          <w:sz w:val="24"/>
          <w:szCs w:val="24"/>
        </w:rPr>
        <w:t>group employees was stable</w:t>
      </w:r>
      <w:r w:rsidR="006B7BF5">
        <w:rPr>
          <w:sz w:val="24"/>
          <w:szCs w:val="24"/>
        </w:rPr>
        <w:t xml:space="preserve"> at around 90% from 2007 to 2015</w:t>
      </w:r>
      <w:r w:rsidR="006B4A90">
        <w:rPr>
          <w:sz w:val="24"/>
          <w:szCs w:val="24"/>
        </w:rPr>
        <w:t>. Availabi</w:t>
      </w:r>
      <w:r w:rsidR="00DD22EF">
        <w:rPr>
          <w:sz w:val="24"/>
          <w:szCs w:val="24"/>
        </w:rPr>
        <w:t xml:space="preserve">lity </w:t>
      </w:r>
      <w:r w:rsidR="006749DD">
        <w:rPr>
          <w:sz w:val="24"/>
          <w:szCs w:val="24"/>
        </w:rPr>
        <w:t>for small-</w:t>
      </w:r>
      <w:r w:rsidR="00DD22EF">
        <w:rPr>
          <w:sz w:val="24"/>
          <w:szCs w:val="24"/>
        </w:rPr>
        <w:t>group employees</w:t>
      </w:r>
      <w:r w:rsidR="006B4A90">
        <w:rPr>
          <w:sz w:val="24"/>
          <w:szCs w:val="24"/>
        </w:rPr>
        <w:t xml:space="preserve"> declined slightly </w:t>
      </w:r>
      <w:r w:rsidR="00FA1F74">
        <w:rPr>
          <w:sz w:val="24"/>
          <w:szCs w:val="24"/>
        </w:rPr>
        <w:t xml:space="preserve">from </w:t>
      </w:r>
      <w:r w:rsidR="00682964">
        <w:rPr>
          <w:sz w:val="24"/>
          <w:szCs w:val="24"/>
        </w:rPr>
        <w:t xml:space="preserve">55% in </w:t>
      </w:r>
      <w:r w:rsidR="00FA1F74">
        <w:rPr>
          <w:sz w:val="24"/>
          <w:szCs w:val="24"/>
        </w:rPr>
        <w:t xml:space="preserve">2007 to </w:t>
      </w:r>
      <w:r w:rsidR="00682964">
        <w:rPr>
          <w:sz w:val="24"/>
          <w:szCs w:val="24"/>
        </w:rPr>
        <w:t xml:space="preserve">49% in </w:t>
      </w:r>
      <w:r w:rsidR="00FA1F74">
        <w:rPr>
          <w:sz w:val="24"/>
          <w:szCs w:val="24"/>
        </w:rPr>
        <w:t xml:space="preserve">2013 but </w:t>
      </w:r>
      <w:r w:rsidR="007C423D">
        <w:rPr>
          <w:sz w:val="24"/>
          <w:szCs w:val="24"/>
        </w:rPr>
        <w:t>picked up since 2014</w:t>
      </w:r>
      <w:r w:rsidR="00922352">
        <w:rPr>
          <w:sz w:val="24"/>
          <w:szCs w:val="24"/>
        </w:rPr>
        <w:t xml:space="preserve"> to </w:t>
      </w:r>
      <w:r w:rsidR="00682964">
        <w:rPr>
          <w:sz w:val="24"/>
          <w:szCs w:val="24"/>
        </w:rPr>
        <w:t>around 53%</w:t>
      </w:r>
      <w:r w:rsidR="007C423D">
        <w:rPr>
          <w:sz w:val="24"/>
          <w:szCs w:val="24"/>
        </w:rPr>
        <w:t xml:space="preserve"> in 2015</w:t>
      </w:r>
      <w:r w:rsidR="000C75A3">
        <w:rPr>
          <w:sz w:val="24"/>
          <w:szCs w:val="24"/>
        </w:rPr>
        <w:t>.</w:t>
      </w:r>
    </w:p>
    <w:p w14:paraId="151F6C86" w14:textId="7C957EE1" w:rsidR="006B4A90" w:rsidRPr="00965993" w:rsidRDefault="00BE58E3" w:rsidP="006E5E3B">
      <w:pPr>
        <w:spacing w:after="0" w:line="480" w:lineRule="auto"/>
        <w:ind w:firstLine="720"/>
        <w:rPr>
          <w:sz w:val="24"/>
          <w:szCs w:val="24"/>
        </w:rPr>
      </w:pPr>
      <w:r>
        <w:rPr>
          <w:sz w:val="24"/>
          <w:szCs w:val="24"/>
        </w:rPr>
        <w:t xml:space="preserve">For insurance take-up, </w:t>
      </w:r>
      <w:r w:rsidR="00C80A40">
        <w:rPr>
          <w:sz w:val="24"/>
          <w:szCs w:val="24"/>
        </w:rPr>
        <w:t>E</w:t>
      </w:r>
      <w:r w:rsidR="00B07011">
        <w:rPr>
          <w:sz w:val="24"/>
          <w:szCs w:val="24"/>
        </w:rPr>
        <w:t xml:space="preserve">xhibit </w:t>
      </w:r>
      <w:r w:rsidR="00C7438F">
        <w:rPr>
          <w:sz w:val="24"/>
          <w:szCs w:val="24"/>
        </w:rPr>
        <w:t>1</w:t>
      </w:r>
      <w:r w:rsidR="006B4A90">
        <w:rPr>
          <w:sz w:val="24"/>
          <w:szCs w:val="24"/>
        </w:rPr>
        <w:t xml:space="preserve"> </w:t>
      </w:r>
      <w:r>
        <w:rPr>
          <w:sz w:val="24"/>
          <w:szCs w:val="24"/>
        </w:rPr>
        <w:t>shows</w:t>
      </w:r>
      <w:r w:rsidR="006B4A90">
        <w:rPr>
          <w:sz w:val="24"/>
          <w:szCs w:val="24"/>
        </w:rPr>
        <w:t xml:space="preserve"> the steady decline in employment-related coverage and the rise in private insurance</w:t>
      </w:r>
      <w:r w:rsidR="006B4A90" w:rsidRPr="00553434">
        <w:rPr>
          <w:sz w:val="24"/>
          <w:szCs w:val="24"/>
        </w:rPr>
        <w:t xml:space="preserve"> </w:t>
      </w:r>
      <w:r w:rsidR="006B4A90">
        <w:rPr>
          <w:sz w:val="24"/>
          <w:szCs w:val="24"/>
        </w:rPr>
        <w:t>coverage, public insurance coverage and being uninsured during 2007-2013. These trends occurred for both small</w:t>
      </w:r>
      <w:r w:rsidR="006749DD">
        <w:rPr>
          <w:sz w:val="24"/>
          <w:szCs w:val="24"/>
        </w:rPr>
        <w:t>-</w:t>
      </w:r>
      <w:r w:rsidR="006B4A90">
        <w:rPr>
          <w:sz w:val="24"/>
          <w:szCs w:val="24"/>
        </w:rPr>
        <w:t>group and large</w:t>
      </w:r>
      <w:r w:rsidR="006749DD">
        <w:rPr>
          <w:sz w:val="24"/>
          <w:szCs w:val="24"/>
        </w:rPr>
        <w:t>-</w:t>
      </w:r>
      <w:r w:rsidR="006B4A90">
        <w:rPr>
          <w:sz w:val="24"/>
          <w:szCs w:val="24"/>
        </w:rPr>
        <w:t>group employees, albeit with a bigger magnitude for the small</w:t>
      </w:r>
      <w:r w:rsidR="006749DD">
        <w:rPr>
          <w:sz w:val="24"/>
          <w:szCs w:val="24"/>
        </w:rPr>
        <w:t>-</w:t>
      </w:r>
      <w:r w:rsidR="006B4A90">
        <w:rPr>
          <w:sz w:val="24"/>
          <w:szCs w:val="24"/>
        </w:rPr>
        <w:t xml:space="preserve">group employees. </w:t>
      </w:r>
      <w:r w:rsidR="009463DD">
        <w:rPr>
          <w:sz w:val="24"/>
          <w:szCs w:val="24"/>
        </w:rPr>
        <w:t>From 2013 to 2015</w:t>
      </w:r>
      <w:r w:rsidR="006B4A90">
        <w:rPr>
          <w:sz w:val="24"/>
          <w:szCs w:val="24"/>
        </w:rPr>
        <w:t>, the share of the uninsu</w:t>
      </w:r>
      <w:r w:rsidR="0046466E">
        <w:rPr>
          <w:sz w:val="24"/>
          <w:szCs w:val="24"/>
        </w:rPr>
        <w:t xml:space="preserve">red in small </w:t>
      </w:r>
      <w:r w:rsidR="00AB3E98">
        <w:rPr>
          <w:sz w:val="24"/>
          <w:szCs w:val="24"/>
        </w:rPr>
        <w:t>firms</w:t>
      </w:r>
      <w:r w:rsidR="0046466E">
        <w:rPr>
          <w:sz w:val="24"/>
          <w:szCs w:val="24"/>
        </w:rPr>
        <w:t xml:space="preserve"> declined by 10 percentage points to 21.1</w:t>
      </w:r>
      <w:r w:rsidR="001F33FA">
        <w:rPr>
          <w:sz w:val="24"/>
          <w:szCs w:val="24"/>
        </w:rPr>
        <w:t>%, 6.5</w:t>
      </w:r>
      <w:r w:rsidR="006B4A90">
        <w:rPr>
          <w:sz w:val="24"/>
          <w:szCs w:val="24"/>
        </w:rPr>
        <w:t xml:space="preserve"> percentage points below the uninsured level in 2007. The decline </w:t>
      </w:r>
      <w:r w:rsidR="0065761F">
        <w:rPr>
          <w:sz w:val="24"/>
          <w:szCs w:val="24"/>
        </w:rPr>
        <w:t>corresponded</w:t>
      </w:r>
      <w:r w:rsidR="00F336F5">
        <w:rPr>
          <w:sz w:val="24"/>
          <w:szCs w:val="24"/>
        </w:rPr>
        <w:t xml:space="preserve"> </w:t>
      </w:r>
      <w:r w:rsidR="0065761F">
        <w:rPr>
          <w:sz w:val="24"/>
          <w:szCs w:val="24"/>
        </w:rPr>
        <w:t>with</w:t>
      </w:r>
      <w:r w:rsidR="006B4A90">
        <w:rPr>
          <w:sz w:val="24"/>
          <w:szCs w:val="24"/>
        </w:rPr>
        <w:t xml:space="preserve"> a </w:t>
      </w:r>
      <w:r w:rsidR="00F336F5">
        <w:rPr>
          <w:sz w:val="24"/>
          <w:szCs w:val="24"/>
        </w:rPr>
        <w:t>4.3 percentage point rise in other private insurance, 4</w:t>
      </w:r>
      <w:r w:rsidR="006B4A90">
        <w:rPr>
          <w:sz w:val="24"/>
          <w:szCs w:val="24"/>
        </w:rPr>
        <w:t>.</w:t>
      </w:r>
      <w:r w:rsidR="00F336F5">
        <w:rPr>
          <w:sz w:val="24"/>
          <w:szCs w:val="24"/>
        </w:rPr>
        <w:t>2</w:t>
      </w:r>
      <w:r w:rsidR="006B4A90">
        <w:rPr>
          <w:sz w:val="24"/>
          <w:szCs w:val="24"/>
        </w:rPr>
        <w:t xml:space="preserve"> percentage point rise in public insurance, and </w:t>
      </w:r>
      <w:r w:rsidR="00F336F5">
        <w:rPr>
          <w:sz w:val="24"/>
          <w:szCs w:val="24"/>
        </w:rPr>
        <w:t>1</w:t>
      </w:r>
      <w:r w:rsidR="006B4A90">
        <w:rPr>
          <w:sz w:val="24"/>
          <w:szCs w:val="24"/>
        </w:rPr>
        <w:t>.</w:t>
      </w:r>
      <w:r w:rsidR="00F336F5">
        <w:rPr>
          <w:sz w:val="24"/>
          <w:szCs w:val="24"/>
        </w:rPr>
        <w:t>6</w:t>
      </w:r>
      <w:r w:rsidR="006B4A90">
        <w:rPr>
          <w:sz w:val="24"/>
          <w:szCs w:val="24"/>
        </w:rPr>
        <w:t xml:space="preserve"> percentage point ris</w:t>
      </w:r>
      <w:r w:rsidR="001A2A48">
        <w:rPr>
          <w:sz w:val="24"/>
          <w:szCs w:val="24"/>
        </w:rPr>
        <w:t>e in employment/union insurance</w:t>
      </w:r>
      <w:r w:rsidR="00C7438F">
        <w:rPr>
          <w:sz w:val="24"/>
          <w:szCs w:val="24"/>
        </w:rPr>
        <w:t>.</w:t>
      </w:r>
    </w:p>
    <w:p w14:paraId="2CD39F05" w14:textId="0E318570" w:rsidR="006B4A90" w:rsidRDefault="006B4A90" w:rsidP="006E5E3B">
      <w:pPr>
        <w:spacing w:after="0" w:line="480" w:lineRule="auto"/>
        <w:ind w:firstLine="720"/>
        <w:rPr>
          <w:sz w:val="24"/>
          <w:szCs w:val="24"/>
        </w:rPr>
      </w:pPr>
      <w:r>
        <w:rPr>
          <w:sz w:val="24"/>
          <w:szCs w:val="24"/>
        </w:rPr>
        <w:t xml:space="preserve">Exhibit </w:t>
      </w:r>
      <w:r w:rsidR="00C7438F">
        <w:rPr>
          <w:sz w:val="24"/>
          <w:szCs w:val="24"/>
        </w:rPr>
        <w:t>4</w:t>
      </w:r>
      <w:r>
        <w:rPr>
          <w:sz w:val="24"/>
          <w:szCs w:val="24"/>
        </w:rPr>
        <w:t xml:space="preserve"> shows the proportion</w:t>
      </w:r>
      <w:r w:rsidR="00216EA4">
        <w:rPr>
          <w:sz w:val="24"/>
          <w:szCs w:val="24"/>
        </w:rPr>
        <w:t>s</w:t>
      </w:r>
      <w:r>
        <w:rPr>
          <w:sz w:val="24"/>
          <w:szCs w:val="24"/>
        </w:rPr>
        <w:t xml:space="preserve"> of </w:t>
      </w:r>
      <w:r w:rsidR="00072366">
        <w:rPr>
          <w:sz w:val="24"/>
          <w:szCs w:val="24"/>
        </w:rPr>
        <w:t>small-group</w:t>
      </w:r>
      <w:r>
        <w:rPr>
          <w:sz w:val="24"/>
          <w:szCs w:val="24"/>
        </w:rPr>
        <w:t xml:space="preserve"> and </w:t>
      </w:r>
      <w:r w:rsidR="004A7041">
        <w:rPr>
          <w:sz w:val="24"/>
          <w:szCs w:val="24"/>
        </w:rPr>
        <w:t>large-group</w:t>
      </w:r>
      <w:r>
        <w:rPr>
          <w:sz w:val="24"/>
          <w:szCs w:val="24"/>
        </w:rPr>
        <w:t xml:space="preserve"> employees who </w:t>
      </w:r>
      <w:r w:rsidR="00C80A40">
        <w:rPr>
          <w:sz w:val="24"/>
          <w:szCs w:val="24"/>
        </w:rPr>
        <w:t xml:space="preserve">self-reported that they </w:t>
      </w:r>
      <w:r>
        <w:rPr>
          <w:sz w:val="24"/>
          <w:szCs w:val="24"/>
        </w:rPr>
        <w:t>were unable to access to care, who delayed</w:t>
      </w:r>
      <w:r w:rsidR="009163CF">
        <w:rPr>
          <w:sz w:val="24"/>
          <w:szCs w:val="24"/>
        </w:rPr>
        <w:t xml:space="preserve"> getting care and</w:t>
      </w:r>
      <w:r>
        <w:rPr>
          <w:sz w:val="24"/>
          <w:szCs w:val="24"/>
        </w:rPr>
        <w:t xml:space="preserve"> who had medical financial burden. There was no discernable trend for the access to care and financial burden variables among </w:t>
      </w:r>
      <w:r w:rsidR="004A7041">
        <w:rPr>
          <w:sz w:val="24"/>
          <w:szCs w:val="24"/>
        </w:rPr>
        <w:t>large-group</w:t>
      </w:r>
      <w:r>
        <w:rPr>
          <w:sz w:val="24"/>
          <w:szCs w:val="24"/>
        </w:rPr>
        <w:t xml:space="preserve"> employees, and the pr</w:t>
      </w:r>
      <w:r w:rsidR="00BE39F2">
        <w:rPr>
          <w:sz w:val="24"/>
          <w:szCs w:val="24"/>
        </w:rPr>
        <w:t>oportion</w:t>
      </w:r>
      <w:r w:rsidR="002D125B">
        <w:rPr>
          <w:sz w:val="24"/>
          <w:szCs w:val="24"/>
        </w:rPr>
        <w:t>s</w:t>
      </w:r>
      <w:r w:rsidR="00416277">
        <w:rPr>
          <w:sz w:val="24"/>
          <w:szCs w:val="24"/>
        </w:rPr>
        <w:t xml:space="preserve"> reporting problems w</w:t>
      </w:r>
      <w:r w:rsidR="002D125B">
        <w:rPr>
          <w:sz w:val="24"/>
          <w:szCs w:val="24"/>
        </w:rPr>
        <w:t>ere</w:t>
      </w:r>
      <w:r>
        <w:rPr>
          <w:sz w:val="24"/>
          <w:szCs w:val="24"/>
        </w:rPr>
        <w:t xml:space="preserve"> small (under 5%). The small proportion</w:t>
      </w:r>
      <w:r w:rsidR="00B5798A">
        <w:rPr>
          <w:sz w:val="24"/>
          <w:szCs w:val="24"/>
        </w:rPr>
        <w:t>s</w:t>
      </w:r>
      <w:r>
        <w:rPr>
          <w:sz w:val="24"/>
          <w:szCs w:val="24"/>
        </w:rPr>
        <w:t xml:space="preserve"> reporting problems and low absolute number of sample responden</w:t>
      </w:r>
      <w:r w:rsidR="00E57191">
        <w:rPr>
          <w:sz w:val="24"/>
          <w:szCs w:val="24"/>
        </w:rPr>
        <w:t xml:space="preserve">ts reporting problems </w:t>
      </w:r>
      <w:r>
        <w:rPr>
          <w:sz w:val="24"/>
          <w:szCs w:val="24"/>
        </w:rPr>
        <w:t>ma</w:t>
      </w:r>
      <w:r w:rsidR="00C80A40">
        <w:rPr>
          <w:sz w:val="24"/>
          <w:szCs w:val="24"/>
        </w:rPr>
        <w:t>d</w:t>
      </w:r>
      <w:r>
        <w:rPr>
          <w:sz w:val="24"/>
          <w:szCs w:val="24"/>
        </w:rPr>
        <w:t xml:space="preserve">e these estimates imprecise and subject to fluctuation. Among </w:t>
      </w:r>
      <w:r w:rsidR="00072366">
        <w:rPr>
          <w:sz w:val="24"/>
          <w:szCs w:val="24"/>
        </w:rPr>
        <w:t>small-group</w:t>
      </w:r>
      <w:r>
        <w:rPr>
          <w:sz w:val="24"/>
          <w:szCs w:val="24"/>
        </w:rPr>
        <w:t xml:space="preserve"> employees, these two measures seemed to be on a downward trend. The proportion of people who delayed care also declined from 2008 to 2013. </w:t>
      </w:r>
      <w:r w:rsidR="00ED5CAC">
        <w:rPr>
          <w:sz w:val="24"/>
          <w:szCs w:val="24"/>
        </w:rPr>
        <w:t>Since then</w:t>
      </w:r>
      <w:r>
        <w:rPr>
          <w:sz w:val="24"/>
          <w:szCs w:val="24"/>
        </w:rPr>
        <w:t xml:space="preserve">, however, the proportion reporting a delay </w:t>
      </w:r>
      <w:r w:rsidR="00BB6631">
        <w:rPr>
          <w:sz w:val="24"/>
          <w:szCs w:val="24"/>
        </w:rPr>
        <w:t>climbed back to close to 3.3</w:t>
      </w:r>
      <w:r>
        <w:rPr>
          <w:sz w:val="24"/>
          <w:szCs w:val="24"/>
        </w:rPr>
        <w:t>% and 3</w:t>
      </w:r>
      <w:r w:rsidR="00BB6631">
        <w:rPr>
          <w:sz w:val="24"/>
          <w:szCs w:val="24"/>
        </w:rPr>
        <w:t>.4</w:t>
      </w:r>
      <w:r>
        <w:rPr>
          <w:sz w:val="24"/>
          <w:szCs w:val="24"/>
        </w:rPr>
        <w:t xml:space="preserve">%, wiping out </w:t>
      </w:r>
      <w:r>
        <w:rPr>
          <w:sz w:val="24"/>
          <w:szCs w:val="24"/>
        </w:rPr>
        <w:lastRenderedPageBreak/>
        <w:t xml:space="preserve">most of the drop among </w:t>
      </w:r>
      <w:r w:rsidR="00072366">
        <w:rPr>
          <w:sz w:val="24"/>
          <w:szCs w:val="24"/>
        </w:rPr>
        <w:t>small-group</w:t>
      </w:r>
      <w:r>
        <w:rPr>
          <w:sz w:val="24"/>
          <w:szCs w:val="24"/>
        </w:rPr>
        <w:t xml:space="preserve"> employees and less than half among </w:t>
      </w:r>
      <w:r w:rsidR="004A7041">
        <w:rPr>
          <w:sz w:val="24"/>
          <w:szCs w:val="24"/>
        </w:rPr>
        <w:t>large-group</w:t>
      </w:r>
      <w:r>
        <w:rPr>
          <w:sz w:val="24"/>
          <w:szCs w:val="24"/>
        </w:rPr>
        <w:t xml:space="preserve"> employees. </w:t>
      </w:r>
    </w:p>
    <w:p w14:paraId="2BE1AAC7" w14:textId="55EA1126" w:rsidR="000C75A3" w:rsidRDefault="000C75A3" w:rsidP="00C7438F">
      <w:pPr>
        <w:spacing w:after="0" w:line="480" w:lineRule="auto"/>
        <w:ind w:firstLine="720"/>
        <w:rPr>
          <w:sz w:val="24"/>
          <w:szCs w:val="24"/>
        </w:rPr>
      </w:pPr>
      <w:r>
        <w:rPr>
          <w:sz w:val="24"/>
          <w:szCs w:val="24"/>
        </w:rPr>
        <w:t>An appendix (</w:t>
      </w:r>
      <w:r w:rsidR="00FA4D16">
        <w:rPr>
          <w:sz w:val="24"/>
          <w:szCs w:val="24"/>
        </w:rPr>
        <w:t xml:space="preserve">Exhibit </w:t>
      </w:r>
      <w:r>
        <w:rPr>
          <w:sz w:val="24"/>
          <w:szCs w:val="24"/>
        </w:rPr>
        <w:t xml:space="preserve">1A) </w:t>
      </w:r>
      <w:r w:rsidR="006B4A90">
        <w:rPr>
          <w:sz w:val="24"/>
          <w:szCs w:val="24"/>
        </w:rPr>
        <w:t xml:space="preserve">presents results from </w:t>
      </w:r>
      <w:r w:rsidR="00A8162B">
        <w:rPr>
          <w:sz w:val="24"/>
          <w:szCs w:val="24"/>
        </w:rPr>
        <w:t xml:space="preserve">the </w:t>
      </w:r>
      <w:r w:rsidR="006B4A90">
        <w:rPr>
          <w:sz w:val="24"/>
          <w:szCs w:val="24"/>
        </w:rPr>
        <w:t>logistic multivariate models of the rel</w:t>
      </w:r>
      <w:r w:rsidR="00A8162B">
        <w:rPr>
          <w:sz w:val="24"/>
          <w:szCs w:val="24"/>
        </w:rPr>
        <w:t xml:space="preserve">ationship of </w:t>
      </w:r>
      <w:r w:rsidR="00072366">
        <w:rPr>
          <w:sz w:val="24"/>
          <w:szCs w:val="24"/>
        </w:rPr>
        <w:t>small-group</w:t>
      </w:r>
      <w:r w:rsidR="00A8162B">
        <w:rPr>
          <w:sz w:val="24"/>
          <w:szCs w:val="24"/>
        </w:rPr>
        <w:t xml:space="preserve"> status</w:t>
      </w:r>
      <w:r w:rsidR="006B4A90">
        <w:rPr>
          <w:sz w:val="24"/>
          <w:szCs w:val="24"/>
        </w:rPr>
        <w:t xml:space="preserve"> </w:t>
      </w:r>
      <w:r w:rsidR="00A8162B">
        <w:rPr>
          <w:sz w:val="24"/>
          <w:szCs w:val="24"/>
        </w:rPr>
        <w:t>post ACA for</w:t>
      </w:r>
      <w:r w:rsidR="006B4A90">
        <w:rPr>
          <w:sz w:val="24"/>
          <w:szCs w:val="24"/>
        </w:rPr>
        <w:t xml:space="preserve"> each ou</w:t>
      </w:r>
      <w:r w:rsidR="00205C72">
        <w:rPr>
          <w:sz w:val="24"/>
          <w:szCs w:val="24"/>
        </w:rPr>
        <w:t>tcome variable</w:t>
      </w:r>
      <w:r w:rsidR="006B4A90">
        <w:rPr>
          <w:sz w:val="24"/>
          <w:szCs w:val="24"/>
        </w:rPr>
        <w:t>.</w:t>
      </w:r>
      <w:r>
        <w:rPr>
          <w:sz w:val="24"/>
          <w:szCs w:val="24"/>
        </w:rPr>
        <w:t xml:space="preserve"> </w:t>
      </w:r>
      <w:r w:rsidR="00F8305D">
        <w:rPr>
          <w:sz w:val="24"/>
          <w:szCs w:val="24"/>
        </w:rPr>
        <w:t xml:space="preserve">Exhibit 5 shows </w:t>
      </w:r>
      <w:r>
        <w:rPr>
          <w:sz w:val="24"/>
          <w:szCs w:val="24"/>
        </w:rPr>
        <w:t xml:space="preserve">the marginal effects of pre and post ACA on </w:t>
      </w:r>
      <w:r w:rsidR="00072366">
        <w:rPr>
          <w:sz w:val="24"/>
          <w:szCs w:val="24"/>
        </w:rPr>
        <w:t>small-group</w:t>
      </w:r>
      <w:r>
        <w:rPr>
          <w:sz w:val="24"/>
          <w:szCs w:val="24"/>
        </w:rPr>
        <w:t xml:space="preserve"> versus </w:t>
      </w:r>
      <w:r w:rsidR="004A7041">
        <w:rPr>
          <w:sz w:val="24"/>
          <w:szCs w:val="24"/>
        </w:rPr>
        <w:t>large-group</w:t>
      </w:r>
      <w:r w:rsidR="00072366">
        <w:rPr>
          <w:sz w:val="24"/>
          <w:szCs w:val="24"/>
        </w:rPr>
        <w:t xml:space="preserve"> emp</w:t>
      </w:r>
      <w:r w:rsidR="00C80A40">
        <w:rPr>
          <w:sz w:val="24"/>
          <w:szCs w:val="24"/>
        </w:rPr>
        <w:t>l</w:t>
      </w:r>
      <w:r w:rsidR="00072366">
        <w:rPr>
          <w:sz w:val="24"/>
          <w:szCs w:val="24"/>
        </w:rPr>
        <w:t>oyees</w:t>
      </w:r>
      <w:r w:rsidR="00F8305D">
        <w:rPr>
          <w:sz w:val="24"/>
          <w:szCs w:val="24"/>
        </w:rPr>
        <w:t xml:space="preserve">; the last row of this exhibit </w:t>
      </w:r>
      <w:r w:rsidR="00C80A40">
        <w:rPr>
          <w:sz w:val="24"/>
          <w:szCs w:val="24"/>
        </w:rPr>
        <w:t>presents a</w:t>
      </w:r>
      <w:r>
        <w:rPr>
          <w:sz w:val="24"/>
          <w:szCs w:val="24"/>
        </w:rPr>
        <w:t xml:space="preserve"> Wald test </w:t>
      </w:r>
      <w:r w:rsidR="00F8305D">
        <w:rPr>
          <w:sz w:val="24"/>
          <w:szCs w:val="24"/>
        </w:rPr>
        <w:t>assess</w:t>
      </w:r>
      <w:r w:rsidR="00C80A40">
        <w:rPr>
          <w:sz w:val="24"/>
          <w:szCs w:val="24"/>
        </w:rPr>
        <w:t>ing the</w:t>
      </w:r>
      <w:r w:rsidR="00F8305D">
        <w:rPr>
          <w:sz w:val="24"/>
          <w:szCs w:val="24"/>
        </w:rPr>
        <w:t xml:space="preserve"> significance of</w:t>
      </w:r>
      <w:r>
        <w:rPr>
          <w:sz w:val="24"/>
          <w:szCs w:val="24"/>
        </w:rPr>
        <w:t xml:space="preserve"> the DD effects.</w:t>
      </w:r>
      <w:r w:rsidR="00340E90">
        <w:rPr>
          <w:sz w:val="24"/>
          <w:szCs w:val="24"/>
        </w:rPr>
        <w:t xml:space="preserve"> </w:t>
      </w:r>
      <w:r w:rsidR="00C7438F">
        <w:rPr>
          <w:sz w:val="24"/>
          <w:szCs w:val="24"/>
        </w:rPr>
        <w:t xml:space="preserve"> </w:t>
      </w:r>
      <w:r w:rsidR="00181DB8">
        <w:rPr>
          <w:sz w:val="24"/>
          <w:szCs w:val="24"/>
        </w:rPr>
        <w:t xml:space="preserve">The DD effect of ESI availability was not statistically significant. </w:t>
      </w:r>
      <w:r w:rsidR="00CF4806">
        <w:rPr>
          <w:sz w:val="24"/>
          <w:szCs w:val="24"/>
        </w:rPr>
        <w:t>T</w:t>
      </w:r>
      <w:r>
        <w:rPr>
          <w:sz w:val="24"/>
          <w:szCs w:val="24"/>
        </w:rPr>
        <w:t xml:space="preserve">he post ACA period was associated with decreases in the ESI rate and uninsured rate in both </w:t>
      </w:r>
      <w:r w:rsidR="004A7041">
        <w:rPr>
          <w:sz w:val="24"/>
          <w:szCs w:val="24"/>
        </w:rPr>
        <w:t>large-group</w:t>
      </w:r>
      <w:r>
        <w:rPr>
          <w:sz w:val="24"/>
          <w:szCs w:val="24"/>
        </w:rPr>
        <w:t xml:space="preserve"> and </w:t>
      </w:r>
      <w:r w:rsidR="00072366">
        <w:rPr>
          <w:sz w:val="24"/>
          <w:szCs w:val="24"/>
        </w:rPr>
        <w:t>small-group</w:t>
      </w:r>
      <w:r>
        <w:rPr>
          <w:sz w:val="24"/>
          <w:szCs w:val="24"/>
        </w:rPr>
        <w:t xml:space="preserve"> employees, holding other variables in the model constant. Small group estimates showed a reduction of .75 percentage point (p&lt;0.05) and .67 percentage point (p&lt;0.05) in the inability to access medical care and financial burden post ACA. However,</w:t>
      </w:r>
      <w:r w:rsidR="00FF03E8">
        <w:rPr>
          <w:sz w:val="24"/>
          <w:szCs w:val="24"/>
        </w:rPr>
        <w:t xml:space="preserve"> </w:t>
      </w:r>
      <w:r w:rsidR="00C80A40">
        <w:rPr>
          <w:sz w:val="24"/>
          <w:szCs w:val="24"/>
        </w:rPr>
        <w:t>the only DD effect that was statistically significant was the 3 percentage point reduction in the uninsured rate (p&lt;0.001); o</w:t>
      </w:r>
      <w:r w:rsidR="00FF03E8">
        <w:rPr>
          <w:sz w:val="24"/>
          <w:szCs w:val="24"/>
        </w:rPr>
        <w:t>the</w:t>
      </w:r>
      <w:r w:rsidR="00C80A40">
        <w:rPr>
          <w:sz w:val="24"/>
          <w:szCs w:val="24"/>
        </w:rPr>
        <w:t>r</w:t>
      </w:r>
      <w:r w:rsidR="00FF03E8">
        <w:rPr>
          <w:sz w:val="24"/>
          <w:szCs w:val="24"/>
        </w:rPr>
        <w:t xml:space="preserve"> DD effects comparing small-group to large-</w:t>
      </w:r>
      <w:r>
        <w:rPr>
          <w:sz w:val="24"/>
          <w:szCs w:val="24"/>
        </w:rPr>
        <w:t xml:space="preserve">group differences were not statistically significant.  </w:t>
      </w:r>
    </w:p>
    <w:p w14:paraId="23FDE3A7" w14:textId="77777777" w:rsidR="00F87ECF" w:rsidRDefault="00F87ECF" w:rsidP="00C7438F">
      <w:pPr>
        <w:spacing w:after="0" w:line="480" w:lineRule="auto"/>
        <w:ind w:firstLine="720"/>
        <w:rPr>
          <w:sz w:val="24"/>
          <w:szCs w:val="24"/>
        </w:rPr>
      </w:pPr>
    </w:p>
    <w:p w14:paraId="3CEE5DAC" w14:textId="77777777" w:rsidR="000F7365" w:rsidRPr="009D2D41" w:rsidRDefault="000F7365" w:rsidP="009D2D41">
      <w:pPr>
        <w:spacing w:after="0" w:line="480" w:lineRule="auto"/>
        <w:rPr>
          <w:b/>
          <w:sz w:val="24"/>
        </w:rPr>
      </w:pPr>
      <w:bookmarkStart w:id="3" w:name="_Toc481958250"/>
      <w:r w:rsidRPr="009D2D41">
        <w:rPr>
          <w:b/>
          <w:sz w:val="24"/>
        </w:rPr>
        <w:t>Discussion</w:t>
      </w:r>
      <w:bookmarkEnd w:id="3"/>
    </w:p>
    <w:p w14:paraId="29117C08" w14:textId="4AD27661" w:rsidR="006B4A90" w:rsidRDefault="006B4A90" w:rsidP="00AF598C">
      <w:pPr>
        <w:spacing w:after="0" w:line="480" w:lineRule="auto"/>
        <w:rPr>
          <w:sz w:val="24"/>
          <w:szCs w:val="24"/>
        </w:rPr>
      </w:pPr>
      <w:r>
        <w:rPr>
          <w:sz w:val="24"/>
          <w:szCs w:val="24"/>
        </w:rPr>
        <w:t xml:space="preserve">Despite concerns about employers dropping coverage, we did not find evidence strongly indicating that the ACA had an impact on ESI availability </w:t>
      </w:r>
      <w:r w:rsidR="00A33DCB">
        <w:rPr>
          <w:sz w:val="24"/>
          <w:szCs w:val="24"/>
        </w:rPr>
        <w:t>two</w:t>
      </w:r>
      <w:r>
        <w:rPr>
          <w:sz w:val="24"/>
          <w:szCs w:val="24"/>
        </w:rPr>
        <w:t xml:space="preserve"> year</w:t>
      </w:r>
      <w:r w:rsidR="00A33DCB">
        <w:rPr>
          <w:sz w:val="24"/>
          <w:szCs w:val="24"/>
        </w:rPr>
        <w:t>s</w:t>
      </w:r>
      <w:r>
        <w:rPr>
          <w:sz w:val="24"/>
          <w:szCs w:val="24"/>
        </w:rPr>
        <w:t xml:space="preserve"> post-ACA, which is consistent with other recent research.</w:t>
      </w:r>
      <w:r>
        <w:rPr>
          <w:sz w:val="24"/>
          <w:szCs w:val="24"/>
        </w:rPr>
        <w:fldChar w:fldCharType="begin"/>
      </w:r>
      <w:r w:rsidR="00010220">
        <w:rPr>
          <w:sz w:val="24"/>
          <w:szCs w:val="24"/>
        </w:rPr>
        <w:instrText>ADDIN F1000_CSL_CITATION&lt;~#@#~&gt;[{"title":"Employer-Sponsored Insurance Offers: Largely Stable In 2014 Following ACA Implementation.","id":"3447068","page":"2133-2137","type":"article-journal","volume":"35","issue":"11","author":[{"family":"Abraham","given":"Jean"},{"family":"Royalty","given":"Anne B"},{"family":"Drake","given":"Coleman"}],"issued":{"date-parts":[["2016","11","1"]]},"container-title":"Health Affairs (Project Hope)","container-title-short":"Health Aff (Millwood)","DOI":"10.1377/hlthaff.2016.0631","PMID":"27784722"}]</w:instrText>
      </w:r>
      <w:r>
        <w:rPr>
          <w:sz w:val="24"/>
          <w:szCs w:val="24"/>
        </w:rPr>
        <w:fldChar w:fldCharType="separate"/>
      </w:r>
      <w:r w:rsidR="00010220">
        <w:rPr>
          <w:sz w:val="24"/>
          <w:szCs w:val="24"/>
        </w:rPr>
        <w:t>(7)</w:t>
      </w:r>
      <w:r>
        <w:rPr>
          <w:sz w:val="24"/>
          <w:szCs w:val="24"/>
        </w:rPr>
        <w:fldChar w:fldCharType="end"/>
      </w:r>
      <w:r>
        <w:rPr>
          <w:sz w:val="24"/>
          <w:szCs w:val="24"/>
        </w:rPr>
        <w:t xml:space="preserve"> </w:t>
      </w:r>
      <w:r w:rsidR="008F1E48">
        <w:rPr>
          <w:sz w:val="24"/>
          <w:szCs w:val="24"/>
        </w:rPr>
        <w:t xml:space="preserve">Other factors such as the economy and job market may continue to </w:t>
      </w:r>
      <w:r w:rsidR="0006322D">
        <w:rPr>
          <w:sz w:val="24"/>
          <w:szCs w:val="24"/>
        </w:rPr>
        <w:t>have</w:t>
      </w:r>
      <w:r w:rsidR="008F1E48">
        <w:rPr>
          <w:sz w:val="24"/>
          <w:szCs w:val="24"/>
        </w:rPr>
        <w:t xml:space="preserve"> </w:t>
      </w:r>
      <w:r w:rsidR="004B45E9">
        <w:rPr>
          <w:sz w:val="24"/>
          <w:szCs w:val="24"/>
        </w:rPr>
        <w:t>large</w:t>
      </w:r>
      <w:r w:rsidR="0006322D">
        <w:rPr>
          <w:sz w:val="24"/>
          <w:szCs w:val="24"/>
        </w:rPr>
        <w:t>r</w:t>
      </w:r>
      <w:r w:rsidR="00797059">
        <w:rPr>
          <w:sz w:val="24"/>
          <w:szCs w:val="24"/>
        </w:rPr>
        <w:t xml:space="preserve"> </w:t>
      </w:r>
      <w:r w:rsidR="0006322D">
        <w:rPr>
          <w:sz w:val="24"/>
          <w:szCs w:val="24"/>
        </w:rPr>
        <w:t>impact</w:t>
      </w:r>
      <w:r w:rsidR="00797059">
        <w:rPr>
          <w:sz w:val="24"/>
          <w:szCs w:val="24"/>
        </w:rPr>
        <w:t xml:space="preserve"> on whether</w:t>
      </w:r>
      <w:r w:rsidR="00A86B1B">
        <w:rPr>
          <w:sz w:val="24"/>
          <w:szCs w:val="24"/>
        </w:rPr>
        <w:t xml:space="preserve"> small firms </w:t>
      </w:r>
      <w:r w:rsidR="00F65BA2">
        <w:rPr>
          <w:sz w:val="24"/>
          <w:szCs w:val="24"/>
        </w:rPr>
        <w:t>offers health insurance or not.</w:t>
      </w:r>
      <w:r w:rsidR="004874E7">
        <w:rPr>
          <w:sz w:val="24"/>
          <w:szCs w:val="24"/>
        </w:rPr>
        <w:t xml:space="preserve"> On the other hand, </w:t>
      </w:r>
      <w:r>
        <w:rPr>
          <w:sz w:val="24"/>
          <w:szCs w:val="24"/>
        </w:rPr>
        <w:t>the ESI rate has been on the decline sinc</w:t>
      </w:r>
      <w:r w:rsidR="00A01589">
        <w:rPr>
          <w:sz w:val="24"/>
          <w:szCs w:val="24"/>
        </w:rPr>
        <w:t>e 2007 in our study population</w:t>
      </w:r>
      <w:r w:rsidR="00AF598C">
        <w:rPr>
          <w:sz w:val="24"/>
          <w:szCs w:val="24"/>
        </w:rPr>
        <w:t>, bottoming out in 2013 (Exhibit 1)</w:t>
      </w:r>
      <w:r w:rsidR="0034275B">
        <w:rPr>
          <w:sz w:val="24"/>
          <w:szCs w:val="24"/>
        </w:rPr>
        <w:t>.</w:t>
      </w:r>
      <w:r w:rsidR="00BE46C3">
        <w:rPr>
          <w:sz w:val="24"/>
          <w:szCs w:val="24"/>
        </w:rPr>
        <w:t xml:space="preserve"> </w:t>
      </w:r>
      <w:r w:rsidR="00AF598C">
        <w:rPr>
          <w:sz w:val="24"/>
          <w:szCs w:val="24"/>
        </w:rPr>
        <w:t>Taken together, these two trends mean</w:t>
      </w:r>
      <w:r w:rsidR="00181DB8">
        <w:rPr>
          <w:sz w:val="24"/>
          <w:szCs w:val="24"/>
        </w:rPr>
        <w:t xml:space="preserve"> </w:t>
      </w:r>
      <w:r w:rsidR="00364B1A">
        <w:rPr>
          <w:sz w:val="24"/>
          <w:szCs w:val="24"/>
        </w:rPr>
        <w:t xml:space="preserve">that </w:t>
      </w:r>
      <w:r w:rsidR="00181DB8">
        <w:rPr>
          <w:sz w:val="24"/>
          <w:szCs w:val="24"/>
        </w:rPr>
        <w:t>s</w:t>
      </w:r>
      <w:r w:rsidR="00334C42">
        <w:rPr>
          <w:sz w:val="24"/>
          <w:szCs w:val="24"/>
        </w:rPr>
        <w:t>ince 2007, e</w:t>
      </w:r>
      <w:r>
        <w:rPr>
          <w:sz w:val="24"/>
          <w:szCs w:val="24"/>
        </w:rPr>
        <w:t xml:space="preserve">mployees </w:t>
      </w:r>
      <w:r w:rsidR="00BF3352">
        <w:rPr>
          <w:sz w:val="24"/>
          <w:szCs w:val="24"/>
        </w:rPr>
        <w:t>continued to receive</w:t>
      </w:r>
      <w:r>
        <w:rPr>
          <w:sz w:val="24"/>
          <w:szCs w:val="24"/>
        </w:rPr>
        <w:t xml:space="preserve"> ESI offers from their employers but increasingly decided not to </w:t>
      </w:r>
      <w:r>
        <w:rPr>
          <w:sz w:val="24"/>
          <w:szCs w:val="24"/>
        </w:rPr>
        <w:lastRenderedPageBreak/>
        <w:t>take it. The result was a rise in uninsured r</w:t>
      </w:r>
      <w:r w:rsidR="00181DB8">
        <w:rPr>
          <w:sz w:val="24"/>
          <w:szCs w:val="24"/>
        </w:rPr>
        <w:t>ate from 2007 to 2013 (Exhibit 1</w:t>
      </w:r>
      <w:r>
        <w:rPr>
          <w:sz w:val="24"/>
          <w:szCs w:val="24"/>
        </w:rPr>
        <w:t>). Such a trend of declining take-up rates and rising uninsured rates has been documented as early as the 1990s</w:t>
      </w:r>
      <w:r w:rsidR="0006322D">
        <w:rPr>
          <w:sz w:val="24"/>
          <w:szCs w:val="24"/>
        </w:rPr>
        <w:t>;</w:t>
      </w:r>
      <w:r>
        <w:rPr>
          <w:sz w:val="24"/>
          <w:szCs w:val="24"/>
        </w:rPr>
        <w:fldChar w:fldCharType="begin"/>
      </w:r>
      <w:r w:rsidR="00010220">
        <w:rPr>
          <w:sz w:val="24"/>
          <w:szCs w:val="24"/>
        </w:rPr>
        <w:instrText>ADDIN F1000_CSL_CITATION&lt;~#@#~&gt;[{"title":"More offers, fewer takers for employment-based health insurance: 1987 and 1996.","id":"2302470","page":"142-149","type":"article-journal","volume":"16","issue":"6","author":[{"family":"Cooper","given":"P F"},{"family":"Schone","given":"B S"}],"issued":{"date-parts":[["1997","12"]]},"container-title":"Health Affairs (Project Hope)","container-title-short":"Health Aff (Millwood)","PMID":"9444821"}]</w:instrText>
      </w:r>
      <w:r>
        <w:rPr>
          <w:sz w:val="24"/>
          <w:szCs w:val="24"/>
        </w:rPr>
        <w:fldChar w:fldCharType="separate"/>
      </w:r>
      <w:r w:rsidR="00010220">
        <w:rPr>
          <w:sz w:val="24"/>
          <w:szCs w:val="24"/>
        </w:rPr>
        <w:t>(8)</w:t>
      </w:r>
      <w:r>
        <w:rPr>
          <w:sz w:val="24"/>
          <w:szCs w:val="24"/>
        </w:rPr>
        <w:fldChar w:fldCharType="end"/>
      </w:r>
      <w:r>
        <w:rPr>
          <w:sz w:val="24"/>
          <w:szCs w:val="24"/>
        </w:rPr>
        <w:t xml:space="preserve"> factors </w:t>
      </w:r>
      <w:r w:rsidR="0006322D">
        <w:rPr>
          <w:sz w:val="24"/>
          <w:szCs w:val="24"/>
        </w:rPr>
        <w:t>identified as</w:t>
      </w:r>
      <w:r>
        <w:rPr>
          <w:sz w:val="24"/>
          <w:szCs w:val="24"/>
        </w:rPr>
        <w:t xml:space="preserve"> contribut</w:t>
      </w:r>
      <w:r w:rsidR="0006322D">
        <w:rPr>
          <w:sz w:val="24"/>
          <w:szCs w:val="24"/>
        </w:rPr>
        <w:t>ing</w:t>
      </w:r>
      <w:r>
        <w:rPr>
          <w:sz w:val="24"/>
          <w:szCs w:val="24"/>
        </w:rPr>
        <w:t xml:space="preserve"> to the trend </w:t>
      </w:r>
      <w:r w:rsidR="00D42F60">
        <w:rPr>
          <w:sz w:val="24"/>
          <w:szCs w:val="24"/>
        </w:rPr>
        <w:t>such as</w:t>
      </w:r>
      <w:r>
        <w:rPr>
          <w:sz w:val="24"/>
          <w:szCs w:val="24"/>
        </w:rPr>
        <w:t xml:space="preserve"> rising health care costs</w:t>
      </w:r>
      <w:r w:rsidR="0006322D">
        <w:rPr>
          <w:sz w:val="24"/>
          <w:szCs w:val="24"/>
        </w:rPr>
        <w:t xml:space="preserve"> and</w:t>
      </w:r>
      <w:r>
        <w:rPr>
          <w:sz w:val="24"/>
          <w:szCs w:val="24"/>
        </w:rPr>
        <w:t xml:space="preserve"> higher contribution rates </w:t>
      </w:r>
      <w:r w:rsidR="0006322D">
        <w:rPr>
          <w:sz w:val="24"/>
          <w:szCs w:val="24"/>
        </w:rPr>
        <w:t xml:space="preserve">for employees </w:t>
      </w:r>
      <w:r>
        <w:rPr>
          <w:sz w:val="24"/>
          <w:szCs w:val="24"/>
        </w:rPr>
        <w:t>are still true today. Hence, the</w:t>
      </w:r>
      <w:r w:rsidR="00976B8A">
        <w:rPr>
          <w:sz w:val="24"/>
          <w:szCs w:val="24"/>
        </w:rPr>
        <w:t xml:space="preserve"> </w:t>
      </w:r>
      <w:r w:rsidR="0006322D">
        <w:rPr>
          <w:sz w:val="24"/>
          <w:szCs w:val="24"/>
        </w:rPr>
        <w:t xml:space="preserve">declines in the </w:t>
      </w:r>
      <w:r w:rsidR="00976B8A">
        <w:rPr>
          <w:sz w:val="24"/>
          <w:szCs w:val="24"/>
        </w:rPr>
        <w:t>uninsured rate</w:t>
      </w:r>
      <w:r w:rsidR="00555CF2">
        <w:rPr>
          <w:sz w:val="24"/>
          <w:szCs w:val="24"/>
        </w:rPr>
        <w:t xml:space="preserve"> of close to 2 percentage points (p&lt;0.001) in large-group and 5 percentage points </w:t>
      </w:r>
      <w:r w:rsidR="00CF043B">
        <w:rPr>
          <w:sz w:val="24"/>
          <w:szCs w:val="24"/>
        </w:rPr>
        <w:t xml:space="preserve">(p&lt;0.001) </w:t>
      </w:r>
      <w:r w:rsidR="00555CF2">
        <w:rPr>
          <w:sz w:val="24"/>
          <w:szCs w:val="24"/>
        </w:rPr>
        <w:t xml:space="preserve">in small-group employees </w:t>
      </w:r>
      <w:r w:rsidR="000F183F">
        <w:rPr>
          <w:sz w:val="24"/>
          <w:szCs w:val="24"/>
        </w:rPr>
        <w:t>post</w:t>
      </w:r>
      <w:r w:rsidR="0006322D">
        <w:rPr>
          <w:sz w:val="24"/>
          <w:szCs w:val="24"/>
        </w:rPr>
        <w:t>-</w:t>
      </w:r>
      <w:r w:rsidR="000F183F">
        <w:rPr>
          <w:sz w:val="24"/>
          <w:szCs w:val="24"/>
        </w:rPr>
        <w:t xml:space="preserve">ACA </w:t>
      </w:r>
      <w:r>
        <w:rPr>
          <w:sz w:val="24"/>
          <w:szCs w:val="24"/>
        </w:rPr>
        <w:t>w</w:t>
      </w:r>
      <w:r w:rsidR="0006322D">
        <w:rPr>
          <w:sz w:val="24"/>
          <w:szCs w:val="24"/>
        </w:rPr>
        <w:t>ere</w:t>
      </w:r>
      <w:r>
        <w:rPr>
          <w:sz w:val="24"/>
          <w:szCs w:val="24"/>
        </w:rPr>
        <w:t xml:space="preserve"> </w:t>
      </w:r>
      <w:r w:rsidR="00555CF2">
        <w:rPr>
          <w:sz w:val="24"/>
          <w:szCs w:val="24"/>
        </w:rPr>
        <w:t xml:space="preserve">particularly </w:t>
      </w:r>
      <w:r>
        <w:rPr>
          <w:sz w:val="24"/>
          <w:szCs w:val="24"/>
        </w:rPr>
        <w:t>notable</w:t>
      </w:r>
      <w:r w:rsidR="0006322D">
        <w:rPr>
          <w:sz w:val="24"/>
          <w:szCs w:val="24"/>
        </w:rPr>
        <w:t>, with a net</w:t>
      </w:r>
      <w:r w:rsidR="00F11A1D">
        <w:rPr>
          <w:sz w:val="24"/>
          <w:szCs w:val="24"/>
        </w:rPr>
        <w:t xml:space="preserve"> DD effect </w:t>
      </w:r>
      <w:r w:rsidR="0006322D">
        <w:rPr>
          <w:sz w:val="24"/>
          <w:szCs w:val="24"/>
        </w:rPr>
        <w:t>of</w:t>
      </w:r>
      <w:r w:rsidR="00F11A1D">
        <w:rPr>
          <w:sz w:val="24"/>
          <w:szCs w:val="24"/>
        </w:rPr>
        <w:t xml:space="preserve"> 3 percentage points.</w:t>
      </w:r>
    </w:p>
    <w:p w14:paraId="42A5CB71" w14:textId="27D749EF" w:rsidR="00054642" w:rsidRDefault="00794279" w:rsidP="006E5E3B">
      <w:pPr>
        <w:spacing w:after="0" w:line="480" w:lineRule="auto"/>
        <w:rPr>
          <w:sz w:val="24"/>
          <w:szCs w:val="24"/>
        </w:rPr>
      </w:pPr>
      <w:r>
        <w:rPr>
          <w:sz w:val="24"/>
          <w:szCs w:val="24"/>
        </w:rPr>
        <w:tab/>
      </w:r>
      <w:r w:rsidR="00054642">
        <w:rPr>
          <w:sz w:val="24"/>
          <w:szCs w:val="24"/>
        </w:rPr>
        <w:t xml:space="preserve">Nevertheless, the </w:t>
      </w:r>
      <w:r w:rsidR="0006322D">
        <w:rPr>
          <w:sz w:val="24"/>
          <w:szCs w:val="24"/>
        </w:rPr>
        <w:t xml:space="preserve">ACA and attendant </w:t>
      </w:r>
      <w:r w:rsidR="00054642">
        <w:rPr>
          <w:sz w:val="24"/>
          <w:szCs w:val="24"/>
        </w:rPr>
        <w:t xml:space="preserve">gain in insurance coverage was not accompanied by big improvements in </w:t>
      </w:r>
      <w:r w:rsidR="0006322D">
        <w:rPr>
          <w:sz w:val="24"/>
          <w:szCs w:val="24"/>
        </w:rPr>
        <w:t xml:space="preserve">self-reported </w:t>
      </w:r>
      <w:r w:rsidR="00054642">
        <w:rPr>
          <w:sz w:val="24"/>
          <w:szCs w:val="24"/>
        </w:rPr>
        <w:t xml:space="preserve">access to care </w:t>
      </w:r>
      <w:r w:rsidR="005108EF">
        <w:rPr>
          <w:sz w:val="24"/>
          <w:szCs w:val="24"/>
        </w:rPr>
        <w:t xml:space="preserve">and financial burden </w:t>
      </w:r>
      <w:r w:rsidR="00054642">
        <w:rPr>
          <w:sz w:val="24"/>
          <w:szCs w:val="24"/>
        </w:rPr>
        <w:t xml:space="preserve">for employees. </w:t>
      </w:r>
      <w:r w:rsidR="00072366">
        <w:rPr>
          <w:sz w:val="24"/>
          <w:szCs w:val="24"/>
        </w:rPr>
        <w:t>Small-group</w:t>
      </w:r>
      <w:r w:rsidR="00CC6047">
        <w:rPr>
          <w:sz w:val="24"/>
          <w:szCs w:val="24"/>
        </w:rPr>
        <w:t xml:space="preserve"> </w:t>
      </w:r>
      <w:r w:rsidR="00072366">
        <w:rPr>
          <w:sz w:val="24"/>
          <w:szCs w:val="24"/>
        </w:rPr>
        <w:t xml:space="preserve">employees </w:t>
      </w:r>
      <w:r w:rsidR="0006322D">
        <w:rPr>
          <w:sz w:val="24"/>
          <w:szCs w:val="24"/>
        </w:rPr>
        <w:t>reported</w:t>
      </w:r>
      <w:r w:rsidR="00CC6047">
        <w:rPr>
          <w:sz w:val="24"/>
          <w:szCs w:val="24"/>
        </w:rPr>
        <w:t xml:space="preserve"> marginally </w:t>
      </w:r>
      <w:r w:rsidR="0006322D">
        <w:rPr>
          <w:sz w:val="24"/>
          <w:szCs w:val="24"/>
        </w:rPr>
        <w:t xml:space="preserve">but not statistically significant </w:t>
      </w:r>
      <w:r w:rsidR="00CC6047">
        <w:rPr>
          <w:sz w:val="24"/>
          <w:szCs w:val="24"/>
        </w:rPr>
        <w:t xml:space="preserve">better </w:t>
      </w:r>
      <w:r w:rsidR="00054642">
        <w:rPr>
          <w:sz w:val="24"/>
          <w:szCs w:val="24"/>
        </w:rPr>
        <w:t>access to care, not delaying care and not having financial burden post</w:t>
      </w:r>
      <w:r w:rsidR="0006322D">
        <w:rPr>
          <w:sz w:val="24"/>
          <w:szCs w:val="24"/>
        </w:rPr>
        <w:t>-</w:t>
      </w:r>
      <w:r w:rsidR="00054642">
        <w:rPr>
          <w:sz w:val="24"/>
          <w:szCs w:val="24"/>
        </w:rPr>
        <w:t>ACA compared to large group.</w:t>
      </w:r>
    </w:p>
    <w:p w14:paraId="15A6B710" w14:textId="231BDAA8" w:rsidR="00195720" w:rsidRDefault="00195720" w:rsidP="000F7365">
      <w:pPr>
        <w:spacing w:after="0" w:line="480" w:lineRule="auto"/>
        <w:ind w:firstLine="720"/>
        <w:rPr>
          <w:sz w:val="24"/>
          <w:szCs w:val="24"/>
        </w:rPr>
      </w:pPr>
      <w:r>
        <w:rPr>
          <w:sz w:val="24"/>
          <w:szCs w:val="24"/>
        </w:rPr>
        <w:t xml:space="preserve">Our analysis showed that small firms were not adversely affected compared to large </w:t>
      </w:r>
      <w:r w:rsidR="00F4002E">
        <w:rPr>
          <w:sz w:val="24"/>
          <w:szCs w:val="24"/>
        </w:rPr>
        <w:t>firms</w:t>
      </w:r>
      <w:r>
        <w:rPr>
          <w:sz w:val="24"/>
          <w:szCs w:val="24"/>
        </w:rPr>
        <w:t xml:space="preserve"> post</w:t>
      </w:r>
      <w:r w:rsidR="0006322D">
        <w:rPr>
          <w:sz w:val="24"/>
          <w:szCs w:val="24"/>
        </w:rPr>
        <w:t>-</w:t>
      </w:r>
      <w:r>
        <w:rPr>
          <w:sz w:val="24"/>
          <w:szCs w:val="24"/>
        </w:rPr>
        <w:t xml:space="preserve">ACA. </w:t>
      </w:r>
      <w:r w:rsidR="00DD511E">
        <w:rPr>
          <w:sz w:val="24"/>
          <w:szCs w:val="24"/>
        </w:rPr>
        <w:t>Nevertheless</w:t>
      </w:r>
      <w:r>
        <w:rPr>
          <w:sz w:val="24"/>
          <w:szCs w:val="24"/>
        </w:rPr>
        <w:t xml:space="preserve">, the ACA has not decidedly improved ESI availability at small firms, despite incentives </w:t>
      </w:r>
      <w:r w:rsidR="00A86D73">
        <w:rPr>
          <w:sz w:val="24"/>
          <w:szCs w:val="24"/>
        </w:rPr>
        <w:t>such as</w:t>
      </w:r>
      <w:r>
        <w:rPr>
          <w:sz w:val="24"/>
          <w:szCs w:val="24"/>
        </w:rPr>
        <w:t xml:space="preserve"> the </w:t>
      </w:r>
      <w:r w:rsidRPr="00195720">
        <w:rPr>
          <w:sz w:val="24"/>
          <w:szCs w:val="24"/>
        </w:rPr>
        <w:t>Small Business Health Options Program (SHOP)</w:t>
      </w:r>
      <w:r>
        <w:rPr>
          <w:sz w:val="24"/>
          <w:szCs w:val="24"/>
        </w:rPr>
        <w:t xml:space="preserve"> exchanges. </w:t>
      </w:r>
      <w:r w:rsidR="002314C1">
        <w:rPr>
          <w:sz w:val="24"/>
          <w:szCs w:val="24"/>
        </w:rPr>
        <w:t xml:space="preserve">A proposal from the Labor Department </w:t>
      </w:r>
      <w:r w:rsidR="000E2B7C">
        <w:rPr>
          <w:sz w:val="24"/>
          <w:szCs w:val="24"/>
        </w:rPr>
        <w:t>plans to</w:t>
      </w:r>
      <w:r w:rsidR="002314C1">
        <w:rPr>
          <w:sz w:val="24"/>
          <w:szCs w:val="24"/>
        </w:rPr>
        <w:t xml:space="preserve"> allow small firms to band together and </w:t>
      </w:r>
      <w:r w:rsidR="004D035E">
        <w:rPr>
          <w:sz w:val="24"/>
          <w:szCs w:val="24"/>
        </w:rPr>
        <w:t>buy</w:t>
      </w:r>
      <w:r w:rsidR="002314C1">
        <w:rPr>
          <w:sz w:val="24"/>
          <w:szCs w:val="24"/>
        </w:rPr>
        <w:t xml:space="preserve"> plans </w:t>
      </w:r>
      <w:r w:rsidR="004D035E">
        <w:rPr>
          <w:sz w:val="24"/>
          <w:szCs w:val="24"/>
        </w:rPr>
        <w:t xml:space="preserve">which were previously available only </w:t>
      </w:r>
      <w:r w:rsidR="000E2B7C">
        <w:rPr>
          <w:sz w:val="24"/>
          <w:szCs w:val="24"/>
        </w:rPr>
        <w:t>to large firms</w:t>
      </w:r>
      <w:r w:rsidR="002314C1">
        <w:rPr>
          <w:sz w:val="24"/>
          <w:szCs w:val="24"/>
        </w:rPr>
        <w:t>.</w:t>
      </w:r>
      <w:r w:rsidR="00FF5F6B">
        <w:rPr>
          <w:sz w:val="24"/>
          <w:szCs w:val="24"/>
        </w:rPr>
        <w:fldChar w:fldCharType="begin"/>
      </w:r>
      <w:r w:rsidR="00010220">
        <w:rPr>
          <w:sz w:val="24"/>
          <w:szCs w:val="24"/>
        </w:rPr>
        <w:instrText>ADDIN F1000_CSL_CITATION&lt;~#@#~&gt;[{"title":"U.S. Department of Labor Announces Proposal to Expand Access to Healthcare Through Small Business Health Plans","id":"4902866","type":"webpage","author":[{"family":"United States Department of Labor","given":""}],"issued":{"date-parts":[["2018","1","4"]]},"URL":"https://www.dol.gov/newsroom/releases/ebsa/ebsa20180104","accessed":{"date-parts":[["2018","2","26"]]},"itemType":"WEBSITE"}]</w:instrText>
      </w:r>
      <w:r w:rsidR="00FF5F6B">
        <w:rPr>
          <w:sz w:val="24"/>
          <w:szCs w:val="24"/>
        </w:rPr>
        <w:fldChar w:fldCharType="separate"/>
      </w:r>
      <w:r w:rsidR="00010220">
        <w:rPr>
          <w:sz w:val="24"/>
          <w:szCs w:val="24"/>
        </w:rPr>
        <w:t>(9)</w:t>
      </w:r>
      <w:r w:rsidR="00FF5F6B">
        <w:rPr>
          <w:sz w:val="24"/>
          <w:szCs w:val="24"/>
        </w:rPr>
        <w:fldChar w:fldCharType="end"/>
      </w:r>
      <w:r w:rsidR="002314C1">
        <w:rPr>
          <w:sz w:val="24"/>
          <w:szCs w:val="24"/>
        </w:rPr>
        <w:t xml:space="preserve"> The proposal, if signed into law, might increase ESI availability. However, </w:t>
      </w:r>
      <w:r w:rsidR="00C92720">
        <w:rPr>
          <w:sz w:val="24"/>
          <w:szCs w:val="24"/>
        </w:rPr>
        <w:t>small-</w:t>
      </w:r>
      <w:r w:rsidR="00832175">
        <w:rPr>
          <w:sz w:val="24"/>
          <w:szCs w:val="24"/>
        </w:rPr>
        <w:t xml:space="preserve">group employees </w:t>
      </w:r>
      <w:r w:rsidR="000178DD">
        <w:rPr>
          <w:sz w:val="24"/>
          <w:szCs w:val="24"/>
        </w:rPr>
        <w:t xml:space="preserve">have come to </w:t>
      </w:r>
      <w:r w:rsidR="00832175">
        <w:rPr>
          <w:sz w:val="24"/>
          <w:szCs w:val="24"/>
        </w:rPr>
        <w:t xml:space="preserve">rely more on public insurance </w:t>
      </w:r>
      <w:r w:rsidR="006B661B">
        <w:rPr>
          <w:sz w:val="24"/>
          <w:szCs w:val="24"/>
        </w:rPr>
        <w:t>and private insurance rather than ESI</w:t>
      </w:r>
      <w:r w:rsidR="003D3143">
        <w:rPr>
          <w:sz w:val="24"/>
          <w:szCs w:val="24"/>
        </w:rPr>
        <w:t xml:space="preserve"> </w:t>
      </w:r>
      <w:r w:rsidR="00004E2B">
        <w:rPr>
          <w:sz w:val="24"/>
          <w:szCs w:val="24"/>
        </w:rPr>
        <w:t>relative to</w:t>
      </w:r>
      <w:r w:rsidR="003D3143">
        <w:rPr>
          <w:sz w:val="24"/>
          <w:szCs w:val="24"/>
        </w:rPr>
        <w:t xml:space="preserve"> </w:t>
      </w:r>
      <w:r w:rsidR="004A7041">
        <w:rPr>
          <w:sz w:val="24"/>
          <w:szCs w:val="24"/>
        </w:rPr>
        <w:t>large-group</w:t>
      </w:r>
      <w:r w:rsidR="009A68B4">
        <w:rPr>
          <w:sz w:val="24"/>
          <w:szCs w:val="24"/>
        </w:rPr>
        <w:t xml:space="preserve"> employees</w:t>
      </w:r>
      <w:r w:rsidR="00832175">
        <w:rPr>
          <w:sz w:val="24"/>
          <w:szCs w:val="24"/>
        </w:rPr>
        <w:t xml:space="preserve">. When </w:t>
      </w:r>
      <w:r w:rsidR="000C4D2F">
        <w:rPr>
          <w:sz w:val="24"/>
          <w:szCs w:val="24"/>
        </w:rPr>
        <w:t xml:space="preserve">significant changes happen to Medicaid or </w:t>
      </w:r>
      <w:r w:rsidR="00146FBD">
        <w:rPr>
          <w:sz w:val="24"/>
          <w:szCs w:val="24"/>
        </w:rPr>
        <w:t xml:space="preserve">the </w:t>
      </w:r>
      <w:r w:rsidR="000C4D2F">
        <w:rPr>
          <w:sz w:val="24"/>
          <w:szCs w:val="24"/>
        </w:rPr>
        <w:t xml:space="preserve">individual market, </w:t>
      </w:r>
      <w:r w:rsidR="00072366">
        <w:rPr>
          <w:sz w:val="24"/>
          <w:szCs w:val="24"/>
        </w:rPr>
        <w:t>small-group</w:t>
      </w:r>
      <w:r w:rsidR="000C4D2F">
        <w:rPr>
          <w:sz w:val="24"/>
          <w:szCs w:val="24"/>
        </w:rPr>
        <w:t xml:space="preserve"> employees might be greatly affected.</w:t>
      </w:r>
      <w:r w:rsidR="002314C1">
        <w:rPr>
          <w:sz w:val="24"/>
          <w:szCs w:val="24"/>
        </w:rPr>
        <w:t xml:space="preserve"> </w:t>
      </w:r>
      <w:r w:rsidR="00F24F2A">
        <w:rPr>
          <w:sz w:val="24"/>
          <w:szCs w:val="24"/>
        </w:rPr>
        <w:t xml:space="preserve">The </w:t>
      </w:r>
      <w:r w:rsidR="002314C1">
        <w:rPr>
          <w:sz w:val="24"/>
          <w:szCs w:val="24"/>
        </w:rPr>
        <w:t xml:space="preserve">cost-sharing reduction payments </w:t>
      </w:r>
      <w:r w:rsidR="00004E2B">
        <w:rPr>
          <w:sz w:val="24"/>
          <w:szCs w:val="24"/>
        </w:rPr>
        <w:t>were</w:t>
      </w:r>
      <w:r w:rsidR="002314C1">
        <w:rPr>
          <w:sz w:val="24"/>
          <w:szCs w:val="24"/>
        </w:rPr>
        <w:t xml:space="preserve"> </w:t>
      </w:r>
      <w:r w:rsidR="00F24F2A">
        <w:rPr>
          <w:sz w:val="24"/>
          <w:szCs w:val="24"/>
        </w:rPr>
        <w:t xml:space="preserve">already </w:t>
      </w:r>
      <w:r w:rsidR="002314C1">
        <w:rPr>
          <w:sz w:val="24"/>
          <w:szCs w:val="24"/>
        </w:rPr>
        <w:t xml:space="preserve">cut </w:t>
      </w:r>
      <w:r w:rsidR="00F24F2A">
        <w:rPr>
          <w:sz w:val="24"/>
          <w:szCs w:val="24"/>
        </w:rPr>
        <w:t xml:space="preserve">in Oct 2017, </w:t>
      </w:r>
      <w:r w:rsidR="006B79BA">
        <w:rPr>
          <w:sz w:val="24"/>
          <w:szCs w:val="24"/>
        </w:rPr>
        <w:t xml:space="preserve">which means </w:t>
      </w:r>
      <w:r w:rsidR="00A72CA9">
        <w:rPr>
          <w:sz w:val="24"/>
          <w:szCs w:val="24"/>
        </w:rPr>
        <w:t>assistance for</w:t>
      </w:r>
      <w:r w:rsidR="006B79BA">
        <w:rPr>
          <w:sz w:val="24"/>
          <w:szCs w:val="24"/>
        </w:rPr>
        <w:t xml:space="preserve"> co-payments and deductibles</w:t>
      </w:r>
      <w:r w:rsidR="00A72CA9">
        <w:rPr>
          <w:sz w:val="24"/>
          <w:szCs w:val="24"/>
        </w:rPr>
        <w:t xml:space="preserve"> are no longer available</w:t>
      </w:r>
      <w:r w:rsidR="00897936">
        <w:rPr>
          <w:sz w:val="24"/>
          <w:szCs w:val="24"/>
        </w:rPr>
        <w:t xml:space="preserve"> for people buying plans on the exchange</w:t>
      </w:r>
      <w:r w:rsidR="00D11107">
        <w:rPr>
          <w:sz w:val="24"/>
          <w:szCs w:val="24"/>
        </w:rPr>
        <w:t>.</w:t>
      </w:r>
      <w:r w:rsidR="00BC32BF">
        <w:rPr>
          <w:sz w:val="24"/>
          <w:szCs w:val="24"/>
        </w:rPr>
        <w:fldChar w:fldCharType="begin"/>
      </w:r>
      <w:r w:rsidR="00010220">
        <w:rPr>
          <w:sz w:val="24"/>
          <w:szCs w:val="24"/>
        </w:rPr>
        <w:instrText>ADDIN F1000_CSL_CITATION&lt;~#@#~&gt;[{"title":"Trump Administration Takes Action to Abide by the Law and Constitution, Discontinue CSR Payments | HHS.gov","id":"4715400","type":"webpage","issued":{},"URL":"https://www.hhs.gov/about/news/2017/10/12/trump-administration-takes-action-abide-law-constitution-discontinue-csr-payments.html","accessed":{"date-parts":[["2018","1","15"]]},"itemType":"WEBSITE"}]</w:instrText>
      </w:r>
      <w:r w:rsidR="00BC32BF">
        <w:rPr>
          <w:sz w:val="24"/>
          <w:szCs w:val="24"/>
        </w:rPr>
        <w:fldChar w:fldCharType="separate"/>
      </w:r>
      <w:r w:rsidR="00010220">
        <w:rPr>
          <w:sz w:val="24"/>
          <w:szCs w:val="24"/>
        </w:rPr>
        <w:t>(10)</w:t>
      </w:r>
      <w:r w:rsidR="00BC32BF">
        <w:rPr>
          <w:sz w:val="24"/>
          <w:szCs w:val="24"/>
        </w:rPr>
        <w:fldChar w:fldCharType="end"/>
      </w:r>
      <w:r w:rsidR="00A72CA9">
        <w:rPr>
          <w:sz w:val="24"/>
          <w:szCs w:val="24"/>
        </w:rPr>
        <w:t xml:space="preserve"> </w:t>
      </w:r>
      <w:r w:rsidR="00897936">
        <w:rPr>
          <w:sz w:val="24"/>
          <w:szCs w:val="24"/>
        </w:rPr>
        <w:t xml:space="preserve">In addition, </w:t>
      </w:r>
      <w:r w:rsidR="006D6DE0">
        <w:rPr>
          <w:sz w:val="24"/>
          <w:szCs w:val="24"/>
        </w:rPr>
        <w:t xml:space="preserve">HHS has recently announced a proposal to allow the use </w:t>
      </w:r>
      <w:r w:rsidR="006D6DE0">
        <w:rPr>
          <w:sz w:val="24"/>
          <w:szCs w:val="24"/>
        </w:rPr>
        <w:lastRenderedPageBreak/>
        <w:t xml:space="preserve">of short-term insurance </w:t>
      </w:r>
      <w:r w:rsidR="004F19C8">
        <w:rPr>
          <w:sz w:val="24"/>
          <w:szCs w:val="24"/>
        </w:rPr>
        <w:t>for</w:t>
      </w:r>
      <w:r w:rsidR="00C33AFF">
        <w:rPr>
          <w:sz w:val="24"/>
          <w:szCs w:val="24"/>
        </w:rPr>
        <w:t xml:space="preserve"> </w:t>
      </w:r>
      <w:r w:rsidR="006D6DE0">
        <w:rPr>
          <w:sz w:val="24"/>
          <w:szCs w:val="24"/>
        </w:rPr>
        <w:t>up to 12 months.</w:t>
      </w:r>
      <w:r w:rsidR="00FF5F6B">
        <w:rPr>
          <w:sz w:val="24"/>
          <w:szCs w:val="24"/>
        </w:rPr>
        <w:fldChar w:fldCharType="begin"/>
      </w:r>
      <w:r w:rsidR="00010220">
        <w:rPr>
          <w:sz w:val="24"/>
          <w:szCs w:val="24"/>
        </w:rPr>
        <w:instrText>ADDIN F1000_CSL_CITATION&lt;~#@#~&gt;[{"title":"Trump Administration works to give relief to Americans facing high premiums, fewer choices","id":"4902861","type":"webpage","author":[{"family":"Departments of Health and Human Services","given":""}],"issued":{"date-parts":[["2018","2","20"]]},"URL":"https://www.hhs.gov/about/news/2018/02/20/trump-administration-works-give-relief-americans-facing-high-premiums-fewer-choices.html","accessed":{"date-parts":[["2018","2","25"]]},"itemType":"WEBSITE"}]</w:instrText>
      </w:r>
      <w:r w:rsidR="00FF5F6B">
        <w:rPr>
          <w:sz w:val="24"/>
          <w:szCs w:val="24"/>
        </w:rPr>
        <w:fldChar w:fldCharType="separate"/>
      </w:r>
      <w:r w:rsidR="00010220">
        <w:rPr>
          <w:sz w:val="24"/>
          <w:szCs w:val="24"/>
        </w:rPr>
        <w:t>(11)</w:t>
      </w:r>
      <w:r w:rsidR="00FF5F6B">
        <w:rPr>
          <w:sz w:val="24"/>
          <w:szCs w:val="24"/>
        </w:rPr>
        <w:fldChar w:fldCharType="end"/>
      </w:r>
      <w:r w:rsidR="006D6DE0">
        <w:rPr>
          <w:sz w:val="24"/>
          <w:szCs w:val="24"/>
        </w:rPr>
        <w:t xml:space="preserve"> </w:t>
      </w:r>
      <w:r w:rsidR="00897936">
        <w:rPr>
          <w:sz w:val="24"/>
          <w:szCs w:val="24"/>
        </w:rPr>
        <w:t xml:space="preserve">The proposal might further erode the individual market’s risk pool, </w:t>
      </w:r>
      <w:r w:rsidR="005461D5">
        <w:rPr>
          <w:sz w:val="24"/>
          <w:szCs w:val="24"/>
        </w:rPr>
        <w:t>leading to even higher premiums</w:t>
      </w:r>
      <w:r w:rsidR="00004E2B">
        <w:rPr>
          <w:sz w:val="24"/>
          <w:szCs w:val="24"/>
        </w:rPr>
        <w:t xml:space="preserve"> even in the absence of</w:t>
      </w:r>
      <w:r w:rsidR="003D3143">
        <w:rPr>
          <w:sz w:val="24"/>
          <w:szCs w:val="24"/>
        </w:rPr>
        <w:t xml:space="preserve"> outright repeal of the ACA</w:t>
      </w:r>
      <w:r w:rsidR="00C734FF">
        <w:rPr>
          <w:sz w:val="24"/>
          <w:szCs w:val="24"/>
        </w:rPr>
        <w:t>.</w:t>
      </w:r>
    </w:p>
    <w:p w14:paraId="450219CC" w14:textId="00C1EC61" w:rsidR="000C75A3" w:rsidRDefault="000C75A3" w:rsidP="00DC4E10">
      <w:pPr>
        <w:spacing w:after="0" w:line="480" w:lineRule="auto"/>
        <w:ind w:firstLine="720"/>
        <w:rPr>
          <w:sz w:val="24"/>
          <w:szCs w:val="24"/>
        </w:rPr>
      </w:pPr>
      <w:r>
        <w:rPr>
          <w:sz w:val="24"/>
          <w:szCs w:val="24"/>
        </w:rPr>
        <w:t xml:space="preserve">Our study has some limitations. First, the MEPS survey question simply asked </w:t>
      </w:r>
      <w:r w:rsidR="00004E2B">
        <w:rPr>
          <w:sz w:val="24"/>
          <w:szCs w:val="24"/>
        </w:rPr>
        <w:t xml:space="preserve">respondents </w:t>
      </w:r>
      <w:r>
        <w:rPr>
          <w:sz w:val="24"/>
          <w:szCs w:val="24"/>
        </w:rPr>
        <w:t>for the number of employees</w:t>
      </w:r>
      <w:r w:rsidR="00004E2B">
        <w:rPr>
          <w:sz w:val="24"/>
          <w:szCs w:val="24"/>
        </w:rPr>
        <w:t xml:space="preserve"> at their place of employment</w:t>
      </w:r>
      <w:r>
        <w:rPr>
          <w:sz w:val="24"/>
          <w:szCs w:val="24"/>
        </w:rPr>
        <w:t>, which might be different from the number of full-time-equivalent employees (FTE). As the</w:t>
      </w:r>
      <w:r w:rsidR="00004E2B">
        <w:rPr>
          <w:sz w:val="24"/>
          <w:szCs w:val="24"/>
        </w:rPr>
        <w:t xml:space="preserve"> ACA uses FTE to determine firm</w:t>
      </w:r>
      <w:r>
        <w:rPr>
          <w:sz w:val="24"/>
          <w:szCs w:val="24"/>
        </w:rPr>
        <w:t xml:space="preserve"> size, the number of employees reported in MEPS might not be a precise measure for deciding whether a firm is small-group or large-group. Second, the survey question only asked for the number of employees at the location of the person’s current main job. We only considered small-group employees to be those in firms with one location and having 50 employees or less. To calculate financial burden, we used family income data, which did not account for taxes that the family paid. Hence, our financial burden data might have underestimated the true burden</w:t>
      </w:r>
      <w:r w:rsidRPr="000C75A3">
        <w:rPr>
          <w:sz w:val="24"/>
          <w:szCs w:val="24"/>
        </w:rPr>
        <w:t>. Finally, the proportions of people reporting access problems and financial burden were low, as was the absolute number of observations (about 30 people each for small and large group across the years). This small number of observations led to a low power and imprecise estimates o</w:t>
      </w:r>
      <w:r w:rsidR="00004E2B">
        <w:rPr>
          <w:sz w:val="24"/>
          <w:szCs w:val="24"/>
        </w:rPr>
        <w:t>f</w:t>
      </w:r>
      <w:r w:rsidRPr="000C75A3">
        <w:rPr>
          <w:sz w:val="24"/>
          <w:szCs w:val="24"/>
        </w:rPr>
        <w:t xml:space="preserve"> those variables for the study.</w:t>
      </w:r>
    </w:p>
    <w:p w14:paraId="54B7D300" w14:textId="77777777" w:rsidR="00F927CE" w:rsidRDefault="00F927CE" w:rsidP="00DC4E10">
      <w:pPr>
        <w:spacing w:after="0" w:line="480" w:lineRule="auto"/>
        <w:ind w:firstLine="720"/>
        <w:rPr>
          <w:sz w:val="24"/>
          <w:szCs w:val="24"/>
        </w:rPr>
      </w:pPr>
    </w:p>
    <w:p w14:paraId="42F6B890" w14:textId="5354B123" w:rsidR="004464A3" w:rsidRPr="00DC4E10" w:rsidRDefault="004464A3" w:rsidP="00DC4E10">
      <w:pPr>
        <w:spacing w:after="0" w:line="480" w:lineRule="auto"/>
        <w:rPr>
          <w:b/>
          <w:sz w:val="24"/>
        </w:rPr>
      </w:pPr>
      <w:r w:rsidRPr="00DC4E10">
        <w:rPr>
          <w:b/>
          <w:sz w:val="24"/>
        </w:rPr>
        <w:t>Conclusion</w:t>
      </w:r>
    </w:p>
    <w:p w14:paraId="57084668" w14:textId="56BE12CA" w:rsidR="000C75A3" w:rsidRDefault="004464A3" w:rsidP="00DC4E10">
      <w:pPr>
        <w:spacing w:after="0" w:line="480" w:lineRule="auto"/>
        <w:rPr>
          <w:sz w:val="24"/>
          <w:szCs w:val="24"/>
        </w:rPr>
      </w:pPr>
      <w:r>
        <w:rPr>
          <w:sz w:val="24"/>
          <w:szCs w:val="24"/>
        </w:rPr>
        <w:t>Ever since its inception, arguments and controversies abound about the ACA. This a</w:t>
      </w:r>
      <w:r w:rsidR="00004E2B">
        <w:rPr>
          <w:sz w:val="24"/>
          <w:szCs w:val="24"/>
        </w:rPr>
        <w:t>nalysis</w:t>
      </w:r>
      <w:r w:rsidR="00C128C2">
        <w:rPr>
          <w:sz w:val="24"/>
          <w:szCs w:val="24"/>
        </w:rPr>
        <w:t xml:space="preserve"> looked at small-</w:t>
      </w:r>
      <w:r>
        <w:rPr>
          <w:sz w:val="24"/>
          <w:szCs w:val="24"/>
        </w:rPr>
        <w:t>group employees, who make up almost one-third of the workforce</w:t>
      </w:r>
      <w:r w:rsidR="00910119">
        <w:rPr>
          <w:sz w:val="24"/>
          <w:szCs w:val="24"/>
        </w:rPr>
        <w:t>,</w:t>
      </w:r>
      <w:r>
        <w:rPr>
          <w:sz w:val="24"/>
          <w:szCs w:val="24"/>
        </w:rPr>
        <w:fldChar w:fldCharType="begin"/>
      </w:r>
      <w:r w:rsidR="00010220">
        <w:rPr>
          <w:sz w:val="24"/>
          <w:szCs w:val="24"/>
        </w:rPr>
        <w:instrText>ADDIN F1000_CSL_CITATION&lt;~#@#~&gt;[{"title":"2014 SUSB Annual Data Tables by Establishment Industry","id":"2204626","type":"article-journal","volume":"Number of Firms, Number of Establishments, Employment, and Annual Payroll by Small Enterprise Employment Sizes for the United States and States, NAICS Sectors: 2014","author":[{"family":"U.S. Census Bureau","given":""}],"issued":{"date-parts":[["2016","9","29"]]},"URL":"http://www.census.gov/data/tables/2014/econ/susb/2014-susb-annual.html","itemType":"RESEARCH_ARTICLE","container-title":"2014 SUSB Annual Data Tables by Establishment Industry"}]</w:instrText>
      </w:r>
      <w:r>
        <w:rPr>
          <w:sz w:val="24"/>
          <w:szCs w:val="24"/>
        </w:rPr>
        <w:fldChar w:fldCharType="separate"/>
      </w:r>
      <w:r w:rsidR="00010220">
        <w:rPr>
          <w:sz w:val="24"/>
          <w:szCs w:val="24"/>
        </w:rPr>
        <w:t>(12)</w:t>
      </w:r>
      <w:r>
        <w:rPr>
          <w:sz w:val="24"/>
          <w:szCs w:val="24"/>
        </w:rPr>
        <w:fldChar w:fldCharType="end"/>
      </w:r>
      <w:r>
        <w:rPr>
          <w:sz w:val="24"/>
          <w:szCs w:val="24"/>
        </w:rPr>
        <w:t xml:space="preserve"> to see if they were adversely affected by the provision of the ACA compared to </w:t>
      </w:r>
      <w:r w:rsidR="004A7041">
        <w:rPr>
          <w:sz w:val="24"/>
          <w:szCs w:val="24"/>
        </w:rPr>
        <w:t>large-group</w:t>
      </w:r>
      <w:r>
        <w:rPr>
          <w:sz w:val="24"/>
          <w:szCs w:val="24"/>
        </w:rPr>
        <w:t xml:space="preserve">. We found </w:t>
      </w:r>
      <w:r w:rsidR="00C55513">
        <w:rPr>
          <w:sz w:val="24"/>
          <w:szCs w:val="24"/>
        </w:rPr>
        <w:t xml:space="preserve">a </w:t>
      </w:r>
      <w:r w:rsidR="00C128C2">
        <w:rPr>
          <w:sz w:val="24"/>
          <w:szCs w:val="24"/>
        </w:rPr>
        <w:t xml:space="preserve">statistically significant reduction in the uninsured rate. We also found a </w:t>
      </w:r>
      <w:r w:rsidR="00C55513">
        <w:rPr>
          <w:sz w:val="24"/>
          <w:szCs w:val="24"/>
        </w:rPr>
        <w:t>slight decrease</w:t>
      </w:r>
      <w:r w:rsidR="00C128C2">
        <w:rPr>
          <w:sz w:val="24"/>
          <w:szCs w:val="24"/>
        </w:rPr>
        <w:t xml:space="preserve"> in ESI </w:t>
      </w:r>
      <w:r w:rsidR="00C128C2">
        <w:rPr>
          <w:sz w:val="24"/>
          <w:szCs w:val="24"/>
        </w:rPr>
        <w:lastRenderedPageBreak/>
        <w:t xml:space="preserve">availability </w:t>
      </w:r>
      <w:r>
        <w:rPr>
          <w:sz w:val="24"/>
          <w:szCs w:val="24"/>
        </w:rPr>
        <w:t xml:space="preserve">and </w:t>
      </w:r>
      <w:r w:rsidR="00C55513">
        <w:rPr>
          <w:sz w:val="24"/>
          <w:szCs w:val="24"/>
        </w:rPr>
        <w:t>slight improvement</w:t>
      </w:r>
      <w:r>
        <w:rPr>
          <w:sz w:val="24"/>
          <w:szCs w:val="24"/>
        </w:rPr>
        <w:t xml:space="preserve"> on access to care and financial burden</w:t>
      </w:r>
      <w:r w:rsidR="00C55513">
        <w:rPr>
          <w:sz w:val="24"/>
          <w:szCs w:val="24"/>
        </w:rPr>
        <w:t xml:space="preserve"> although none </w:t>
      </w:r>
      <w:r w:rsidR="006D6A2D">
        <w:rPr>
          <w:sz w:val="24"/>
          <w:szCs w:val="24"/>
        </w:rPr>
        <w:t>was</w:t>
      </w:r>
      <w:r w:rsidR="00C55513">
        <w:rPr>
          <w:sz w:val="24"/>
          <w:szCs w:val="24"/>
        </w:rPr>
        <w:t xml:space="preserve"> statistically significant</w:t>
      </w:r>
      <w:r>
        <w:rPr>
          <w:sz w:val="24"/>
          <w:szCs w:val="24"/>
        </w:rPr>
        <w:t xml:space="preserve">. </w:t>
      </w:r>
      <w:r w:rsidR="00FC59E6">
        <w:rPr>
          <w:sz w:val="24"/>
          <w:szCs w:val="24"/>
        </w:rPr>
        <w:t>Therefore, w</w:t>
      </w:r>
      <w:r>
        <w:rPr>
          <w:sz w:val="24"/>
          <w:szCs w:val="24"/>
        </w:rPr>
        <w:t xml:space="preserve">e found no evidence that </w:t>
      </w:r>
      <w:r w:rsidR="00072366">
        <w:rPr>
          <w:sz w:val="24"/>
          <w:szCs w:val="24"/>
        </w:rPr>
        <w:t>small-group</w:t>
      </w:r>
      <w:r>
        <w:rPr>
          <w:sz w:val="24"/>
          <w:szCs w:val="24"/>
        </w:rPr>
        <w:t xml:space="preserve"> </w:t>
      </w:r>
      <w:r w:rsidR="000C75A3">
        <w:rPr>
          <w:sz w:val="24"/>
          <w:szCs w:val="24"/>
        </w:rPr>
        <w:t>employee</w:t>
      </w:r>
      <w:r w:rsidR="00072366">
        <w:rPr>
          <w:sz w:val="24"/>
          <w:szCs w:val="24"/>
        </w:rPr>
        <w:t>s</w:t>
      </w:r>
      <w:r w:rsidR="000C75A3">
        <w:rPr>
          <w:sz w:val="24"/>
          <w:szCs w:val="24"/>
        </w:rPr>
        <w:t xml:space="preserve"> were</w:t>
      </w:r>
      <w:r>
        <w:rPr>
          <w:sz w:val="24"/>
          <w:szCs w:val="24"/>
        </w:rPr>
        <w:t xml:space="preserve"> adversely affected by the ACA compared to </w:t>
      </w:r>
      <w:r w:rsidR="004A7041">
        <w:rPr>
          <w:sz w:val="24"/>
          <w:szCs w:val="24"/>
        </w:rPr>
        <w:t>large-group</w:t>
      </w:r>
      <w:r w:rsidR="000C75A3">
        <w:rPr>
          <w:sz w:val="24"/>
          <w:szCs w:val="24"/>
        </w:rPr>
        <w:t xml:space="preserve"> employees</w:t>
      </w:r>
      <w:r>
        <w:rPr>
          <w:sz w:val="24"/>
          <w:szCs w:val="24"/>
        </w:rPr>
        <w:t>.</w:t>
      </w:r>
      <w:r w:rsidR="000C75A3">
        <w:rPr>
          <w:sz w:val="24"/>
          <w:szCs w:val="24"/>
        </w:rPr>
        <w:br w:type="page"/>
      </w:r>
    </w:p>
    <w:p w14:paraId="0C460AEF" w14:textId="640CB853" w:rsidR="004F177E" w:rsidRPr="00B9475F" w:rsidRDefault="004F177E" w:rsidP="006B4A90">
      <w:pPr>
        <w:rPr>
          <w:b/>
          <w:sz w:val="24"/>
          <w:szCs w:val="24"/>
        </w:rPr>
      </w:pPr>
      <w:r w:rsidRPr="00B9475F">
        <w:rPr>
          <w:b/>
          <w:sz w:val="24"/>
          <w:szCs w:val="24"/>
        </w:rPr>
        <w:lastRenderedPageBreak/>
        <w:t>Bibliography</w:t>
      </w:r>
    </w:p>
    <w:p w14:paraId="4879DD85" w14:textId="77777777" w:rsidR="00010220" w:rsidRDefault="004F177E" w:rsidP="00010220">
      <w:pPr>
        <w:ind w:left="560" w:hanging="560"/>
        <w:rPr>
          <w:sz w:val="24"/>
          <w:szCs w:val="24"/>
        </w:rPr>
      </w:pPr>
      <w:r>
        <w:rPr>
          <w:sz w:val="24"/>
          <w:szCs w:val="24"/>
        </w:rPr>
        <w:fldChar w:fldCharType="begin"/>
      </w:r>
      <w:r>
        <w:rPr>
          <w:sz w:val="24"/>
          <w:szCs w:val="24"/>
        </w:rPr>
        <w:instrText>ADDIN F1000_CSL_BIBLIOGRAPHY</w:instrText>
      </w:r>
      <w:r>
        <w:rPr>
          <w:sz w:val="24"/>
          <w:szCs w:val="24"/>
        </w:rPr>
        <w:fldChar w:fldCharType="separate"/>
      </w:r>
      <w:r w:rsidR="00010220">
        <w:rPr>
          <w:sz w:val="24"/>
          <w:szCs w:val="24"/>
        </w:rPr>
        <w:t xml:space="preserve">1. </w:t>
      </w:r>
      <w:r w:rsidR="00010220">
        <w:rPr>
          <w:sz w:val="24"/>
          <w:szCs w:val="24"/>
        </w:rPr>
        <w:tab/>
        <w:t xml:space="preserve">Patient Protection and Affordable Care Act. 42 USC § 2701 (2010). </w:t>
      </w:r>
    </w:p>
    <w:p w14:paraId="17ED43EA" w14:textId="77777777" w:rsidR="00010220" w:rsidRDefault="00010220" w:rsidP="00010220">
      <w:pPr>
        <w:ind w:left="560" w:hanging="560"/>
        <w:rPr>
          <w:sz w:val="24"/>
          <w:szCs w:val="24"/>
        </w:rPr>
      </w:pPr>
      <w:r>
        <w:rPr>
          <w:sz w:val="24"/>
          <w:szCs w:val="24"/>
        </w:rPr>
        <w:t xml:space="preserve">2. </w:t>
      </w:r>
      <w:r>
        <w:rPr>
          <w:sz w:val="24"/>
          <w:szCs w:val="24"/>
        </w:rPr>
        <w:tab/>
        <w:t>Corlette S. Small business health insurance coverage in a post-ACA world. 2015 Jun; Available from: https://www.nihcm.org/pdf/Small_Business_Health_Insurance_Coverage_Post-ACA.pdf</w:t>
      </w:r>
    </w:p>
    <w:p w14:paraId="0491475E" w14:textId="77777777" w:rsidR="00010220" w:rsidRDefault="00010220" w:rsidP="00010220">
      <w:pPr>
        <w:ind w:left="560" w:hanging="560"/>
        <w:rPr>
          <w:sz w:val="24"/>
          <w:szCs w:val="24"/>
        </w:rPr>
      </w:pPr>
      <w:r>
        <w:rPr>
          <w:sz w:val="24"/>
          <w:szCs w:val="24"/>
        </w:rPr>
        <w:t xml:space="preserve">3. </w:t>
      </w:r>
      <w:r>
        <w:rPr>
          <w:sz w:val="24"/>
          <w:szCs w:val="24"/>
        </w:rPr>
        <w:tab/>
        <w:t xml:space="preserve">Patient Protection and Affordable Care Act. 42 USC § 2707 (2010). </w:t>
      </w:r>
    </w:p>
    <w:p w14:paraId="3E906B88" w14:textId="77777777" w:rsidR="00010220" w:rsidRDefault="00010220" w:rsidP="00010220">
      <w:pPr>
        <w:ind w:left="560" w:hanging="560"/>
        <w:rPr>
          <w:sz w:val="24"/>
          <w:szCs w:val="24"/>
        </w:rPr>
      </w:pPr>
      <w:r>
        <w:rPr>
          <w:sz w:val="24"/>
          <w:szCs w:val="24"/>
        </w:rPr>
        <w:t xml:space="preserve">4. </w:t>
      </w:r>
      <w:r>
        <w:rPr>
          <w:sz w:val="24"/>
          <w:szCs w:val="24"/>
        </w:rPr>
        <w:tab/>
        <w:t xml:space="preserve">Patient Protection and Affordable Care Act. 42 USC § 1302 (2010). </w:t>
      </w:r>
    </w:p>
    <w:p w14:paraId="751A796A" w14:textId="77777777" w:rsidR="00010220" w:rsidRDefault="00010220" w:rsidP="00010220">
      <w:pPr>
        <w:ind w:left="560" w:hanging="560"/>
        <w:rPr>
          <w:sz w:val="24"/>
          <w:szCs w:val="24"/>
        </w:rPr>
      </w:pPr>
      <w:r>
        <w:rPr>
          <w:sz w:val="24"/>
          <w:szCs w:val="24"/>
        </w:rPr>
        <w:t xml:space="preserve">5. </w:t>
      </w:r>
      <w:r>
        <w:rPr>
          <w:sz w:val="24"/>
          <w:szCs w:val="24"/>
        </w:rPr>
        <w:tab/>
        <w:t xml:space="preserve">Riggs KR, Buttorff C, Alexander GC. Impact of out-of-pocket spending caps on financial burden of those with group health insurance. J Gen Intern Med. 2015 May;30(5):683–688. </w:t>
      </w:r>
    </w:p>
    <w:p w14:paraId="0008AD0C" w14:textId="77777777" w:rsidR="00010220" w:rsidRDefault="00010220" w:rsidP="00010220">
      <w:pPr>
        <w:ind w:left="560" w:hanging="560"/>
        <w:rPr>
          <w:sz w:val="24"/>
          <w:szCs w:val="24"/>
        </w:rPr>
      </w:pPr>
      <w:r>
        <w:rPr>
          <w:sz w:val="24"/>
          <w:szCs w:val="24"/>
        </w:rPr>
        <w:t xml:space="preserve">6. </w:t>
      </w:r>
      <w:r>
        <w:rPr>
          <w:sz w:val="24"/>
          <w:szCs w:val="24"/>
        </w:rPr>
        <w:tab/>
        <w:t xml:space="preserve">Karaca-Mandic P, Norton EC, Dowd B. Interaction terms in nonlinear models. Health Serv Res. 2012 Feb;47(1 Pt 1):255–274. </w:t>
      </w:r>
    </w:p>
    <w:p w14:paraId="16A608FF" w14:textId="77777777" w:rsidR="00010220" w:rsidRDefault="00010220" w:rsidP="00010220">
      <w:pPr>
        <w:ind w:left="560" w:hanging="560"/>
        <w:rPr>
          <w:sz w:val="24"/>
          <w:szCs w:val="24"/>
        </w:rPr>
      </w:pPr>
      <w:r>
        <w:rPr>
          <w:sz w:val="24"/>
          <w:szCs w:val="24"/>
        </w:rPr>
        <w:t xml:space="preserve">7. </w:t>
      </w:r>
      <w:r>
        <w:rPr>
          <w:sz w:val="24"/>
          <w:szCs w:val="24"/>
        </w:rPr>
        <w:tab/>
        <w:t xml:space="preserve">Abraham J, Royalty AB, Drake C. Employer-Sponsored Insurance Offers: Largely Stable In 2014 Following ACA Implementation. Health Aff (Millwood). 2016 Nov 1;35(11):2133–2137. </w:t>
      </w:r>
    </w:p>
    <w:p w14:paraId="63256AF3" w14:textId="77777777" w:rsidR="00010220" w:rsidRDefault="00010220" w:rsidP="00010220">
      <w:pPr>
        <w:ind w:left="560" w:hanging="560"/>
        <w:rPr>
          <w:sz w:val="24"/>
          <w:szCs w:val="24"/>
        </w:rPr>
      </w:pPr>
      <w:r>
        <w:rPr>
          <w:sz w:val="24"/>
          <w:szCs w:val="24"/>
        </w:rPr>
        <w:t xml:space="preserve">8. </w:t>
      </w:r>
      <w:r>
        <w:rPr>
          <w:sz w:val="24"/>
          <w:szCs w:val="24"/>
        </w:rPr>
        <w:tab/>
        <w:t xml:space="preserve">Cooper PF, Schone BS. More offers, fewer takers for employment-based health insurance: 1987 and 1996. Health Aff (Millwood). 1997 Dec;16(6):142–149. </w:t>
      </w:r>
    </w:p>
    <w:p w14:paraId="617F4BF9" w14:textId="77777777" w:rsidR="00010220" w:rsidRDefault="00010220" w:rsidP="00010220">
      <w:pPr>
        <w:ind w:left="560" w:hanging="560"/>
        <w:rPr>
          <w:sz w:val="24"/>
          <w:szCs w:val="24"/>
        </w:rPr>
      </w:pPr>
      <w:r>
        <w:rPr>
          <w:sz w:val="24"/>
          <w:szCs w:val="24"/>
        </w:rPr>
        <w:t xml:space="preserve">9. </w:t>
      </w:r>
      <w:r>
        <w:rPr>
          <w:sz w:val="24"/>
          <w:szCs w:val="24"/>
        </w:rPr>
        <w:tab/>
        <w:t>United States Department of Labor. U.S. Department of Labor Announces Proposal to Expand Access to Healthcare Through Small Business Health Plans [Internet]. 2018 [cited 2018 Feb 26]. Available from: https://www.dol.gov/newsroom/releases/ebsa/ebsa20180104</w:t>
      </w:r>
    </w:p>
    <w:p w14:paraId="6CF61A3C" w14:textId="77777777" w:rsidR="00010220" w:rsidRDefault="00010220" w:rsidP="00010220">
      <w:pPr>
        <w:ind w:left="560" w:hanging="560"/>
        <w:rPr>
          <w:sz w:val="24"/>
          <w:szCs w:val="24"/>
        </w:rPr>
      </w:pPr>
      <w:r>
        <w:rPr>
          <w:sz w:val="24"/>
          <w:szCs w:val="24"/>
        </w:rPr>
        <w:t xml:space="preserve">10. </w:t>
      </w:r>
      <w:r>
        <w:rPr>
          <w:sz w:val="24"/>
          <w:szCs w:val="24"/>
        </w:rPr>
        <w:tab/>
        <w:t>Trump Administration Takes Action to Abide by the Law and Constitution, Discontinue CSR Payments | HHS.gov [Internet]. [cited 2018 Jan 15]. Available from: https://www.hhs.gov/about/news/2017/10/12/trump-administration-takes-action-abide-law-constitution-discontinue-csr-payments.html</w:t>
      </w:r>
    </w:p>
    <w:p w14:paraId="3FFC6874" w14:textId="77777777" w:rsidR="00010220" w:rsidRDefault="00010220" w:rsidP="00010220">
      <w:pPr>
        <w:ind w:left="560" w:hanging="560"/>
        <w:rPr>
          <w:sz w:val="24"/>
          <w:szCs w:val="24"/>
        </w:rPr>
      </w:pPr>
      <w:r>
        <w:rPr>
          <w:sz w:val="24"/>
          <w:szCs w:val="24"/>
        </w:rPr>
        <w:t xml:space="preserve">11. </w:t>
      </w:r>
      <w:r>
        <w:rPr>
          <w:sz w:val="24"/>
          <w:szCs w:val="24"/>
        </w:rPr>
        <w:tab/>
        <w:t>Departments of Health and Human Services. Trump Administration works to give relief to Americans facing high premiums, fewer choices [Internet]. 2018 [cited 2018 Feb 25]. Available from: https://www.hhs.gov/about/news/2018/02/20/trump-administration-works-give-relief-americans-facing-high-premiums-fewer-choices.html</w:t>
      </w:r>
    </w:p>
    <w:p w14:paraId="5931B181" w14:textId="77777777" w:rsidR="00010220" w:rsidRDefault="00010220" w:rsidP="00010220">
      <w:pPr>
        <w:ind w:left="560" w:hanging="560"/>
        <w:rPr>
          <w:sz w:val="24"/>
          <w:szCs w:val="24"/>
        </w:rPr>
      </w:pPr>
      <w:r>
        <w:rPr>
          <w:sz w:val="24"/>
          <w:szCs w:val="24"/>
        </w:rPr>
        <w:t xml:space="preserve">12. </w:t>
      </w:r>
      <w:r>
        <w:rPr>
          <w:sz w:val="24"/>
          <w:szCs w:val="24"/>
        </w:rPr>
        <w:tab/>
        <w:t>U.S. Census Bureau. 2014 SUSB Annual Data Tables by Establishment Industry. 2014 SUSB Annual Data Tables by Establishment Industry [Internet]. 2016 Sep 29;Number of Firms, Number of Establishments, Employment, and Annual Payroll by Small Enterprise Employment Sizes for the United States and States, NAICS Sectors: 2014. Available from: http://www.census.gov/data/tables/2014/econ/susb/2014-susb-annual.html</w:t>
      </w:r>
    </w:p>
    <w:p w14:paraId="7CF894C2" w14:textId="1E8115E5" w:rsidR="00EB2548" w:rsidRDefault="004F177E" w:rsidP="00010220">
      <w:pPr>
        <w:ind w:left="560" w:hanging="560"/>
        <w:rPr>
          <w:sz w:val="24"/>
          <w:szCs w:val="24"/>
        </w:rPr>
      </w:pPr>
      <w:r>
        <w:rPr>
          <w:sz w:val="24"/>
          <w:szCs w:val="24"/>
        </w:rPr>
        <w:fldChar w:fldCharType="end"/>
      </w:r>
    </w:p>
    <w:p w14:paraId="4E5E05F4" w14:textId="14716F5E" w:rsidR="00EB2548" w:rsidRDefault="00EB2548">
      <w:pPr>
        <w:rPr>
          <w:sz w:val="24"/>
          <w:szCs w:val="24"/>
        </w:rPr>
      </w:pPr>
    </w:p>
    <w:p w14:paraId="081743F3" w14:textId="77777777" w:rsidR="00EB2548" w:rsidRPr="00DE3CB2" w:rsidRDefault="00EB2548" w:rsidP="00EB2548">
      <w:pPr>
        <w:rPr>
          <w:b/>
          <w:i/>
          <w:sz w:val="24"/>
          <w:szCs w:val="24"/>
        </w:rPr>
      </w:pPr>
      <w:r>
        <w:rPr>
          <w:b/>
          <w:i/>
          <w:sz w:val="24"/>
          <w:szCs w:val="24"/>
        </w:rPr>
        <w:t>Exhibit</w:t>
      </w:r>
      <w:r w:rsidRPr="009B1E42">
        <w:rPr>
          <w:b/>
          <w:i/>
          <w:sz w:val="24"/>
          <w:szCs w:val="24"/>
        </w:rPr>
        <w:t xml:space="preserve"> </w:t>
      </w:r>
      <w:r>
        <w:rPr>
          <w:b/>
          <w:i/>
          <w:sz w:val="24"/>
          <w:szCs w:val="24"/>
        </w:rPr>
        <w:t>1</w:t>
      </w:r>
      <w:r w:rsidRPr="009B1E42">
        <w:rPr>
          <w:b/>
          <w:i/>
          <w:sz w:val="24"/>
          <w:szCs w:val="24"/>
        </w:rPr>
        <w:t>: Insurance status by firm size</w:t>
      </w:r>
      <w:r>
        <w:rPr>
          <w:b/>
          <w:i/>
          <w:sz w:val="24"/>
          <w:szCs w:val="24"/>
        </w:rPr>
        <w:t xml:space="preserve"> from 2007 to 2015</w:t>
      </w:r>
    </w:p>
    <w:p w14:paraId="7F9680BD" w14:textId="1C819441" w:rsidR="00EB2548" w:rsidRDefault="0086720C" w:rsidP="00EB2548">
      <w:r w:rsidRPr="0086720C">
        <w:rPr>
          <w:noProof/>
        </w:rPr>
        <w:drawing>
          <wp:inline distT="0" distB="0" distL="0" distR="0" wp14:anchorId="2B65A478" wp14:editId="0BD243D9">
            <wp:extent cx="5120640"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640" cy="3752850"/>
                    </a:xfrm>
                    <a:prstGeom prst="rect">
                      <a:avLst/>
                    </a:prstGeom>
                    <a:noFill/>
                    <a:ln>
                      <a:noFill/>
                    </a:ln>
                  </pic:spPr>
                </pic:pic>
              </a:graphicData>
            </a:graphic>
          </wp:inline>
        </w:drawing>
      </w:r>
    </w:p>
    <w:p w14:paraId="2A3DBBD3" w14:textId="77777777" w:rsidR="00EB2548" w:rsidRDefault="00EB2548">
      <w:pPr>
        <w:rPr>
          <w:sz w:val="24"/>
          <w:szCs w:val="24"/>
        </w:rPr>
      </w:pPr>
      <w:r>
        <w:rPr>
          <w:sz w:val="24"/>
          <w:szCs w:val="24"/>
        </w:rPr>
        <w:br w:type="page"/>
      </w:r>
    </w:p>
    <w:p w14:paraId="1D5B53A3" w14:textId="7D307E3B" w:rsidR="00EB2548" w:rsidRPr="00144F5A" w:rsidRDefault="00EB2548" w:rsidP="00EB2548">
      <w:pPr>
        <w:rPr>
          <w:b/>
          <w:i/>
          <w:sz w:val="24"/>
          <w:szCs w:val="24"/>
        </w:rPr>
      </w:pPr>
      <w:r w:rsidRPr="00DB024A">
        <w:rPr>
          <w:b/>
          <w:i/>
          <w:sz w:val="24"/>
          <w:szCs w:val="24"/>
        </w:rPr>
        <w:lastRenderedPageBreak/>
        <w:t xml:space="preserve">Exhibit </w:t>
      </w:r>
      <w:r>
        <w:rPr>
          <w:b/>
          <w:i/>
          <w:sz w:val="24"/>
          <w:szCs w:val="24"/>
        </w:rPr>
        <w:t>2</w:t>
      </w:r>
      <w:r w:rsidRPr="00DB024A">
        <w:rPr>
          <w:b/>
          <w:i/>
          <w:sz w:val="24"/>
          <w:szCs w:val="24"/>
        </w:rPr>
        <w:t xml:space="preserve">: Selected differences between plans for small </w:t>
      </w:r>
      <w:r>
        <w:rPr>
          <w:b/>
          <w:i/>
          <w:sz w:val="24"/>
          <w:szCs w:val="24"/>
        </w:rPr>
        <w:t>firms</w:t>
      </w:r>
      <w:r w:rsidRPr="00DB024A">
        <w:rPr>
          <w:b/>
          <w:i/>
          <w:sz w:val="24"/>
          <w:szCs w:val="24"/>
        </w:rPr>
        <w:t xml:space="preserve"> and large </w:t>
      </w:r>
      <w:r>
        <w:rPr>
          <w:b/>
          <w:i/>
          <w:sz w:val="24"/>
          <w:szCs w:val="24"/>
        </w:rPr>
        <w:t>firms</w:t>
      </w:r>
      <w:r w:rsidRPr="00DB024A">
        <w:rPr>
          <w:b/>
          <w:i/>
          <w:sz w:val="24"/>
          <w:szCs w:val="24"/>
        </w:rPr>
        <w:t xml:space="preserve"> starting 1/1/2014</w:t>
      </w:r>
      <w:r>
        <w:rPr>
          <w:b/>
          <w:i/>
          <w:sz w:val="24"/>
          <w:szCs w:val="24"/>
        </w:rPr>
        <w:fldChar w:fldCharType="begin"/>
      </w:r>
      <w:r w:rsidR="00010220">
        <w:rPr>
          <w:b/>
          <w:i/>
          <w:sz w:val="24"/>
          <w:szCs w:val="24"/>
        </w:rPr>
        <w:instrText>ADDIN F1000_CSL_CITATION&lt;~#@#~&gt;[{"title":"Patient Protection and Affordable Care Act","id":"2237898","type":"article-journal","issued":{},"itemType":"MANUAL_ITEM_PDF","container-title":"42 U.S.C. § 2701 (2010)"}]</w:instrText>
      </w:r>
      <w:r>
        <w:rPr>
          <w:b/>
          <w:i/>
          <w:sz w:val="24"/>
          <w:szCs w:val="24"/>
        </w:rPr>
        <w:fldChar w:fldCharType="separate"/>
      </w:r>
      <w:r w:rsidR="00BC2F47">
        <w:rPr>
          <w:b/>
          <w:i/>
          <w:sz w:val="24"/>
          <w:szCs w:val="24"/>
        </w:rPr>
        <w:t>(1)</w:t>
      </w:r>
      <w:r>
        <w:rPr>
          <w:b/>
          <w:i/>
          <w:sz w:val="24"/>
          <w:szCs w:val="24"/>
        </w:rPr>
        <w:fldChar w:fldCharType="end"/>
      </w:r>
    </w:p>
    <w:tbl>
      <w:tblPr>
        <w:tblStyle w:val="PlainTable2"/>
        <w:tblW w:w="9576" w:type="dxa"/>
        <w:tblLook w:val="04A0" w:firstRow="1" w:lastRow="0" w:firstColumn="1" w:lastColumn="0" w:noHBand="0" w:noVBand="1"/>
      </w:tblPr>
      <w:tblGrid>
        <w:gridCol w:w="3192"/>
        <w:gridCol w:w="3192"/>
        <w:gridCol w:w="3192"/>
      </w:tblGrid>
      <w:tr w:rsidR="00EB2548" w:rsidRPr="00EE5F2B" w14:paraId="00D88DC9" w14:textId="77777777" w:rsidTr="0006322D">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192" w:type="dxa"/>
            <w:hideMark/>
          </w:tcPr>
          <w:p w14:paraId="53A460B7" w14:textId="77777777" w:rsidR="00EB2548" w:rsidRPr="00EE5F2B" w:rsidRDefault="00EB2548" w:rsidP="0006322D">
            <w:pPr>
              <w:rPr>
                <w:sz w:val="24"/>
                <w:szCs w:val="24"/>
              </w:rPr>
            </w:pPr>
          </w:p>
        </w:tc>
        <w:tc>
          <w:tcPr>
            <w:tcW w:w="3192" w:type="dxa"/>
            <w:hideMark/>
          </w:tcPr>
          <w:p w14:paraId="641F37C7" w14:textId="77777777" w:rsidR="00EB2548" w:rsidRPr="001C5FE3" w:rsidRDefault="00EB2548" w:rsidP="0006322D">
            <w:pPr>
              <w:cnfStyle w:val="100000000000" w:firstRow="1" w:lastRow="0" w:firstColumn="0" w:lastColumn="0" w:oddVBand="0" w:evenVBand="0" w:oddHBand="0" w:evenHBand="0" w:firstRowFirstColumn="0" w:firstRowLastColumn="0" w:lastRowFirstColumn="0" w:lastRowLastColumn="0"/>
              <w:rPr>
                <w:sz w:val="24"/>
                <w:szCs w:val="24"/>
              </w:rPr>
            </w:pPr>
            <w:r w:rsidRPr="001C5FE3">
              <w:rPr>
                <w:sz w:val="24"/>
                <w:szCs w:val="24"/>
              </w:rPr>
              <w:t xml:space="preserve">Small </w:t>
            </w:r>
            <w:r>
              <w:rPr>
                <w:bCs w:val="0"/>
                <w:sz w:val="24"/>
                <w:szCs w:val="24"/>
              </w:rPr>
              <w:t>firms</w:t>
            </w:r>
            <w:r w:rsidRPr="001C5FE3">
              <w:rPr>
                <w:bCs w:val="0"/>
                <w:sz w:val="24"/>
                <w:szCs w:val="24"/>
              </w:rPr>
              <w:t xml:space="preserve"> (fully-insured plans)</w:t>
            </w:r>
          </w:p>
        </w:tc>
        <w:tc>
          <w:tcPr>
            <w:tcW w:w="3192" w:type="dxa"/>
            <w:hideMark/>
          </w:tcPr>
          <w:p w14:paraId="1CABAB55" w14:textId="77777777" w:rsidR="00EB2548" w:rsidRPr="001C5FE3" w:rsidRDefault="00EB2548" w:rsidP="0006322D">
            <w:pPr>
              <w:cnfStyle w:val="100000000000" w:firstRow="1" w:lastRow="0" w:firstColumn="0" w:lastColumn="0" w:oddVBand="0" w:evenVBand="0" w:oddHBand="0" w:evenHBand="0" w:firstRowFirstColumn="0" w:firstRowLastColumn="0" w:lastRowFirstColumn="0" w:lastRowLastColumn="0"/>
              <w:rPr>
                <w:sz w:val="24"/>
                <w:szCs w:val="24"/>
              </w:rPr>
            </w:pPr>
            <w:r w:rsidRPr="001C5FE3">
              <w:rPr>
                <w:sz w:val="24"/>
                <w:szCs w:val="24"/>
              </w:rPr>
              <w:t xml:space="preserve">Large </w:t>
            </w:r>
            <w:r>
              <w:rPr>
                <w:bCs w:val="0"/>
                <w:sz w:val="24"/>
                <w:szCs w:val="24"/>
              </w:rPr>
              <w:t>firms</w:t>
            </w:r>
          </w:p>
        </w:tc>
      </w:tr>
      <w:tr w:rsidR="00EB2548" w:rsidRPr="00EE5F2B" w14:paraId="0A368665" w14:textId="77777777" w:rsidTr="0006322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192" w:type="dxa"/>
            <w:hideMark/>
          </w:tcPr>
          <w:p w14:paraId="0EC40A73" w14:textId="77777777" w:rsidR="00EB2548" w:rsidRPr="001C5FE3" w:rsidRDefault="00EB2548" w:rsidP="0006322D">
            <w:pPr>
              <w:rPr>
                <w:sz w:val="24"/>
                <w:szCs w:val="24"/>
              </w:rPr>
            </w:pPr>
            <w:r w:rsidRPr="001C5FE3">
              <w:rPr>
                <w:sz w:val="24"/>
                <w:szCs w:val="24"/>
              </w:rPr>
              <w:t>Coverage mandate</w:t>
            </w:r>
          </w:p>
        </w:tc>
        <w:tc>
          <w:tcPr>
            <w:tcW w:w="3192" w:type="dxa"/>
            <w:hideMark/>
          </w:tcPr>
          <w:p w14:paraId="11D19AA0" w14:textId="77777777" w:rsidR="00EB2548" w:rsidRPr="00EE5F2B" w:rsidRDefault="00EB2548" w:rsidP="0006322D">
            <w:pPr>
              <w:cnfStyle w:val="000000100000" w:firstRow="0" w:lastRow="0" w:firstColumn="0" w:lastColumn="0" w:oddVBand="0" w:evenVBand="0" w:oddHBand="1" w:evenHBand="0" w:firstRowFirstColumn="0" w:firstRowLastColumn="0" w:lastRowFirstColumn="0" w:lastRowLastColumn="0"/>
              <w:rPr>
                <w:sz w:val="24"/>
                <w:szCs w:val="24"/>
              </w:rPr>
            </w:pPr>
            <w:r w:rsidRPr="00EE5F2B">
              <w:rPr>
                <w:sz w:val="24"/>
                <w:szCs w:val="24"/>
              </w:rPr>
              <w:t>No</w:t>
            </w:r>
          </w:p>
        </w:tc>
        <w:tc>
          <w:tcPr>
            <w:tcW w:w="3192" w:type="dxa"/>
            <w:hideMark/>
          </w:tcPr>
          <w:p w14:paraId="3125979F" w14:textId="77777777" w:rsidR="00EB2548" w:rsidRPr="00EE5F2B" w:rsidRDefault="00EB2548" w:rsidP="0006322D">
            <w:pPr>
              <w:cnfStyle w:val="000000100000" w:firstRow="0" w:lastRow="0" w:firstColumn="0" w:lastColumn="0" w:oddVBand="0" w:evenVBand="0" w:oddHBand="1" w:evenHBand="0" w:firstRowFirstColumn="0" w:firstRowLastColumn="0" w:lastRowFirstColumn="0" w:lastRowLastColumn="0"/>
              <w:rPr>
                <w:sz w:val="24"/>
                <w:szCs w:val="24"/>
              </w:rPr>
            </w:pPr>
            <w:r w:rsidRPr="00EE5F2B">
              <w:rPr>
                <w:sz w:val="24"/>
                <w:szCs w:val="24"/>
              </w:rPr>
              <w:t>Yes*</w:t>
            </w:r>
          </w:p>
        </w:tc>
      </w:tr>
      <w:tr w:rsidR="00EB2548" w:rsidRPr="00EE5F2B" w14:paraId="7485891A" w14:textId="77777777" w:rsidTr="0006322D">
        <w:trPr>
          <w:trHeight w:val="584"/>
        </w:trPr>
        <w:tc>
          <w:tcPr>
            <w:cnfStyle w:val="001000000000" w:firstRow="0" w:lastRow="0" w:firstColumn="1" w:lastColumn="0" w:oddVBand="0" w:evenVBand="0" w:oddHBand="0" w:evenHBand="0" w:firstRowFirstColumn="0" w:firstRowLastColumn="0" w:lastRowFirstColumn="0" w:lastRowLastColumn="0"/>
            <w:tcW w:w="3192" w:type="dxa"/>
            <w:hideMark/>
          </w:tcPr>
          <w:p w14:paraId="68CE816E" w14:textId="77777777" w:rsidR="00EB2548" w:rsidRPr="001C5FE3" w:rsidRDefault="00EB2548" w:rsidP="0006322D">
            <w:pPr>
              <w:rPr>
                <w:sz w:val="24"/>
                <w:szCs w:val="24"/>
              </w:rPr>
            </w:pPr>
            <w:r w:rsidRPr="001C5FE3">
              <w:rPr>
                <w:sz w:val="24"/>
                <w:szCs w:val="24"/>
              </w:rPr>
              <w:t>Required essential health benefits</w:t>
            </w:r>
            <w:r w:rsidRPr="009D27BC">
              <w:rPr>
                <w:rFonts w:cs="Arial"/>
                <w:sz w:val="24"/>
                <w:szCs w:val="24"/>
                <w:vertAlign w:val="superscript"/>
              </w:rPr>
              <w:t>†</w:t>
            </w:r>
          </w:p>
        </w:tc>
        <w:tc>
          <w:tcPr>
            <w:tcW w:w="3192" w:type="dxa"/>
            <w:hideMark/>
          </w:tcPr>
          <w:p w14:paraId="55484C03" w14:textId="77777777" w:rsidR="00EB2548" w:rsidRPr="00EE5F2B" w:rsidRDefault="00EB2548" w:rsidP="0006322D">
            <w:pPr>
              <w:cnfStyle w:val="000000000000" w:firstRow="0" w:lastRow="0" w:firstColumn="0" w:lastColumn="0" w:oddVBand="0" w:evenVBand="0" w:oddHBand="0" w:evenHBand="0" w:firstRowFirstColumn="0" w:firstRowLastColumn="0" w:lastRowFirstColumn="0" w:lastRowLastColumn="0"/>
              <w:rPr>
                <w:sz w:val="24"/>
                <w:szCs w:val="24"/>
              </w:rPr>
            </w:pPr>
            <w:r w:rsidRPr="00EE5F2B">
              <w:rPr>
                <w:sz w:val="24"/>
                <w:szCs w:val="24"/>
              </w:rPr>
              <w:t>Yes</w:t>
            </w:r>
          </w:p>
        </w:tc>
        <w:tc>
          <w:tcPr>
            <w:tcW w:w="3192" w:type="dxa"/>
            <w:hideMark/>
          </w:tcPr>
          <w:p w14:paraId="5198F897" w14:textId="77777777" w:rsidR="00EB2548" w:rsidRPr="00EE5F2B" w:rsidRDefault="00EB2548" w:rsidP="0006322D">
            <w:pPr>
              <w:cnfStyle w:val="000000000000" w:firstRow="0" w:lastRow="0" w:firstColumn="0" w:lastColumn="0" w:oddVBand="0" w:evenVBand="0" w:oddHBand="0" w:evenHBand="0" w:firstRowFirstColumn="0" w:firstRowLastColumn="0" w:lastRowFirstColumn="0" w:lastRowLastColumn="0"/>
              <w:rPr>
                <w:sz w:val="24"/>
                <w:szCs w:val="24"/>
              </w:rPr>
            </w:pPr>
            <w:r w:rsidRPr="00EE5F2B">
              <w:rPr>
                <w:sz w:val="24"/>
                <w:szCs w:val="24"/>
              </w:rPr>
              <w:t>No</w:t>
            </w:r>
          </w:p>
        </w:tc>
      </w:tr>
      <w:tr w:rsidR="00EB2548" w:rsidRPr="00EE5F2B" w14:paraId="6AC7D491" w14:textId="77777777" w:rsidTr="0006322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192" w:type="dxa"/>
            <w:hideMark/>
          </w:tcPr>
          <w:p w14:paraId="41E998E4" w14:textId="77777777" w:rsidR="00EB2548" w:rsidRPr="001C5FE3" w:rsidRDefault="00EB2548" w:rsidP="0006322D">
            <w:pPr>
              <w:rPr>
                <w:sz w:val="24"/>
                <w:szCs w:val="24"/>
              </w:rPr>
            </w:pPr>
            <w:r w:rsidRPr="001C5FE3">
              <w:rPr>
                <w:sz w:val="24"/>
                <w:szCs w:val="24"/>
              </w:rPr>
              <w:t>Premium rating restrictions</w:t>
            </w:r>
          </w:p>
        </w:tc>
        <w:tc>
          <w:tcPr>
            <w:tcW w:w="3192" w:type="dxa"/>
            <w:hideMark/>
          </w:tcPr>
          <w:p w14:paraId="399B32C7" w14:textId="77777777" w:rsidR="00EB2548" w:rsidRPr="00EE5F2B" w:rsidRDefault="00EB2548" w:rsidP="0006322D">
            <w:pPr>
              <w:cnfStyle w:val="000000100000" w:firstRow="0" w:lastRow="0" w:firstColumn="0" w:lastColumn="0" w:oddVBand="0" w:evenVBand="0" w:oddHBand="1" w:evenHBand="0" w:firstRowFirstColumn="0" w:firstRowLastColumn="0" w:lastRowFirstColumn="0" w:lastRowLastColumn="0"/>
              <w:rPr>
                <w:sz w:val="24"/>
                <w:szCs w:val="24"/>
              </w:rPr>
            </w:pPr>
            <w:r w:rsidRPr="00EE5F2B">
              <w:rPr>
                <w:sz w:val="24"/>
                <w:szCs w:val="24"/>
              </w:rPr>
              <w:t>4 factors: age, geography, tobacco usage and whether the coverage is for individual or family</w:t>
            </w:r>
          </w:p>
        </w:tc>
        <w:tc>
          <w:tcPr>
            <w:tcW w:w="3192" w:type="dxa"/>
            <w:hideMark/>
          </w:tcPr>
          <w:p w14:paraId="11F7CEDE" w14:textId="77777777" w:rsidR="00EB2548" w:rsidRPr="00EE5F2B" w:rsidRDefault="00EB2548" w:rsidP="0006322D">
            <w:pPr>
              <w:cnfStyle w:val="000000100000" w:firstRow="0" w:lastRow="0" w:firstColumn="0" w:lastColumn="0" w:oddVBand="0" w:evenVBand="0" w:oddHBand="1" w:evenHBand="0" w:firstRowFirstColumn="0" w:firstRowLastColumn="0" w:lastRowFirstColumn="0" w:lastRowLastColumn="0"/>
              <w:rPr>
                <w:sz w:val="24"/>
                <w:szCs w:val="24"/>
              </w:rPr>
            </w:pPr>
            <w:r w:rsidRPr="00EE5F2B">
              <w:rPr>
                <w:sz w:val="24"/>
                <w:szCs w:val="24"/>
              </w:rPr>
              <w:t>No</w:t>
            </w:r>
          </w:p>
        </w:tc>
      </w:tr>
      <w:tr w:rsidR="00EB2548" w:rsidRPr="00EE5F2B" w14:paraId="3F6AD08F" w14:textId="77777777" w:rsidTr="0006322D">
        <w:trPr>
          <w:trHeight w:val="584"/>
        </w:trPr>
        <w:tc>
          <w:tcPr>
            <w:cnfStyle w:val="001000000000" w:firstRow="0" w:lastRow="0" w:firstColumn="1" w:lastColumn="0" w:oddVBand="0" w:evenVBand="0" w:oddHBand="0" w:evenHBand="0" w:firstRowFirstColumn="0" w:firstRowLastColumn="0" w:lastRowFirstColumn="0" w:lastRowLastColumn="0"/>
            <w:tcW w:w="3192" w:type="dxa"/>
            <w:hideMark/>
          </w:tcPr>
          <w:p w14:paraId="0F32A82E" w14:textId="77777777" w:rsidR="00EB2548" w:rsidRPr="001C5FE3" w:rsidRDefault="00EB2548" w:rsidP="0006322D">
            <w:pPr>
              <w:rPr>
                <w:sz w:val="24"/>
                <w:szCs w:val="24"/>
              </w:rPr>
            </w:pPr>
            <w:r w:rsidRPr="001C5FE3">
              <w:rPr>
                <w:sz w:val="24"/>
                <w:szCs w:val="24"/>
              </w:rPr>
              <w:t>Actuarial value levels</w:t>
            </w:r>
          </w:p>
        </w:tc>
        <w:tc>
          <w:tcPr>
            <w:tcW w:w="3192" w:type="dxa"/>
            <w:hideMark/>
          </w:tcPr>
          <w:p w14:paraId="256A9699" w14:textId="77777777" w:rsidR="00EB2548" w:rsidRPr="00EE5F2B" w:rsidRDefault="00EB2548" w:rsidP="000632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Metallic levels (60%, 70%, 80% and 90%)</w:t>
            </w:r>
          </w:p>
        </w:tc>
        <w:tc>
          <w:tcPr>
            <w:tcW w:w="3192" w:type="dxa"/>
            <w:hideMark/>
          </w:tcPr>
          <w:p w14:paraId="052033AB" w14:textId="77777777" w:rsidR="00EB2548" w:rsidRPr="00EE5F2B" w:rsidRDefault="00EB2548" w:rsidP="0006322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Minimum of 60%</w:t>
            </w:r>
          </w:p>
        </w:tc>
      </w:tr>
      <w:tr w:rsidR="00EB2548" w:rsidRPr="00EE5F2B" w14:paraId="63F67908" w14:textId="77777777" w:rsidTr="0006322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192" w:type="dxa"/>
            <w:hideMark/>
          </w:tcPr>
          <w:p w14:paraId="7FCFC294" w14:textId="77777777" w:rsidR="00EB2548" w:rsidRPr="001C5FE3" w:rsidRDefault="00EB2548" w:rsidP="0006322D">
            <w:pPr>
              <w:rPr>
                <w:sz w:val="24"/>
                <w:szCs w:val="24"/>
              </w:rPr>
            </w:pPr>
            <w:r w:rsidRPr="001C5FE3">
              <w:rPr>
                <w:sz w:val="24"/>
                <w:szCs w:val="24"/>
              </w:rPr>
              <w:t>SHOP (Small Business Health Options Program) exchange</w:t>
            </w:r>
          </w:p>
        </w:tc>
        <w:tc>
          <w:tcPr>
            <w:tcW w:w="3192" w:type="dxa"/>
            <w:hideMark/>
          </w:tcPr>
          <w:p w14:paraId="6068B6A7" w14:textId="77777777" w:rsidR="00EB2548" w:rsidRPr="00EE5F2B" w:rsidRDefault="00EB2548" w:rsidP="0006322D">
            <w:pPr>
              <w:cnfStyle w:val="000000100000" w:firstRow="0" w:lastRow="0" w:firstColumn="0" w:lastColumn="0" w:oddVBand="0" w:evenVBand="0" w:oddHBand="1" w:evenHBand="0" w:firstRowFirstColumn="0" w:firstRowLastColumn="0" w:lastRowFirstColumn="0" w:lastRowLastColumn="0"/>
              <w:rPr>
                <w:sz w:val="24"/>
                <w:szCs w:val="24"/>
              </w:rPr>
            </w:pPr>
            <w:r w:rsidRPr="00EE5F2B">
              <w:rPr>
                <w:sz w:val="24"/>
                <w:szCs w:val="24"/>
              </w:rPr>
              <w:t>Yes</w:t>
            </w:r>
          </w:p>
        </w:tc>
        <w:tc>
          <w:tcPr>
            <w:tcW w:w="3192" w:type="dxa"/>
            <w:hideMark/>
          </w:tcPr>
          <w:p w14:paraId="2C340D7F" w14:textId="77777777" w:rsidR="00EB2548" w:rsidRPr="00EE5F2B" w:rsidRDefault="00EB2548" w:rsidP="0006322D">
            <w:pPr>
              <w:cnfStyle w:val="000000100000" w:firstRow="0" w:lastRow="0" w:firstColumn="0" w:lastColumn="0" w:oddVBand="0" w:evenVBand="0" w:oddHBand="1" w:evenHBand="0" w:firstRowFirstColumn="0" w:firstRowLastColumn="0" w:lastRowFirstColumn="0" w:lastRowLastColumn="0"/>
              <w:rPr>
                <w:sz w:val="24"/>
                <w:szCs w:val="24"/>
              </w:rPr>
            </w:pPr>
            <w:r w:rsidRPr="00EE5F2B">
              <w:rPr>
                <w:sz w:val="24"/>
                <w:szCs w:val="24"/>
              </w:rPr>
              <w:t>No</w:t>
            </w:r>
            <w:r>
              <w:rPr>
                <w:sz w:val="24"/>
                <w:szCs w:val="24"/>
              </w:rPr>
              <w:t>**</w:t>
            </w:r>
          </w:p>
        </w:tc>
      </w:tr>
    </w:tbl>
    <w:p w14:paraId="018E1515" w14:textId="77777777" w:rsidR="00EB2548" w:rsidRPr="009D27BC" w:rsidRDefault="00EB2548" w:rsidP="00EB2548">
      <w:pPr>
        <w:spacing w:after="0"/>
        <w:rPr>
          <w:rFonts w:cs="Arial"/>
          <w:sz w:val="18"/>
          <w:szCs w:val="18"/>
        </w:rPr>
      </w:pPr>
      <w:r w:rsidRPr="009D27BC">
        <w:rPr>
          <w:rFonts w:cs="Arial"/>
          <w:sz w:val="18"/>
          <w:szCs w:val="18"/>
          <w:vertAlign w:val="superscript"/>
        </w:rPr>
        <w:t>†</w:t>
      </w:r>
      <w:r>
        <w:rPr>
          <w:rFonts w:cs="Arial"/>
          <w:sz w:val="18"/>
          <w:szCs w:val="18"/>
        </w:rPr>
        <w:t>Include services like ambulatory patient services, emergency services, hospitalization, maternity and newborn care, and so on. It is different from the required “Preventive services” clause, which applies to all plans that are not grandfathered.</w:t>
      </w:r>
    </w:p>
    <w:p w14:paraId="42CB6CB1" w14:textId="77777777" w:rsidR="00EB2548" w:rsidRDefault="00EB2548" w:rsidP="00EB2548">
      <w:pPr>
        <w:spacing w:after="0"/>
        <w:rPr>
          <w:sz w:val="18"/>
          <w:szCs w:val="24"/>
        </w:rPr>
      </w:pPr>
      <w:r w:rsidRPr="00B230AB">
        <w:rPr>
          <w:sz w:val="18"/>
          <w:szCs w:val="24"/>
        </w:rPr>
        <w:t>*Went into effect 1/1/2015 for firms with 100 or more FTEs and 1/1/2016 for firms with 50-99 FTEs</w:t>
      </w:r>
    </w:p>
    <w:p w14:paraId="1115A6A2" w14:textId="77777777" w:rsidR="00EB2548" w:rsidRDefault="00EB2548" w:rsidP="00EB2548">
      <w:pPr>
        <w:rPr>
          <w:sz w:val="24"/>
          <w:szCs w:val="24"/>
        </w:rPr>
      </w:pPr>
      <w:r w:rsidRPr="00DB024A">
        <w:rPr>
          <w:sz w:val="18"/>
          <w:szCs w:val="24"/>
        </w:rPr>
        <w:t>**Beginning 2017, states have the option to allow health insurance companies to offer plans for large group on the exchange. If a state adopts this option, all fully-insured plans sold to large group in that state will then be subject to the same restrictions as small group.</w:t>
      </w:r>
    </w:p>
    <w:p w14:paraId="71EAC78D" w14:textId="77777777" w:rsidR="000C75A3" w:rsidRDefault="000C75A3">
      <w:pPr>
        <w:rPr>
          <w:sz w:val="24"/>
          <w:szCs w:val="24"/>
        </w:rPr>
      </w:pPr>
      <w:r>
        <w:rPr>
          <w:sz w:val="24"/>
          <w:szCs w:val="24"/>
        </w:rPr>
        <w:br w:type="page"/>
      </w:r>
    </w:p>
    <w:p w14:paraId="56F6502D" w14:textId="238FA382" w:rsidR="000C75A3" w:rsidRPr="00FF5043" w:rsidRDefault="000C75A3" w:rsidP="000C75A3">
      <w:pPr>
        <w:rPr>
          <w:b/>
          <w:i/>
          <w:sz w:val="24"/>
          <w:szCs w:val="24"/>
        </w:rPr>
      </w:pPr>
      <w:r>
        <w:rPr>
          <w:b/>
          <w:i/>
          <w:sz w:val="24"/>
          <w:szCs w:val="24"/>
        </w:rPr>
        <w:lastRenderedPageBreak/>
        <w:t>Exhibit</w:t>
      </w:r>
      <w:r w:rsidRPr="007D4076">
        <w:rPr>
          <w:b/>
          <w:i/>
          <w:sz w:val="24"/>
          <w:szCs w:val="24"/>
        </w:rPr>
        <w:t xml:space="preserve"> </w:t>
      </w:r>
      <w:r>
        <w:rPr>
          <w:b/>
          <w:i/>
          <w:sz w:val="24"/>
          <w:szCs w:val="24"/>
        </w:rPr>
        <w:t>3</w:t>
      </w:r>
      <w:r w:rsidRPr="007D4076">
        <w:rPr>
          <w:b/>
          <w:i/>
          <w:sz w:val="24"/>
          <w:szCs w:val="24"/>
        </w:rPr>
        <w:t>:</w:t>
      </w:r>
      <w:r w:rsidR="0099602D">
        <w:rPr>
          <w:b/>
          <w:i/>
          <w:sz w:val="24"/>
          <w:szCs w:val="24"/>
        </w:rPr>
        <w:t xml:space="preserve"> Availability of ESI </w:t>
      </w:r>
      <w:r w:rsidR="00A91E2E">
        <w:rPr>
          <w:b/>
          <w:i/>
          <w:sz w:val="24"/>
          <w:szCs w:val="24"/>
        </w:rPr>
        <w:t>by firm size</w:t>
      </w:r>
      <w:r>
        <w:rPr>
          <w:b/>
          <w:i/>
          <w:sz w:val="24"/>
          <w:szCs w:val="24"/>
        </w:rPr>
        <w:t xml:space="preserve"> from 2007 to 2015</w:t>
      </w:r>
    </w:p>
    <w:p w14:paraId="426EB42D" w14:textId="154591FA" w:rsidR="000C75A3" w:rsidRDefault="00BE2B15" w:rsidP="000C75A3">
      <w:r w:rsidRPr="00BE2B15">
        <w:rPr>
          <w:noProof/>
        </w:rPr>
        <w:drawing>
          <wp:inline distT="0" distB="0" distL="0" distR="0" wp14:anchorId="38B5A8FE" wp14:editId="35C9AED9">
            <wp:extent cx="512064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0640" cy="3752850"/>
                    </a:xfrm>
                    <a:prstGeom prst="rect">
                      <a:avLst/>
                    </a:prstGeom>
                    <a:noFill/>
                    <a:ln>
                      <a:noFill/>
                    </a:ln>
                  </pic:spPr>
                </pic:pic>
              </a:graphicData>
            </a:graphic>
          </wp:inline>
        </w:drawing>
      </w:r>
    </w:p>
    <w:p w14:paraId="37286E0C" w14:textId="526A51AA" w:rsidR="000C75A3" w:rsidRDefault="000C75A3">
      <w:pPr>
        <w:rPr>
          <w:sz w:val="24"/>
          <w:szCs w:val="24"/>
        </w:rPr>
      </w:pPr>
      <w:r>
        <w:rPr>
          <w:sz w:val="24"/>
          <w:szCs w:val="24"/>
        </w:rPr>
        <w:br w:type="page"/>
      </w:r>
    </w:p>
    <w:p w14:paraId="39EE80EE" w14:textId="77777777" w:rsidR="000C75A3" w:rsidRPr="0047118B" w:rsidRDefault="000C75A3" w:rsidP="000C75A3">
      <w:pPr>
        <w:rPr>
          <w:b/>
        </w:rPr>
      </w:pPr>
      <w:r>
        <w:rPr>
          <w:b/>
          <w:i/>
          <w:sz w:val="24"/>
          <w:szCs w:val="24"/>
        </w:rPr>
        <w:lastRenderedPageBreak/>
        <w:t>Exhibit 4</w:t>
      </w:r>
      <w:r w:rsidRPr="009B1E42">
        <w:rPr>
          <w:b/>
          <w:i/>
          <w:sz w:val="24"/>
          <w:szCs w:val="24"/>
        </w:rPr>
        <w:t xml:space="preserve">: </w:t>
      </w:r>
      <w:r>
        <w:rPr>
          <w:b/>
          <w:i/>
          <w:sz w:val="24"/>
          <w:szCs w:val="24"/>
        </w:rPr>
        <w:t>Inability to access care, delay to care and financial burden</w:t>
      </w:r>
      <w:r w:rsidRPr="009B1E42">
        <w:rPr>
          <w:b/>
          <w:i/>
          <w:sz w:val="24"/>
          <w:szCs w:val="24"/>
        </w:rPr>
        <w:t xml:space="preserve"> by firm size</w:t>
      </w:r>
      <w:r>
        <w:rPr>
          <w:b/>
          <w:i/>
          <w:sz w:val="24"/>
          <w:szCs w:val="24"/>
        </w:rPr>
        <w:t xml:space="preserve"> from 2007 to 2015</w:t>
      </w:r>
    </w:p>
    <w:p w14:paraId="0DD5026E" w14:textId="12DBF59A" w:rsidR="000C75A3" w:rsidRDefault="008D447E" w:rsidP="000C75A3">
      <w:r w:rsidRPr="008D447E">
        <w:rPr>
          <w:noProof/>
        </w:rPr>
        <w:drawing>
          <wp:inline distT="0" distB="0" distL="0" distR="0" wp14:anchorId="7E9269B9" wp14:editId="19B6BF77">
            <wp:extent cx="512064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0640" cy="3752850"/>
                    </a:xfrm>
                    <a:prstGeom prst="rect">
                      <a:avLst/>
                    </a:prstGeom>
                    <a:noFill/>
                    <a:ln>
                      <a:noFill/>
                    </a:ln>
                  </pic:spPr>
                </pic:pic>
              </a:graphicData>
            </a:graphic>
          </wp:inline>
        </w:drawing>
      </w:r>
    </w:p>
    <w:p w14:paraId="3FCAF2E1" w14:textId="77777777" w:rsidR="000C75A3" w:rsidRDefault="000C75A3" w:rsidP="000C75A3">
      <w:pPr>
        <w:rPr>
          <w:sz w:val="24"/>
          <w:szCs w:val="24"/>
        </w:rPr>
      </w:pPr>
    </w:p>
    <w:p w14:paraId="53CBC46B" w14:textId="4B3B18A8" w:rsidR="000C75A3" w:rsidRDefault="000C75A3">
      <w:pPr>
        <w:rPr>
          <w:sz w:val="24"/>
          <w:szCs w:val="24"/>
        </w:rPr>
      </w:pPr>
      <w:r>
        <w:rPr>
          <w:sz w:val="24"/>
          <w:szCs w:val="24"/>
        </w:rPr>
        <w:br w:type="page"/>
      </w:r>
    </w:p>
    <w:p w14:paraId="352DD26D" w14:textId="77777777" w:rsidR="00EB2548" w:rsidRDefault="00EB2548">
      <w:pPr>
        <w:rPr>
          <w:sz w:val="24"/>
          <w:szCs w:val="24"/>
        </w:rPr>
      </w:pPr>
    </w:p>
    <w:p w14:paraId="10591C9D" w14:textId="5F82F2FC" w:rsidR="004F461F" w:rsidRDefault="004F461F" w:rsidP="004F461F">
      <w:pPr>
        <w:rPr>
          <w:sz w:val="24"/>
          <w:szCs w:val="24"/>
        </w:rPr>
      </w:pPr>
      <w:r w:rsidRPr="00D5417C">
        <w:rPr>
          <w:b/>
          <w:i/>
          <w:sz w:val="24"/>
          <w:szCs w:val="24"/>
        </w:rPr>
        <w:t xml:space="preserve">Exhibit </w:t>
      </w:r>
      <w:r w:rsidR="000C75A3">
        <w:rPr>
          <w:b/>
          <w:i/>
          <w:sz w:val="24"/>
          <w:szCs w:val="24"/>
        </w:rPr>
        <w:t>5</w:t>
      </w:r>
      <w:r w:rsidRPr="00D5417C">
        <w:rPr>
          <w:b/>
          <w:i/>
          <w:sz w:val="24"/>
          <w:szCs w:val="24"/>
        </w:rPr>
        <w:t xml:space="preserve">: </w:t>
      </w:r>
      <w:r>
        <w:rPr>
          <w:b/>
          <w:i/>
          <w:sz w:val="24"/>
          <w:szCs w:val="24"/>
        </w:rPr>
        <w:t>Difference-in-Difference (DD)</w:t>
      </w:r>
      <w:r w:rsidRPr="00D5417C">
        <w:rPr>
          <w:b/>
          <w:i/>
          <w:sz w:val="24"/>
          <w:szCs w:val="24"/>
        </w:rPr>
        <w:t xml:space="preserve"> effects of pre and po</w:t>
      </w:r>
      <w:r w:rsidR="00C04D92">
        <w:rPr>
          <w:b/>
          <w:i/>
          <w:sz w:val="24"/>
          <w:szCs w:val="24"/>
        </w:rPr>
        <w:t>st ACA on small-</w:t>
      </w:r>
      <w:r w:rsidRPr="00D5417C">
        <w:rPr>
          <w:b/>
          <w:i/>
          <w:sz w:val="24"/>
          <w:szCs w:val="24"/>
        </w:rPr>
        <w:t>group versus large</w:t>
      </w:r>
      <w:r w:rsidR="00C04D92">
        <w:rPr>
          <w:b/>
          <w:i/>
          <w:sz w:val="24"/>
          <w:szCs w:val="24"/>
        </w:rPr>
        <w:t>-</w:t>
      </w:r>
      <w:r w:rsidRPr="00D5417C">
        <w:rPr>
          <w:b/>
          <w:i/>
          <w:sz w:val="24"/>
          <w:szCs w:val="24"/>
        </w:rPr>
        <w:t>group</w:t>
      </w:r>
      <w:r w:rsidR="00C04D92">
        <w:rPr>
          <w:b/>
          <w:i/>
          <w:sz w:val="24"/>
          <w:szCs w:val="24"/>
        </w:rPr>
        <w:t xml:space="preserve"> employees</w:t>
      </w:r>
      <w:r>
        <w:rPr>
          <w:sz w:val="24"/>
          <w:szCs w:val="24"/>
        </w:rPr>
        <w:t xml:space="preserve"> </w:t>
      </w:r>
      <w:r>
        <w:rPr>
          <w:b/>
          <w:i/>
          <w:sz w:val="24"/>
        </w:rPr>
        <w:t>(using logistic regression, population weighted)</w:t>
      </w:r>
    </w:p>
    <w:tbl>
      <w:tblPr>
        <w:tblW w:w="9321" w:type="dxa"/>
        <w:tblLayout w:type="fixed"/>
        <w:tblLook w:val="04A0" w:firstRow="1" w:lastRow="0" w:firstColumn="1" w:lastColumn="0" w:noHBand="0" w:noVBand="1"/>
      </w:tblPr>
      <w:tblGrid>
        <w:gridCol w:w="1406"/>
        <w:gridCol w:w="1319"/>
        <w:gridCol w:w="1319"/>
        <w:gridCol w:w="1319"/>
        <w:gridCol w:w="1319"/>
        <w:gridCol w:w="1319"/>
        <w:gridCol w:w="1320"/>
      </w:tblGrid>
      <w:tr w:rsidR="004F461F" w:rsidRPr="009E5081" w14:paraId="46298AE2" w14:textId="77777777" w:rsidTr="0006322D">
        <w:trPr>
          <w:trHeight w:val="70"/>
        </w:trPr>
        <w:tc>
          <w:tcPr>
            <w:tcW w:w="1406" w:type="dxa"/>
            <w:tcBorders>
              <w:top w:val="nil"/>
              <w:left w:val="nil"/>
              <w:bottom w:val="nil"/>
              <w:right w:val="nil"/>
            </w:tcBorders>
            <w:shd w:val="clear" w:color="auto" w:fill="auto"/>
            <w:noWrap/>
            <w:vAlign w:val="bottom"/>
            <w:hideMark/>
          </w:tcPr>
          <w:p w14:paraId="45AB6144" w14:textId="77777777" w:rsidR="004F461F" w:rsidRPr="009E5081" w:rsidRDefault="004F461F" w:rsidP="0006322D">
            <w:pPr>
              <w:spacing w:after="0" w:line="240" w:lineRule="auto"/>
              <w:rPr>
                <w:rFonts w:ascii="Times New Roman" w:eastAsia="Times New Roman" w:hAnsi="Times New Roman" w:cs="Times New Roman"/>
                <w:sz w:val="24"/>
                <w:szCs w:val="24"/>
              </w:rPr>
            </w:pPr>
          </w:p>
        </w:tc>
        <w:tc>
          <w:tcPr>
            <w:tcW w:w="1319" w:type="dxa"/>
            <w:tcBorders>
              <w:top w:val="single" w:sz="8" w:space="0" w:color="auto"/>
              <w:left w:val="nil"/>
              <w:bottom w:val="single" w:sz="4" w:space="0" w:color="auto"/>
              <w:right w:val="nil"/>
            </w:tcBorders>
            <w:shd w:val="clear" w:color="auto" w:fill="auto"/>
            <w:noWrap/>
            <w:vAlign w:val="bottom"/>
            <w:hideMark/>
          </w:tcPr>
          <w:p w14:paraId="5ABF55D1" w14:textId="77777777" w:rsidR="004F461F" w:rsidRPr="009E5081" w:rsidRDefault="004F461F" w:rsidP="0006322D">
            <w:pPr>
              <w:spacing w:after="0" w:line="240" w:lineRule="auto"/>
              <w:jc w:val="center"/>
              <w:rPr>
                <w:rFonts w:ascii="Calibri" w:eastAsia="Times New Roman" w:hAnsi="Calibri" w:cs="Times New Roman"/>
                <w:color w:val="000000"/>
              </w:rPr>
            </w:pPr>
            <w:r w:rsidRPr="009E5081">
              <w:rPr>
                <w:rFonts w:ascii="Calibri" w:eastAsia="Times New Roman" w:hAnsi="Calibri" w:cs="Times New Roman"/>
                <w:color w:val="000000"/>
              </w:rPr>
              <w:t>(1)</w:t>
            </w:r>
          </w:p>
        </w:tc>
        <w:tc>
          <w:tcPr>
            <w:tcW w:w="1319" w:type="dxa"/>
            <w:tcBorders>
              <w:top w:val="single" w:sz="8" w:space="0" w:color="auto"/>
              <w:left w:val="nil"/>
              <w:bottom w:val="single" w:sz="4" w:space="0" w:color="auto"/>
              <w:right w:val="nil"/>
            </w:tcBorders>
            <w:shd w:val="clear" w:color="auto" w:fill="auto"/>
            <w:noWrap/>
            <w:vAlign w:val="bottom"/>
            <w:hideMark/>
          </w:tcPr>
          <w:p w14:paraId="794C087E" w14:textId="77777777" w:rsidR="004F461F" w:rsidRPr="009E5081" w:rsidRDefault="004F461F" w:rsidP="0006322D">
            <w:pPr>
              <w:spacing w:after="0" w:line="240" w:lineRule="auto"/>
              <w:jc w:val="center"/>
              <w:rPr>
                <w:rFonts w:ascii="Calibri" w:eastAsia="Times New Roman" w:hAnsi="Calibri" w:cs="Times New Roman"/>
                <w:color w:val="000000"/>
              </w:rPr>
            </w:pPr>
            <w:r w:rsidRPr="009E5081">
              <w:rPr>
                <w:rFonts w:ascii="Calibri" w:eastAsia="Times New Roman" w:hAnsi="Calibri" w:cs="Times New Roman"/>
                <w:color w:val="000000"/>
              </w:rPr>
              <w:t>(2)</w:t>
            </w:r>
          </w:p>
        </w:tc>
        <w:tc>
          <w:tcPr>
            <w:tcW w:w="1319" w:type="dxa"/>
            <w:tcBorders>
              <w:top w:val="single" w:sz="8" w:space="0" w:color="auto"/>
              <w:left w:val="nil"/>
              <w:bottom w:val="single" w:sz="4" w:space="0" w:color="auto"/>
              <w:right w:val="nil"/>
            </w:tcBorders>
            <w:shd w:val="clear" w:color="auto" w:fill="auto"/>
            <w:noWrap/>
            <w:vAlign w:val="bottom"/>
            <w:hideMark/>
          </w:tcPr>
          <w:p w14:paraId="74EEB43E" w14:textId="77777777" w:rsidR="004F461F" w:rsidRPr="009E5081" w:rsidRDefault="004F461F" w:rsidP="0006322D">
            <w:pPr>
              <w:spacing w:after="0" w:line="240" w:lineRule="auto"/>
              <w:jc w:val="center"/>
              <w:rPr>
                <w:rFonts w:ascii="Calibri" w:eastAsia="Times New Roman" w:hAnsi="Calibri" w:cs="Times New Roman"/>
                <w:color w:val="000000"/>
              </w:rPr>
            </w:pPr>
            <w:r w:rsidRPr="009E5081">
              <w:rPr>
                <w:rFonts w:ascii="Calibri" w:eastAsia="Times New Roman" w:hAnsi="Calibri" w:cs="Times New Roman"/>
                <w:color w:val="000000"/>
              </w:rPr>
              <w:t>(3)</w:t>
            </w:r>
          </w:p>
        </w:tc>
        <w:tc>
          <w:tcPr>
            <w:tcW w:w="1319" w:type="dxa"/>
            <w:tcBorders>
              <w:top w:val="single" w:sz="8" w:space="0" w:color="auto"/>
              <w:left w:val="nil"/>
              <w:bottom w:val="single" w:sz="4" w:space="0" w:color="auto"/>
              <w:right w:val="nil"/>
            </w:tcBorders>
            <w:shd w:val="clear" w:color="auto" w:fill="auto"/>
            <w:noWrap/>
            <w:vAlign w:val="bottom"/>
            <w:hideMark/>
          </w:tcPr>
          <w:p w14:paraId="0485B313" w14:textId="77777777" w:rsidR="004F461F" w:rsidRPr="009E5081" w:rsidRDefault="004F461F" w:rsidP="0006322D">
            <w:pPr>
              <w:spacing w:after="0" w:line="240" w:lineRule="auto"/>
              <w:jc w:val="center"/>
              <w:rPr>
                <w:rFonts w:ascii="Calibri" w:eastAsia="Times New Roman" w:hAnsi="Calibri" w:cs="Times New Roman"/>
                <w:color w:val="000000"/>
              </w:rPr>
            </w:pPr>
            <w:r w:rsidRPr="009E5081">
              <w:rPr>
                <w:rFonts w:ascii="Calibri" w:eastAsia="Times New Roman" w:hAnsi="Calibri" w:cs="Times New Roman"/>
                <w:color w:val="000000"/>
              </w:rPr>
              <w:t>(4)</w:t>
            </w:r>
          </w:p>
        </w:tc>
        <w:tc>
          <w:tcPr>
            <w:tcW w:w="1319" w:type="dxa"/>
            <w:tcBorders>
              <w:top w:val="single" w:sz="8" w:space="0" w:color="auto"/>
              <w:left w:val="nil"/>
              <w:bottom w:val="single" w:sz="4" w:space="0" w:color="auto"/>
              <w:right w:val="nil"/>
            </w:tcBorders>
            <w:shd w:val="clear" w:color="auto" w:fill="auto"/>
            <w:noWrap/>
            <w:vAlign w:val="bottom"/>
            <w:hideMark/>
          </w:tcPr>
          <w:p w14:paraId="18339FD2" w14:textId="77777777" w:rsidR="004F461F" w:rsidRPr="009E5081" w:rsidRDefault="004F461F" w:rsidP="0006322D">
            <w:pPr>
              <w:spacing w:after="0" w:line="240" w:lineRule="auto"/>
              <w:jc w:val="center"/>
              <w:rPr>
                <w:rFonts w:ascii="Calibri" w:eastAsia="Times New Roman" w:hAnsi="Calibri" w:cs="Times New Roman"/>
                <w:color w:val="000000"/>
              </w:rPr>
            </w:pPr>
            <w:r w:rsidRPr="009E5081">
              <w:rPr>
                <w:rFonts w:ascii="Calibri" w:eastAsia="Times New Roman" w:hAnsi="Calibri" w:cs="Times New Roman"/>
                <w:color w:val="000000"/>
              </w:rPr>
              <w:t>(5)</w:t>
            </w:r>
          </w:p>
        </w:tc>
        <w:tc>
          <w:tcPr>
            <w:tcW w:w="1320" w:type="dxa"/>
            <w:tcBorders>
              <w:top w:val="single" w:sz="8" w:space="0" w:color="auto"/>
              <w:left w:val="nil"/>
              <w:bottom w:val="single" w:sz="4" w:space="0" w:color="auto"/>
              <w:right w:val="nil"/>
            </w:tcBorders>
            <w:shd w:val="clear" w:color="auto" w:fill="auto"/>
            <w:noWrap/>
            <w:vAlign w:val="bottom"/>
            <w:hideMark/>
          </w:tcPr>
          <w:p w14:paraId="0F86EC72" w14:textId="77777777" w:rsidR="004F461F" w:rsidRPr="009E5081" w:rsidRDefault="004F461F" w:rsidP="0006322D">
            <w:pPr>
              <w:spacing w:after="0" w:line="240" w:lineRule="auto"/>
              <w:jc w:val="center"/>
              <w:rPr>
                <w:rFonts w:ascii="Calibri" w:eastAsia="Times New Roman" w:hAnsi="Calibri" w:cs="Times New Roman"/>
                <w:color w:val="000000"/>
              </w:rPr>
            </w:pPr>
            <w:r w:rsidRPr="009E5081">
              <w:rPr>
                <w:rFonts w:ascii="Calibri" w:eastAsia="Times New Roman" w:hAnsi="Calibri" w:cs="Times New Roman"/>
                <w:color w:val="000000"/>
              </w:rPr>
              <w:t>(6)</w:t>
            </w:r>
          </w:p>
        </w:tc>
      </w:tr>
      <w:tr w:rsidR="004F461F" w:rsidRPr="009E5081" w14:paraId="029387A5" w14:textId="77777777" w:rsidTr="0006322D">
        <w:trPr>
          <w:trHeight w:val="782"/>
        </w:trPr>
        <w:tc>
          <w:tcPr>
            <w:tcW w:w="1406" w:type="dxa"/>
            <w:tcBorders>
              <w:top w:val="nil"/>
              <w:left w:val="nil"/>
              <w:bottom w:val="single" w:sz="8" w:space="0" w:color="auto"/>
              <w:right w:val="nil"/>
            </w:tcBorders>
            <w:shd w:val="clear" w:color="auto" w:fill="auto"/>
            <w:noWrap/>
            <w:vAlign w:val="bottom"/>
            <w:hideMark/>
          </w:tcPr>
          <w:p w14:paraId="42C1E627" w14:textId="77777777" w:rsidR="004F461F" w:rsidRPr="009E5081" w:rsidRDefault="004F461F" w:rsidP="0006322D">
            <w:pPr>
              <w:spacing w:after="0" w:line="240" w:lineRule="auto"/>
              <w:rPr>
                <w:rFonts w:ascii="Calibri" w:eastAsia="Times New Roman" w:hAnsi="Calibri" w:cs="Times New Roman"/>
                <w:color w:val="000000"/>
              </w:rPr>
            </w:pPr>
            <w:r w:rsidRPr="009E5081">
              <w:rPr>
                <w:rFonts w:ascii="Calibri" w:eastAsia="Times New Roman" w:hAnsi="Calibri" w:cs="Times New Roman"/>
                <w:color w:val="000000"/>
              </w:rPr>
              <w:t> </w:t>
            </w:r>
          </w:p>
        </w:tc>
        <w:tc>
          <w:tcPr>
            <w:tcW w:w="1319" w:type="dxa"/>
            <w:tcBorders>
              <w:top w:val="nil"/>
              <w:left w:val="nil"/>
              <w:bottom w:val="single" w:sz="8" w:space="0" w:color="auto"/>
              <w:right w:val="nil"/>
            </w:tcBorders>
            <w:shd w:val="clear" w:color="auto" w:fill="auto"/>
            <w:vAlign w:val="bottom"/>
            <w:hideMark/>
          </w:tcPr>
          <w:p w14:paraId="23A74F25" w14:textId="77777777" w:rsidR="004F461F" w:rsidRPr="009E5081" w:rsidRDefault="004F461F" w:rsidP="0006322D">
            <w:pPr>
              <w:spacing w:after="0" w:line="240" w:lineRule="auto"/>
              <w:jc w:val="center"/>
              <w:rPr>
                <w:rFonts w:ascii="Calibri" w:eastAsia="Times New Roman" w:hAnsi="Calibri" w:cs="Times New Roman"/>
                <w:b/>
                <w:color w:val="000000"/>
              </w:rPr>
            </w:pPr>
            <w:r w:rsidRPr="009E5081">
              <w:rPr>
                <w:rFonts w:ascii="Calibri" w:eastAsia="Times New Roman" w:hAnsi="Calibri" w:cs="Times New Roman"/>
                <w:b/>
                <w:color w:val="000000"/>
              </w:rPr>
              <w:t>Availability of ESI offer</w:t>
            </w:r>
          </w:p>
        </w:tc>
        <w:tc>
          <w:tcPr>
            <w:tcW w:w="1319" w:type="dxa"/>
            <w:tcBorders>
              <w:top w:val="nil"/>
              <w:left w:val="nil"/>
              <w:bottom w:val="single" w:sz="8" w:space="0" w:color="auto"/>
              <w:right w:val="nil"/>
            </w:tcBorders>
            <w:shd w:val="clear" w:color="auto" w:fill="auto"/>
            <w:vAlign w:val="bottom"/>
            <w:hideMark/>
          </w:tcPr>
          <w:p w14:paraId="64940446" w14:textId="77777777" w:rsidR="004F461F" w:rsidRPr="009E5081" w:rsidRDefault="004F461F" w:rsidP="0006322D">
            <w:pPr>
              <w:spacing w:after="0" w:line="240" w:lineRule="auto"/>
              <w:jc w:val="center"/>
              <w:rPr>
                <w:rFonts w:ascii="Calibri" w:eastAsia="Times New Roman" w:hAnsi="Calibri" w:cs="Times New Roman"/>
                <w:b/>
                <w:color w:val="000000"/>
              </w:rPr>
            </w:pPr>
            <w:r w:rsidRPr="009E5081">
              <w:rPr>
                <w:rFonts w:ascii="Calibri" w:eastAsia="Times New Roman" w:hAnsi="Calibri" w:cs="Times New Roman"/>
                <w:b/>
                <w:color w:val="000000"/>
              </w:rPr>
              <w:t>ESI rate</w:t>
            </w:r>
          </w:p>
        </w:tc>
        <w:tc>
          <w:tcPr>
            <w:tcW w:w="1319" w:type="dxa"/>
            <w:tcBorders>
              <w:top w:val="nil"/>
              <w:left w:val="nil"/>
              <w:bottom w:val="single" w:sz="8" w:space="0" w:color="auto"/>
              <w:right w:val="nil"/>
            </w:tcBorders>
            <w:shd w:val="clear" w:color="auto" w:fill="auto"/>
            <w:vAlign w:val="bottom"/>
            <w:hideMark/>
          </w:tcPr>
          <w:p w14:paraId="1D74D65C" w14:textId="77777777" w:rsidR="004F461F" w:rsidRPr="009E5081" w:rsidRDefault="004F461F" w:rsidP="0006322D">
            <w:pPr>
              <w:spacing w:after="0" w:line="240" w:lineRule="auto"/>
              <w:jc w:val="center"/>
              <w:rPr>
                <w:rFonts w:ascii="Calibri" w:eastAsia="Times New Roman" w:hAnsi="Calibri" w:cs="Times New Roman"/>
                <w:b/>
                <w:color w:val="000000"/>
              </w:rPr>
            </w:pPr>
            <w:r w:rsidRPr="009E5081">
              <w:rPr>
                <w:rFonts w:ascii="Calibri" w:eastAsia="Times New Roman" w:hAnsi="Calibri" w:cs="Times New Roman"/>
                <w:b/>
                <w:color w:val="000000"/>
              </w:rPr>
              <w:t>Uninsured rate</w:t>
            </w:r>
          </w:p>
        </w:tc>
        <w:tc>
          <w:tcPr>
            <w:tcW w:w="1319" w:type="dxa"/>
            <w:tcBorders>
              <w:top w:val="nil"/>
              <w:left w:val="nil"/>
              <w:bottom w:val="single" w:sz="8" w:space="0" w:color="auto"/>
              <w:right w:val="nil"/>
            </w:tcBorders>
            <w:shd w:val="clear" w:color="auto" w:fill="auto"/>
            <w:vAlign w:val="bottom"/>
            <w:hideMark/>
          </w:tcPr>
          <w:p w14:paraId="2650549A" w14:textId="77777777" w:rsidR="004F461F" w:rsidRPr="009E5081" w:rsidRDefault="004F461F" w:rsidP="0006322D">
            <w:pPr>
              <w:spacing w:after="0" w:line="240" w:lineRule="auto"/>
              <w:jc w:val="center"/>
              <w:rPr>
                <w:rFonts w:ascii="Calibri" w:eastAsia="Times New Roman" w:hAnsi="Calibri" w:cs="Times New Roman"/>
                <w:b/>
                <w:color w:val="000000"/>
              </w:rPr>
            </w:pPr>
            <w:r w:rsidRPr="009E5081">
              <w:rPr>
                <w:rFonts w:ascii="Calibri" w:eastAsia="Times New Roman" w:hAnsi="Calibri" w:cs="Times New Roman"/>
                <w:b/>
                <w:color w:val="000000"/>
              </w:rPr>
              <w:t>Inability to access medical care</w:t>
            </w:r>
          </w:p>
        </w:tc>
        <w:tc>
          <w:tcPr>
            <w:tcW w:w="1319" w:type="dxa"/>
            <w:tcBorders>
              <w:top w:val="nil"/>
              <w:left w:val="nil"/>
              <w:bottom w:val="single" w:sz="8" w:space="0" w:color="auto"/>
              <w:right w:val="nil"/>
            </w:tcBorders>
            <w:shd w:val="clear" w:color="auto" w:fill="auto"/>
            <w:vAlign w:val="bottom"/>
            <w:hideMark/>
          </w:tcPr>
          <w:p w14:paraId="72CA4EDD" w14:textId="77777777" w:rsidR="004F461F" w:rsidRPr="009E5081" w:rsidRDefault="004F461F" w:rsidP="0006322D">
            <w:pPr>
              <w:spacing w:after="0" w:line="240" w:lineRule="auto"/>
              <w:jc w:val="center"/>
              <w:rPr>
                <w:rFonts w:ascii="Calibri" w:eastAsia="Times New Roman" w:hAnsi="Calibri" w:cs="Times New Roman"/>
                <w:b/>
                <w:color w:val="000000"/>
              </w:rPr>
            </w:pPr>
            <w:r w:rsidRPr="009E5081">
              <w:rPr>
                <w:rFonts w:ascii="Calibri" w:eastAsia="Times New Roman" w:hAnsi="Calibri" w:cs="Times New Roman"/>
                <w:b/>
                <w:color w:val="000000"/>
              </w:rPr>
              <w:t>Delay access to medical care</w:t>
            </w:r>
          </w:p>
        </w:tc>
        <w:tc>
          <w:tcPr>
            <w:tcW w:w="1320" w:type="dxa"/>
            <w:tcBorders>
              <w:top w:val="nil"/>
              <w:left w:val="nil"/>
              <w:bottom w:val="single" w:sz="8" w:space="0" w:color="auto"/>
              <w:right w:val="nil"/>
            </w:tcBorders>
            <w:shd w:val="clear" w:color="auto" w:fill="auto"/>
            <w:vAlign w:val="bottom"/>
            <w:hideMark/>
          </w:tcPr>
          <w:p w14:paraId="564079F5" w14:textId="77777777" w:rsidR="004F461F" w:rsidRPr="009E5081" w:rsidRDefault="004F461F" w:rsidP="0006322D">
            <w:pPr>
              <w:spacing w:after="0" w:line="240" w:lineRule="auto"/>
              <w:jc w:val="center"/>
              <w:rPr>
                <w:rFonts w:ascii="Calibri" w:eastAsia="Times New Roman" w:hAnsi="Calibri" w:cs="Times New Roman"/>
                <w:b/>
                <w:color w:val="000000"/>
              </w:rPr>
            </w:pPr>
            <w:r w:rsidRPr="009E5081">
              <w:rPr>
                <w:rFonts w:ascii="Calibri" w:eastAsia="Times New Roman" w:hAnsi="Calibri" w:cs="Times New Roman"/>
                <w:b/>
                <w:color w:val="000000"/>
              </w:rPr>
              <w:t>Financial burden</w:t>
            </w:r>
          </w:p>
        </w:tc>
      </w:tr>
      <w:tr w:rsidR="004F461F" w:rsidRPr="009E5081" w14:paraId="512FF8C4" w14:textId="77777777" w:rsidTr="0006322D">
        <w:trPr>
          <w:trHeight w:val="115"/>
        </w:trPr>
        <w:tc>
          <w:tcPr>
            <w:tcW w:w="1406" w:type="dxa"/>
            <w:tcBorders>
              <w:top w:val="nil"/>
              <w:left w:val="nil"/>
              <w:bottom w:val="nil"/>
              <w:right w:val="nil"/>
            </w:tcBorders>
            <w:shd w:val="clear" w:color="auto" w:fill="auto"/>
            <w:noWrap/>
            <w:vAlign w:val="bottom"/>
            <w:hideMark/>
          </w:tcPr>
          <w:p w14:paraId="70C77E09" w14:textId="77777777" w:rsidR="004F461F" w:rsidRPr="009E5081" w:rsidRDefault="004F461F" w:rsidP="0006322D">
            <w:pPr>
              <w:spacing w:after="0" w:line="240" w:lineRule="auto"/>
              <w:rPr>
                <w:rFonts w:ascii="Calibri" w:eastAsia="Times New Roman" w:hAnsi="Calibri" w:cs="Times New Roman"/>
                <w:color w:val="000000"/>
              </w:rPr>
            </w:pPr>
            <w:r>
              <w:rPr>
                <w:rFonts w:ascii="Calibri" w:eastAsia="Times New Roman" w:hAnsi="Calibri" w:cs="Times New Roman"/>
                <w:color w:val="000000"/>
              </w:rPr>
              <w:t>Large</w:t>
            </w:r>
            <w:r w:rsidRPr="009E5081">
              <w:rPr>
                <w:rFonts w:ascii="Calibri" w:eastAsia="Times New Roman" w:hAnsi="Calibri" w:cs="Times New Roman"/>
                <w:color w:val="000000"/>
              </w:rPr>
              <w:t xml:space="preserve"> group</w:t>
            </w:r>
          </w:p>
        </w:tc>
        <w:tc>
          <w:tcPr>
            <w:tcW w:w="1319" w:type="dxa"/>
            <w:tcBorders>
              <w:top w:val="nil"/>
              <w:left w:val="nil"/>
              <w:bottom w:val="nil"/>
              <w:right w:val="nil"/>
            </w:tcBorders>
            <w:shd w:val="clear" w:color="auto" w:fill="auto"/>
            <w:noWrap/>
            <w:vAlign w:val="bottom"/>
            <w:hideMark/>
          </w:tcPr>
          <w:p w14:paraId="303B08D9"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-0.23%</w:t>
            </w:r>
          </w:p>
        </w:tc>
        <w:tc>
          <w:tcPr>
            <w:tcW w:w="1319" w:type="dxa"/>
            <w:tcBorders>
              <w:top w:val="nil"/>
              <w:left w:val="nil"/>
              <w:bottom w:val="nil"/>
              <w:right w:val="nil"/>
            </w:tcBorders>
            <w:shd w:val="clear" w:color="auto" w:fill="auto"/>
            <w:noWrap/>
            <w:vAlign w:val="bottom"/>
            <w:hideMark/>
          </w:tcPr>
          <w:p w14:paraId="63CF34B0"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-1.82%</w:t>
            </w:r>
            <w:r>
              <w:rPr>
                <w:rFonts w:ascii="Calibri" w:eastAsia="Times New Roman" w:hAnsi="Calibri" w:cs="Times New Roman"/>
                <w:color w:val="000000"/>
              </w:rPr>
              <w:t>**</w:t>
            </w:r>
          </w:p>
        </w:tc>
        <w:tc>
          <w:tcPr>
            <w:tcW w:w="1319" w:type="dxa"/>
            <w:tcBorders>
              <w:top w:val="nil"/>
              <w:left w:val="nil"/>
              <w:bottom w:val="nil"/>
              <w:right w:val="nil"/>
            </w:tcBorders>
            <w:shd w:val="clear" w:color="auto" w:fill="auto"/>
            <w:noWrap/>
            <w:vAlign w:val="bottom"/>
            <w:hideMark/>
          </w:tcPr>
          <w:p w14:paraId="1F252532"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-1.80%</w:t>
            </w:r>
            <w:r>
              <w:rPr>
                <w:rFonts w:ascii="Calibri" w:eastAsia="Times New Roman" w:hAnsi="Calibri" w:cs="Times New Roman"/>
                <w:color w:val="000000"/>
              </w:rPr>
              <w:t>***</w:t>
            </w:r>
          </w:p>
        </w:tc>
        <w:tc>
          <w:tcPr>
            <w:tcW w:w="1319" w:type="dxa"/>
            <w:tcBorders>
              <w:top w:val="nil"/>
              <w:left w:val="nil"/>
              <w:bottom w:val="nil"/>
              <w:right w:val="nil"/>
            </w:tcBorders>
            <w:shd w:val="clear" w:color="auto" w:fill="auto"/>
            <w:noWrap/>
            <w:vAlign w:val="bottom"/>
            <w:hideMark/>
          </w:tcPr>
          <w:p w14:paraId="6F10C029"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-0.39%</w:t>
            </w:r>
          </w:p>
        </w:tc>
        <w:tc>
          <w:tcPr>
            <w:tcW w:w="1319" w:type="dxa"/>
            <w:tcBorders>
              <w:top w:val="nil"/>
              <w:left w:val="nil"/>
              <w:bottom w:val="nil"/>
              <w:right w:val="nil"/>
            </w:tcBorders>
            <w:shd w:val="clear" w:color="auto" w:fill="auto"/>
            <w:noWrap/>
            <w:vAlign w:val="bottom"/>
            <w:hideMark/>
          </w:tcPr>
          <w:p w14:paraId="70A8CC4B"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0.24%</w:t>
            </w:r>
          </w:p>
        </w:tc>
        <w:tc>
          <w:tcPr>
            <w:tcW w:w="1320" w:type="dxa"/>
            <w:tcBorders>
              <w:top w:val="nil"/>
              <w:left w:val="nil"/>
              <w:bottom w:val="nil"/>
              <w:right w:val="nil"/>
            </w:tcBorders>
            <w:shd w:val="clear" w:color="auto" w:fill="auto"/>
            <w:noWrap/>
            <w:vAlign w:val="bottom"/>
            <w:hideMark/>
          </w:tcPr>
          <w:p w14:paraId="16B24C90"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-0.33%</w:t>
            </w:r>
          </w:p>
        </w:tc>
      </w:tr>
      <w:tr w:rsidR="004F461F" w:rsidRPr="009E5081" w14:paraId="3233ADCD" w14:textId="77777777" w:rsidTr="0006322D">
        <w:trPr>
          <w:trHeight w:val="333"/>
        </w:trPr>
        <w:tc>
          <w:tcPr>
            <w:tcW w:w="1406" w:type="dxa"/>
            <w:tcBorders>
              <w:top w:val="nil"/>
              <w:left w:val="nil"/>
              <w:bottom w:val="nil"/>
              <w:right w:val="nil"/>
            </w:tcBorders>
            <w:shd w:val="clear" w:color="auto" w:fill="auto"/>
            <w:noWrap/>
            <w:vAlign w:val="bottom"/>
            <w:hideMark/>
          </w:tcPr>
          <w:p w14:paraId="386769D8" w14:textId="77777777" w:rsidR="004F461F" w:rsidRPr="009E5081" w:rsidRDefault="004F461F" w:rsidP="0006322D">
            <w:pPr>
              <w:spacing w:after="0" w:line="240" w:lineRule="auto"/>
              <w:rPr>
                <w:rFonts w:ascii="Calibri" w:eastAsia="Times New Roman" w:hAnsi="Calibri" w:cs="Times New Roman"/>
                <w:color w:val="000000"/>
              </w:rPr>
            </w:pPr>
            <w:r>
              <w:rPr>
                <w:rFonts w:ascii="Calibri" w:eastAsia="Times New Roman" w:hAnsi="Calibri" w:cs="Times New Roman"/>
                <w:color w:val="000000"/>
              </w:rPr>
              <w:t>Small</w:t>
            </w:r>
            <w:r w:rsidRPr="009E5081">
              <w:rPr>
                <w:rFonts w:ascii="Calibri" w:eastAsia="Times New Roman" w:hAnsi="Calibri" w:cs="Times New Roman"/>
                <w:color w:val="000000"/>
              </w:rPr>
              <w:t xml:space="preserve"> group</w:t>
            </w:r>
          </w:p>
        </w:tc>
        <w:tc>
          <w:tcPr>
            <w:tcW w:w="1319" w:type="dxa"/>
            <w:tcBorders>
              <w:top w:val="nil"/>
              <w:left w:val="nil"/>
              <w:bottom w:val="nil"/>
              <w:right w:val="nil"/>
            </w:tcBorders>
            <w:shd w:val="clear" w:color="auto" w:fill="auto"/>
            <w:noWrap/>
            <w:vAlign w:val="bottom"/>
            <w:hideMark/>
          </w:tcPr>
          <w:p w14:paraId="725459DC"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-1.31%</w:t>
            </w:r>
          </w:p>
        </w:tc>
        <w:tc>
          <w:tcPr>
            <w:tcW w:w="1319" w:type="dxa"/>
            <w:tcBorders>
              <w:top w:val="nil"/>
              <w:left w:val="nil"/>
              <w:bottom w:val="nil"/>
              <w:right w:val="nil"/>
            </w:tcBorders>
            <w:shd w:val="clear" w:color="auto" w:fill="auto"/>
            <w:noWrap/>
            <w:vAlign w:val="bottom"/>
            <w:hideMark/>
          </w:tcPr>
          <w:p w14:paraId="29083752"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-2.46%</w:t>
            </w:r>
            <w:r>
              <w:rPr>
                <w:rFonts w:ascii="Calibri" w:eastAsia="Times New Roman" w:hAnsi="Calibri" w:cs="Times New Roman"/>
                <w:color w:val="000000"/>
              </w:rPr>
              <w:t>*</w:t>
            </w:r>
          </w:p>
        </w:tc>
        <w:tc>
          <w:tcPr>
            <w:tcW w:w="1319" w:type="dxa"/>
            <w:tcBorders>
              <w:top w:val="nil"/>
              <w:left w:val="nil"/>
              <w:bottom w:val="nil"/>
              <w:right w:val="nil"/>
            </w:tcBorders>
            <w:shd w:val="clear" w:color="auto" w:fill="auto"/>
            <w:noWrap/>
            <w:vAlign w:val="bottom"/>
            <w:hideMark/>
          </w:tcPr>
          <w:p w14:paraId="3B3F1BEE"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-4.80%</w:t>
            </w:r>
            <w:r>
              <w:rPr>
                <w:rFonts w:ascii="Calibri" w:eastAsia="Times New Roman" w:hAnsi="Calibri" w:cs="Times New Roman"/>
                <w:color w:val="000000"/>
              </w:rPr>
              <w:t>***</w:t>
            </w:r>
          </w:p>
        </w:tc>
        <w:tc>
          <w:tcPr>
            <w:tcW w:w="1319" w:type="dxa"/>
            <w:tcBorders>
              <w:top w:val="nil"/>
              <w:left w:val="nil"/>
              <w:bottom w:val="nil"/>
              <w:right w:val="nil"/>
            </w:tcBorders>
            <w:shd w:val="clear" w:color="auto" w:fill="auto"/>
            <w:noWrap/>
            <w:vAlign w:val="bottom"/>
            <w:hideMark/>
          </w:tcPr>
          <w:p w14:paraId="7F1F5CD0"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-0.75%</w:t>
            </w:r>
            <w:r>
              <w:rPr>
                <w:rFonts w:ascii="Calibri" w:eastAsia="Times New Roman" w:hAnsi="Calibri" w:cs="Times New Roman"/>
                <w:color w:val="000000"/>
              </w:rPr>
              <w:t>*</w:t>
            </w:r>
          </w:p>
        </w:tc>
        <w:tc>
          <w:tcPr>
            <w:tcW w:w="1319" w:type="dxa"/>
            <w:tcBorders>
              <w:top w:val="nil"/>
              <w:left w:val="nil"/>
              <w:bottom w:val="nil"/>
              <w:right w:val="nil"/>
            </w:tcBorders>
            <w:shd w:val="clear" w:color="auto" w:fill="auto"/>
            <w:noWrap/>
            <w:vAlign w:val="bottom"/>
            <w:hideMark/>
          </w:tcPr>
          <w:p w14:paraId="71389238"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-0.19%</w:t>
            </w:r>
          </w:p>
        </w:tc>
        <w:tc>
          <w:tcPr>
            <w:tcW w:w="1320" w:type="dxa"/>
            <w:tcBorders>
              <w:top w:val="nil"/>
              <w:left w:val="nil"/>
              <w:bottom w:val="nil"/>
              <w:right w:val="nil"/>
            </w:tcBorders>
            <w:shd w:val="clear" w:color="auto" w:fill="auto"/>
            <w:noWrap/>
            <w:vAlign w:val="bottom"/>
            <w:hideMark/>
          </w:tcPr>
          <w:p w14:paraId="224E5586" w14:textId="77777777" w:rsidR="004F461F" w:rsidRPr="009E5081" w:rsidRDefault="004F461F" w:rsidP="0006322D">
            <w:pPr>
              <w:spacing w:after="0" w:line="240" w:lineRule="auto"/>
              <w:jc w:val="right"/>
              <w:rPr>
                <w:rFonts w:ascii="Calibri" w:eastAsia="Times New Roman" w:hAnsi="Calibri" w:cs="Times New Roman"/>
                <w:color w:val="000000"/>
              </w:rPr>
            </w:pPr>
            <w:r w:rsidRPr="009E5081">
              <w:rPr>
                <w:rFonts w:ascii="Calibri" w:eastAsia="Times New Roman" w:hAnsi="Calibri" w:cs="Times New Roman"/>
                <w:color w:val="000000"/>
              </w:rPr>
              <w:t>-0.67%</w:t>
            </w:r>
            <w:r>
              <w:rPr>
                <w:rFonts w:ascii="Calibri" w:eastAsia="Times New Roman" w:hAnsi="Calibri" w:cs="Times New Roman"/>
                <w:color w:val="000000"/>
              </w:rPr>
              <w:t>*</w:t>
            </w:r>
          </w:p>
        </w:tc>
      </w:tr>
      <w:tr w:rsidR="004F461F" w:rsidRPr="009E5081" w14:paraId="24AC6DEB" w14:textId="77777777" w:rsidTr="0006322D">
        <w:trPr>
          <w:trHeight w:val="179"/>
        </w:trPr>
        <w:tc>
          <w:tcPr>
            <w:tcW w:w="1406" w:type="dxa"/>
            <w:tcBorders>
              <w:top w:val="single" w:sz="4" w:space="0" w:color="auto"/>
              <w:left w:val="nil"/>
              <w:bottom w:val="single" w:sz="8" w:space="0" w:color="auto"/>
              <w:right w:val="nil"/>
            </w:tcBorders>
            <w:shd w:val="clear" w:color="auto" w:fill="auto"/>
            <w:noWrap/>
            <w:vAlign w:val="bottom"/>
            <w:hideMark/>
          </w:tcPr>
          <w:p w14:paraId="039F6D30" w14:textId="77777777" w:rsidR="004F461F" w:rsidRPr="009E5081" w:rsidRDefault="004F461F" w:rsidP="0006322D">
            <w:pPr>
              <w:spacing w:after="0" w:line="240" w:lineRule="auto"/>
              <w:rPr>
                <w:rFonts w:ascii="Calibri" w:eastAsia="Times New Roman" w:hAnsi="Calibri" w:cs="Times New Roman"/>
                <w:b/>
                <w:color w:val="000000"/>
              </w:rPr>
            </w:pPr>
            <w:r w:rsidRPr="009E5081">
              <w:rPr>
                <w:rFonts w:ascii="Calibri" w:eastAsia="Times New Roman" w:hAnsi="Calibri" w:cs="Times New Roman"/>
                <w:b/>
                <w:color w:val="000000"/>
              </w:rPr>
              <w:t>DD</w:t>
            </w:r>
          </w:p>
        </w:tc>
        <w:tc>
          <w:tcPr>
            <w:tcW w:w="1319" w:type="dxa"/>
            <w:tcBorders>
              <w:top w:val="single" w:sz="4" w:space="0" w:color="auto"/>
              <w:left w:val="nil"/>
              <w:bottom w:val="single" w:sz="8" w:space="0" w:color="auto"/>
              <w:right w:val="nil"/>
            </w:tcBorders>
            <w:shd w:val="clear" w:color="auto" w:fill="auto"/>
            <w:noWrap/>
            <w:vAlign w:val="bottom"/>
            <w:hideMark/>
          </w:tcPr>
          <w:p w14:paraId="162C8A81" w14:textId="77777777" w:rsidR="004F461F" w:rsidRPr="009E5081" w:rsidRDefault="004F461F" w:rsidP="0006322D">
            <w:pPr>
              <w:spacing w:after="0" w:line="240" w:lineRule="auto"/>
              <w:jc w:val="right"/>
              <w:rPr>
                <w:rFonts w:ascii="Calibri" w:eastAsia="Times New Roman" w:hAnsi="Calibri" w:cs="Times New Roman"/>
                <w:b/>
                <w:color w:val="000000"/>
              </w:rPr>
            </w:pPr>
            <w:r w:rsidRPr="009E5081">
              <w:rPr>
                <w:rFonts w:ascii="Calibri" w:eastAsia="Times New Roman" w:hAnsi="Calibri" w:cs="Times New Roman"/>
                <w:b/>
                <w:color w:val="000000"/>
              </w:rPr>
              <w:t>-1.08%</w:t>
            </w:r>
          </w:p>
        </w:tc>
        <w:tc>
          <w:tcPr>
            <w:tcW w:w="1319" w:type="dxa"/>
            <w:tcBorders>
              <w:top w:val="single" w:sz="4" w:space="0" w:color="auto"/>
              <w:left w:val="nil"/>
              <w:bottom w:val="single" w:sz="8" w:space="0" w:color="auto"/>
              <w:right w:val="nil"/>
            </w:tcBorders>
            <w:shd w:val="clear" w:color="auto" w:fill="auto"/>
            <w:noWrap/>
            <w:vAlign w:val="bottom"/>
            <w:hideMark/>
          </w:tcPr>
          <w:p w14:paraId="45CA35F4" w14:textId="77777777" w:rsidR="004F461F" w:rsidRPr="009E5081" w:rsidRDefault="004F461F" w:rsidP="0006322D">
            <w:pPr>
              <w:spacing w:after="0" w:line="240" w:lineRule="auto"/>
              <w:jc w:val="right"/>
              <w:rPr>
                <w:rFonts w:ascii="Calibri" w:eastAsia="Times New Roman" w:hAnsi="Calibri" w:cs="Times New Roman"/>
                <w:b/>
                <w:color w:val="000000"/>
              </w:rPr>
            </w:pPr>
            <w:r w:rsidRPr="009E5081">
              <w:rPr>
                <w:rFonts w:ascii="Calibri" w:eastAsia="Times New Roman" w:hAnsi="Calibri" w:cs="Times New Roman"/>
                <w:b/>
                <w:color w:val="000000"/>
              </w:rPr>
              <w:t>-0.64%</w:t>
            </w:r>
          </w:p>
        </w:tc>
        <w:tc>
          <w:tcPr>
            <w:tcW w:w="1319" w:type="dxa"/>
            <w:tcBorders>
              <w:top w:val="single" w:sz="4" w:space="0" w:color="auto"/>
              <w:left w:val="nil"/>
              <w:bottom w:val="single" w:sz="8" w:space="0" w:color="auto"/>
              <w:right w:val="nil"/>
            </w:tcBorders>
            <w:shd w:val="clear" w:color="auto" w:fill="auto"/>
            <w:noWrap/>
            <w:vAlign w:val="bottom"/>
            <w:hideMark/>
          </w:tcPr>
          <w:p w14:paraId="7984A93B" w14:textId="77777777" w:rsidR="004F461F" w:rsidRPr="009E5081" w:rsidRDefault="004F461F" w:rsidP="0006322D">
            <w:pPr>
              <w:spacing w:after="0" w:line="240" w:lineRule="auto"/>
              <w:jc w:val="right"/>
              <w:rPr>
                <w:rFonts w:ascii="Calibri" w:eastAsia="Times New Roman" w:hAnsi="Calibri" w:cs="Times New Roman"/>
                <w:b/>
                <w:color w:val="000000"/>
              </w:rPr>
            </w:pPr>
            <w:r w:rsidRPr="009E5081">
              <w:rPr>
                <w:rFonts w:ascii="Calibri" w:eastAsia="Times New Roman" w:hAnsi="Calibri" w:cs="Times New Roman"/>
                <w:b/>
                <w:color w:val="000000"/>
              </w:rPr>
              <w:t>-3.00%</w:t>
            </w:r>
            <w:r>
              <w:rPr>
                <w:rFonts w:ascii="Calibri" w:eastAsia="Times New Roman" w:hAnsi="Calibri" w:cs="Times New Roman"/>
                <w:b/>
                <w:color w:val="000000"/>
              </w:rPr>
              <w:t>***</w:t>
            </w:r>
          </w:p>
        </w:tc>
        <w:tc>
          <w:tcPr>
            <w:tcW w:w="1319" w:type="dxa"/>
            <w:tcBorders>
              <w:top w:val="single" w:sz="4" w:space="0" w:color="auto"/>
              <w:left w:val="nil"/>
              <w:bottom w:val="single" w:sz="8" w:space="0" w:color="auto"/>
              <w:right w:val="nil"/>
            </w:tcBorders>
            <w:shd w:val="clear" w:color="auto" w:fill="auto"/>
            <w:noWrap/>
            <w:vAlign w:val="bottom"/>
            <w:hideMark/>
          </w:tcPr>
          <w:p w14:paraId="715D233C" w14:textId="77777777" w:rsidR="004F461F" w:rsidRPr="009E5081" w:rsidRDefault="004F461F" w:rsidP="0006322D">
            <w:pPr>
              <w:spacing w:after="0" w:line="240" w:lineRule="auto"/>
              <w:jc w:val="right"/>
              <w:rPr>
                <w:rFonts w:ascii="Calibri" w:eastAsia="Times New Roman" w:hAnsi="Calibri" w:cs="Times New Roman"/>
                <w:b/>
                <w:color w:val="000000"/>
              </w:rPr>
            </w:pPr>
            <w:r w:rsidRPr="009E5081">
              <w:rPr>
                <w:rFonts w:ascii="Calibri" w:eastAsia="Times New Roman" w:hAnsi="Calibri" w:cs="Times New Roman"/>
                <w:b/>
                <w:color w:val="000000"/>
              </w:rPr>
              <w:t>-0.36%</w:t>
            </w:r>
          </w:p>
        </w:tc>
        <w:tc>
          <w:tcPr>
            <w:tcW w:w="1319" w:type="dxa"/>
            <w:tcBorders>
              <w:top w:val="single" w:sz="4" w:space="0" w:color="auto"/>
              <w:left w:val="nil"/>
              <w:bottom w:val="single" w:sz="8" w:space="0" w:color="auto"/>
              <w:right w:val="nil"/>
            </w:tcBorders>
            <w:shd w:val="clear" w:color="auto" w:fill="auto"/>
            <w:noWrap/>
            <w:vAlign w:val="bottom"/>
            <w:hideMark/>
          </w:tcPr>
          <w:p w14:paraId="1D1D96BB" w14:textId="77777777" w:rsidR="004F461F" w:rsidRPr="009E5081" w:rsidRDefault="004F461F" w:rsidP="0006322D">
            <w:pPr>
              <w:spacing w:after="0" w:line="240" w:lineRule="auto"/>
              <w:jc w:val="right"/>
              <w:rPr>
                <w:rFonts w:ascii="Calibri" w:eastAsia="Times New Roman" w:hAnsi="Calibri" w:cs="Times New Roman"/>
                <w:b/>
                <w:color w:val="000000"/>
              </w:rPr>
            </w:pPr>
            <w:r w:rsidRPr="009E5081">
              <w:rPr>
                <w:rFonts w:ascii="Calibri" w:eastAsia="Times New Roman" w:hAnsi="Calibri" w:cs="Times New Roman"/>
                <w:b/>
                <w:color w:val="000000"/>
              </w:rPr>
              <w:t>-0.43%</w:t>
            </w:r>
          </w:p>
        </w:tc>
        <w:tc>
          <w:tcPr>
            <w:tcW w:w="1320" w:type="dxa"/>
            <w:tcBorders>
              <w:top w:val="single" w:sz="4" w:space="0" w:color="auto"/>
              <w:left w:val="nil"/>
              <w:bottom w:val="single" w:sz="8" w:space="0" w:color="auto"/>
              <w:right w:val="nil"/>
            </w:tcBorders>
            <w:shd w:val="clear" w:color="auto" w:fill="auto"/>
            <w:noWrap/>
            <w:vAlign w:val="bottom"/>
            <w:hideMark/>
          </w:tcPr>
          <w:p w14:paraId="132C46FF" w14:textId="77777777" w:rsidR="004F461F" w:rsidRPr="009E5081" w:rsidRDefault="004F461F" w:rsidP="0006322D">
            <w:pPr>
              <w:spacing w:after="0" w:line="240" w:lineRule="auto"/>
              <w:jc w:val="right"/>
              <w:rPr>
                <w:rFonts w:ascii="Calibri" w:eastAsia="Times New Roman" w:hAnsi="Calibri" w:cs="Times New Roman"/>
                <w:b/>
                <w:color w:val="000000"/>
              </w:rPr>
            </w:pPr>
            <w:r w:rsidRPr="009E5081">
              <w:rPr>
                <w:rFonts w:ascii="Calibri" w:eastAsia="Times New Roman" w:hAnsi="Calibri" w:cs="Times New Roman"/>
                <w:b/>
                <w:color w:val="000000"/>
              </w:rPr>
              <w:t>-0.35%</w:t>
            </w:r>
          </w:p>
        </w:tc>
      </w:tr>
    </w:tbl>
    <w:p w14:paraId="06019C94" w14:textId="5151DD3B" w:rsidR="004F461F" w:rsidRPr="004F445E" w:rsidRDefault="004F461F" w:rsidP="004F461F">
      <w:pPr>
        <w:spacing w:after="0"/>
        <w:rPr>
          <w:i/>
          <w:sz w:val="20"/>
        </w:rPr>
      </w:pPr>
      <w:r w:rsidRPr="00FF0373">
        <w:rPr>
          <w:i/>
          <w:sz w:val="20"/>
        </w:rPr>
        <w:t>* p&lt;0.05, ** p&lt;0.01, *** p&lt;0.001</w:t>
      </w:r>
      <w:r w:rsidR="001427B1">
        <w:rPr>
          <w:i/>
          <w:sz w:val="20"/>
        </w:rPr>
        <w:t xml:space="preserve">   An appendix (Exhibit 1A) show full regression controls and results.</w:t>
      </w:r>
    </w:p>
    <w:p w14:paraId="06E082D5" w14:textId="77777777" w:rsidR="004F461F" w:rsidRDefault="004F461F" w:rsidP="004F461F">
      <w:pPr>
        <w:rPr>
          <w:sz w:val="24"/>
          <w:szCs w:val="24"/>
        </w:rPr>
      </w:pPr>
    </w:p>
    <w:p w14:paraId="194371D1" w14:textId="3F7935DC" w:rsidR="00EB2548" w:rsidRDefault="00EB2548">
      <w:pPr>
        <w:rPr>
          <w:sz w:val="24"/>
          <w:szCs w:val="24"/>
        </w:rPr>
      </w:pPr>
      <w:r>
        <w:rPr>
          <w:sz w:val="24"/>
          <w:szCs w:val="24"/>
        </w:rPr>
        <w:br w:type="page"/>
      </w:r>
    </w:p>
    <w:p w14:paraId="6A5B203E" w14:textId="5E5CA635" w:rsidR="004F461F" w:rsidRPr="00B84B74" w:rsidRDefault="000F7365" w:rsidP="004F461F">
      <w:pPr>
        <w:rPr>
          <w:b/>
          <w:i/>
          <w:sz w:val="24"/>
        </w:rPr>
      </w:pPr>
      <w:r>
        <w:rPr>
          <w:b/>
          <w:i/>
          <w:sz w:val="24"/>
        </w:rPr>
        <w:lastRenderedPageBreak/>
        <w:t xml:space="preserve">APPENDIX:  </w:t>
      </w:r>
      <w:r w:rsidR="004F461F">
        <w:rPr>
          <w:b/>
          <w:i/>
          <w:sz w:val="24"/>
        </w:rPr>
        <w:t>Exhibit</w:t>
      </w:r>
      <w:r w:rsidR="004F461F" w:rsidRPr="00B84B74">
        <w:rPr>
          <w:b/>
          <w:i/>
          <w:sz w:val="24"/>
        </w:rPr>
        <w:t xml:space="preserve"> </w:t>
      </w:r>
      <w:r w:rsidR="004F461F">
        <w:rPr>
          <w:b/>
          <w:i/>
          <w:sz w:val="24"/>
        </w:rPr>
        <w:t>A1</w:t>
      </w:r>
      <w:r w:rsidR="004F461F" w:rsidRPr="00B84B74">
        <w:rPr>
          <w:b/>
          <w:i/>
          <w:sz w:val="24"/>
        </w:rPr>
        <w:t xml:space="preserve">: </w:t>
      </w:r>
      <w:r w:rsidR="004F461F">
        <w:rPr>
          <w:b/>
          <w:i/>
          <w:sz w:val="24"/>
        </w:rPr>
        <w:t>Logistic regression</w:t>
      </w:r>
      <w:r w:rsidR="004F461F" w:rsidRPr="00B84B74">
        <w:rPr>
          <w:b/>
          <w:i/>
          <w:sz w:val="24"/>
        </w:rPr>
        <w:t xml:space="preserve"> </w:t>
      </w:r>
      <w:r w:rsidR="004F461F">
        <w:rPr>
          <w:b/>
          <w:i/>
          <w:sz w:val="24"/>
        </w:rPr>
        <w:t>of the</w:t>
      </w:r>
      <w:r w:rsidR="004F461F" w:rsidRPr="00B84B74">
        <w:rPr>
          <w:b/>
          <w:i/>
          <w:sz w:val="24"/>
        </w:rPr>
        <w:t xml:space="preserve"> availability of ESI offer, insurance status, access to care and financial burden</w:t>
      </w:r>
      <w:r w:rsidR="004F461F">
        <w:rPr>
          <w:b/>
          <w:i/>
          <w:sz w:val="24"/>
        </w:rPr>
        <w:t xml:space="preserve"> (population weighted)</w:t>
      </w:r>
    </w:p>
    <w:tbl>
      <w:tblPr>
        <w:tblW w:w="9988" w:type="dxa"/>
        <w:tblInd w:w="108" w:type="dxa"/>
        <w:tblLook w:val="04A0" w:firstRow="1" w:lastRow="0" w:firstColumn="1" w:lastColumn="0" w:noHBand="0" w:noVBand="1"/>
      </w:tblPr>
      <w:tblGrid>
        <w:gridCol w:w="2934"/>
        <w:gridCol w:w="1240"/>
        <w:gridCol w:w="1047"/>
        <w:gridCol w:w="1163"/>
        <w:gridCol w:w="1320"/>
        <w:gridCol w:w="1259"/>
        <w:gridCol w:w="1025"/>
      </w:tblGrid>
      <w:tr w:rsidR="004F461F" w:rsidRPr="00960D30" w14:paraId="503C985A" w14:textId="77777777" w:rsidTr="0006322D">
        <w:trPr>
          <w:trHeight w:val="358"/>
        </w:trPr>
        <w:tc>
          <w:tcPr>
            <w:tcW w:w="2934" w:type="dxa"/>
            <w:tcBorders>
              <w:top w:val="nil"/>
              <w:left w:val="nil"/>
              <w:bottom w:val="nil"/>
              <w:right w:val="nil"/>
            </w:tcBorders>
            <w:shd w:val="clear" w:color="auto" w:fill="auto"/>
            <w:noWrap/>
            <w:vAlign w:val="bottom"/>
          </w:tcPr>
          <w:p w14:paraId="44F0DD63" w14:textId="77777777" w:rsidR="004F461F" w:rsidRPr="00960D30" w:rsidRDefault="004F461F" w:rsidP="0006322D">
            <w:pPr>
              <w:spacing w:after="0" w:line="240" w:lineRule="auto"/>
              <w:rPr>
                <w:rFonts w:ascii="Times New Roman" w:eastAsia="Times New Roman" w:hAnsi="Times New Roman" w:cs="Times New Roman"/>
                <w:sz w:val="24"/>
                <w:szCs w:val="24"/>
              </w:rPr>
            </w:pPr>
          </w:p>
        </w:tc>
        <w:tc>
          <w:tcPr>
            <w:tcW w:w="1240" w:type="dxa"/>
            <w:tcBorders>
              <w:top w:val="single" w:sz="8" w:space="0" w:color="auto"/>
              <w:left w:val="nil"/>
              <w:bottom w:val="single" w:sz="4" w:space="0" w:color="auto"/>
              <w:right w:val="nil"/>
            </w:tcBorders>
            <w:shd w:val="clear" w:color="auto" w:fill="auto"/>
            <w:vAlign w:val="center"/>
          </w:tcPr>
          <w:p w14:paraId="676A0A43" w14:textId="77777777" w:rsidR="004F461F" w:rsidRPr="00960D30" w:rsidRDefault="004F461F" w:rsidP="0006322D">
            <w:pPr>
              <w:spacing w:after="0" w:line="240" w:lineRule="auto"/>
              <w:jc w:val="right"/>
              <w:rPr>
                <w:rFonts w:ascii="Calibri" w:eastAsia="Times New Roman" w:hAnsi="Calibri" w:cs="Times New Roman"/>
                <w:b/>
                <w:color w:val="000000"/>
              </w:rPr>
            </w:pPr>
            <w:r>
              <w:rPr>
                <w:rFonts w:ascii="Calibri" w:hAnsi="Calibri"/>
                <w:color w:val="000000"/>
              </w:rPr>
              <w:t>(1)</w:t>
            </w:r>
          </w:p>
        </w:tc>
        <w:tc>
          <w:tcPr>
            <w:tcW w:w="1047" w:type="dxa"/>
            <w:tcBorders>
              <w:top w:val="single" w:sz="8" w:space="0" w:color="auto"/>
              <w:left w:val="nil"/>
              <w:bottom w:val="single" w:sz="4" w:space="0" w:color="auto"/>
              <w:right w:val="nil"/>
            </w:tcBorders>
            <w:shd w:val="clear" w:color="auto" w:fill="auto"/>
            <w:vAlign w:val="center"/>
          </w:tcPr>
          <w:p w14:paraId="6A188A5F" w14:textId="77777777" w:rsidR="004F461F" w:rsidRPr="00960D30" w:rsidRDefault="004F461F" w:rsidP="0006322D">
            <w:pPr>
              <w:spacing w:after="0" w:line="240" w:lineRule="auto"/>
              <w:jc w:val="right"/>
              <w:rPr>
                <w:rFonts w:ascii="Calibri" w:eastAsia="Times New Roman" w:hAnsi="Calibri" w:cs="Times New Roman"/>
                <w:b/>
                <w:color w:val="000000"/>
              </w:rPr>
            </w:pPr>
            <w:r>
              <w:rPr>
                <w:rFonts w:ascii="Calibri" w:hAnsi="Calibri"/>
                <w:color w:val="000000"/>
              </w:rPr>
              <w:t>(2)</w:t>
            </w:r>
          </w:p>
        </w:tc>
        <w:tc>
          <w:tcPr>
            <w:tcW w:w="1163" w:type="dxa"/>
            <w:tcBorders>
              <w:top w:val="single" w:sz="8" w:space="0" w:color="auto"/>
              <w:left w:val="nil"/>
              <w:bottom w:val="single" w:sz="4" w:space="0" w:color="auto"/>
              <w:right w:val="nil"/>
            </w:tcBorders>
            <w:shd w:val="clear" w:color="auto" w:fill="auto"/>
            <w:vAlign w:val="center"/>
          </w:tcPr>
          <w:p w14:paraId="4A815D24" w14:textId="77777777" w:rsidR="004F461F" w:rsidRPr="00960D30" w:rsidRDefault="004F461F" w:rsidP="0006322D">
            <w:pPr>
              <w:spacing w:after="0" w:line="240" w:lineRule="auto"/>
              <w:jc w:val="right"/>
              <w:rPr>
                <w:rFonts w:ascii="Calibri" w:eastAsia="Times New Roman" w:hAnsi="Calibri" w:cs="Times New Roman"/>
                <w:b/>
                <w:color w:val="000000"/>
              </w:rPr>
            </w:pPr>
            <w:r>
              <w:rPr>
                <w:rFonts w:ascii="Calibri" w:hAnsi="Calibri"/>
                <w:color w:val="000000"/>
              </w:rPr>
              <w:t>(3)</w:t>
            </w:r>
          </w:p>
        </w:tc>
        <w:tc>
          <w:tcPr>
            <w:tcW w:w="1320" w:type="dxa"/>
            <w:tcBorders>
              <w:top w:val="single" w:sz="8" w:space="0" w:color="auto"/>
              <w:left w:val="nil"/>
              <w:bottom w:val="single" w:sz="4" w:space="0" w:color="auto"/>
              <w:right w:val="nil"/>
            </w:tcBorders>
            <w:shd w:val="clear" w:color="auto" w:fill="auto"/>
            <w:vAlign w:val="center"/>
          </w:tcPr>
          <w:p w14:paraId="5FDF06DE" w14:textId="77777777" w:rsidR="004F461F" w:rsidRPr="00960D30" w:rsidRDefault="004F461F" w:rsidP="0006322D">
            <w:pPr>
              <w:spacing w:after="0" w:line="240" w:lineRule="auto"/>
              <w:jc w:val="right"/>
              <w:rPr>
                <w:rFonts w:ascii="Calibri" w:eastAsia="Times New Roman" w:hAnsi="Calibri" w:cs="Times New Roman"/>
                <w:b/>
                <w:color w:val="000000"/>
              </w:rPr>
            </w:pPr>
            <w:r>
              <w:rPr>
                <w:rFonts w:ascii="Calibri" w:hAnsi="Calibri"/>
                <w:color w:val="000000"/>
              </w:rPr>
              <w:t>(4)</w:t>
            </w:r>
          </w:p>
        </w:tc>
        <w:tc>
          <w:tcPr>
            <w:tcW w:w="1259" w:type="dxa"/>
            <w:tcBorders>
              <w:top w:val="single" w:sz="8" w:space="0" w:color="auto"/>
              <w:left w:val="nil"/>
              <w:bottom w:val="single" w:sz="4" w:space="0" w:color="auto"/>
              <w:right w:val="nil"/>
            </w:tcBorders>
            <w:shd w:val="clear" w:color="auto" w:fill="auto"/>
            <w:vAlign w:val="center"/>
          </w:tcPr>
          <w:p w14:paraId="0A1755DB" w14:textId="77777777" w:rsidR="004F461F" w:rsidRPr="00960D30" w:rsidRDefault="004F461F" w:rsidP="0006322D">
            <w:pPr>
              <w:spacing w:after="0" w:line="240" w:lineRule="auto"/>
              <w:jc w:val="right"/>
              <w:rPr>
                <w:rFonts w:ascii="Calibri" w:eastAsia="Times New Roman" w:hAnsi="Calibri" w:cs="Times New Roman"/>
                <w:b/>
                <w:color w:val="000000"/>
              </w:rPr>
            </w:pPr>
            <w:r>
              <w:rPr>
                <w:rFonts w:ascii="Calibri" w:hAnsi="Calibri"/>
                <w:color w:val="000000"/>
              </w:rPr>
              <w:t>(5)</w:t>
            </w:r>
          </w:p>
        </w:tc>
        <w:tc>
          <w:tcPr>
            <w:tcW w:w="1025" w:type="dxa"/>
            <w:tcBorders>
              <w:top w:val="single" w:sz="8" w:space="0" w:color="auto"/>
              <w:left w:val="nil"/>
              <w:bottom w:val="single" w:sz="4" w:space="0" w:color="auto"/>
              <w:right w:val="nil"/>
            </w:tcBorders>
            <w:shd w:val="clear" w:color="auto" w:fill="auto"/>
            <w:vAlign w:val="center"/>
          </w:tcPr>
          <w:p w14:paraId="3C4578EB" w14:textId="77777777" w:rsidR="004F461F" w:rsidRPr="00960D30" w:rsidRDefault="004F461F" w:rsidP="0006322D">
            <w:pPr>
              <w:spacing w:after="0" w:line="240" w:lineRule="auto"/>
              <w:jc w:val="right"/>
              <w:rPr>
                <w:rFonts w:ascii="Calibri" w:eastAsia="Times New Roman" w:hAnsi="Calibri" w:cs="Times New Roman"/>
                <w:b/>
                <w:color w:val="000000"/>
              </w:rPr>
            </w:pPr>
            <w:r>
              <w:rPr>
                <w:rFonts w:ascii="Calibri" w:hAnsi="Calibri"/>
                <w:color w:val="000000"/>
              </w:rPr>
              <w:t>(6)</w:t>
            </w:r>
          </w:p>
        </w:tc>
      </w:tr>
      <w:tr w:rsidR="004F461F" w:rsidRPr="00960D30" w14:paraId="0DB79E3F" w14:textId="77777777" w:rsidTr="0006322D">
        <w:trPr>
          <w:trHeight w:val="598"/>
        </w:trPr>
        <w:tc>
          <w:tcPr>
            <w:tcW w:w="2934" w:type="dxa"/>
            <w:tcBorders>
              <w:top w:val="nil"/>
              <w:left w:val="nil"/>
              <w:bottom w:val="nil"/>
              <w:right w:val="nil"/>
            </w:tcBorders>
            <w:shd w:val="clear" w:color="auto" w:fill="auto"/>
            <w:noWrap/>
            <w:vAlign w:val="bottom"/>
            <w:hideMark/>
          </w:tcPr>
          <w:p w14:paraId="3FAD8B63" w14:textId="77777777" w:rsidR="004F461F" w:rsidRPr="00960D30" w:rsidRDefault="004F461F" w:rsidP="0006322D">
            <w:pPr>
              <w:spacing w:after="0" w:line="240" w:lineRule="auto"/>
              <w:rPr>
                <w:rFonts w:ascii="Times New Roman" w:eastAsia="Times New Roman" w:hAnsi="Times New Roman" w:cs="Times New Roman"/>
                <w:sz w:val="24"/>
                <w:szCs w:val="24"/>
              </w:rPr>
            </w:pPr>
          </w:p>
        </w:tc>
        <w:tc>
          <w:tcPr>
            <w:tcW w:w="1240" w:type="dxa"/>
            <w:tcBorders>
              <w:top w:val="single" w:sz="8" w:space="0" w:color="auto"/>
              <w:left w:val="nil"/>
              <w:bottom w:val="single" w:sz="4" w:space="0" w:color="auto"/>
              <w:right w:val="nil"/>
            </w:tcBorders>
            <w:shd w:val="clear" w:color="auto" w:fill="auto"/>
            <w:vAlign w:val="bottom"/>
            <w:hideMark/>
          </w:tcPr>
          <w:p w14:paraId="7FC934DF" w14:textId="77777777" w:rsidR="004F461F" w:rsidRPr="00960D30" w:rsidRDefault="004F461F" w:rsidP="0006322D">
            <w:pPr>
              <w:spacing w:after="0" w:line="240" w:lineRule="auto"/>
              <w:jc w:val="right"/>
              <w:rPr>
                <w:rFonts w:ascii="Calibri" w:eastAsia="Times New Roman" w:hAnsi="Calibri" w:cs="Times New Roman"/>
                <w:b/>
                <w:color w:val="000000"/>
              </w:rPr>
            </w:pPr>
            <w:r w:rsidRPr="00DC597D">
              <w:rPr>
                <w:rFonts w:ascii="Calibri" w:hAnsi="Calibri"/>
                <w:b/>
                <w:color w:val="000000"/>
              </w:rPr>
              <w:t>Availability of ESI offer</w:t>
            </w:r>
          </w:p>
        </w:tc>
        <w:tc>
          <w:tcPr>
            <w:tcW w:w="1047" w:type="dxa"/>
            <w:tcBorders>
              <w:top w:val="single" w:sz="8" w:space="0" w:color="auto"/>
              <w:left w:val="nil"/>
              <w:bottom w:val="single" w:sz="4" w:space="0" w:color="auto"/>
              <w:right w:val="nil"/>
            </w:tcBorders>
            <w:shd w:val="clear" w:color="auto" w:fill="auto"/>
            <w:vAlign w:val="bottom"/>
            <w:hideMark/>
          </w:tcPr>
          <w:p w14:paraId="64FE3C08" w14:textId="77777777" w:rsidR="004F461F" w:rsidRPr="00960D30" w:rsidRDefault="004F461F" w:rsidP="0006322D">
            <w:pPr>
              <w:spacing w:after="0" w:line="240" w:lineRule="auto"/>
              <w:jc w:val="right"/>
              <w:rPr>
                <w:rFonts w:ascii="Calibri" w:eastAsia="Times New Roman" w:hAnsi="Calibri" w:cs="Times New Roman"/>
                <w:b/>
                <w:color w:val="000000"/>
              </w:rPr>
            </w:pPr>
            <w:r w:rsidRPr="00DC597D">
              <w:rPr>
                <w:rFonts w:ascii="Calibri" w:hAnsi="Calibri"/>
                <w:b/>
                <w:color w:val="000000"/>
              </w:rPr>
              <w:t>ESI rate</w:t>
            </w:r>
          </w:p>
        </w:tc>
        <w:tc>
          <w:tcPr>
            <w:tcW w:w="1163" w:type="dxa"/>
            <w:tcBorders>
              <w:top w:val="single" w:sz="8" w:space="0" w:color="auto"/>
              <w:left w:val="nil"/>
              <w:bottom w:val="single" w:sz="4" w:space="0" w:color="auto"/>
              <w:right w:val="nil"/>
            </w:tcBorders>
            <w:shd w:val="clear" w:color="auto" w:fill="auto"/>
            <w:vAlign w:val="bottom"/>
            <w:hideMark/>
          </w:tcPr>
          <w:p w14:paraId="0851E3D7" w14:textId="77777777" w:rsidR="004F461F" w:rsidRPr="00960D30" w:rsidRDefault="004F461F" w:rsidP="0006322D">
            <w:pPr>
              <w:spacing w:after="0" w:line="240" w:lineRule="auto"/>
              <w:jc w:val="right"/>
              <w:rPr>
                <w:rFonts w:ascii="Calibri" w:eastAsia="Times New Roman" w:hAnsi="Calibri" w:cs="Times New Roman"/>
                <w:b/>
                <w:color w:val="000000"/>
              </w:rPr>
            </w:pPr>
            <w:r w:rsidRPr="00DC597D">
              <w:rPr>
                <w:rFonts w:ascii="Calibri" w:hAnsi="Calibri"/>
                <w:b/>
                <w:color w:val="000000"/>
              </w:rPr>
              <w:t>Uninsured rate</w:t>
            </w:r>
          </w:p>
        </w:tc>
        <w:tc>
          <w:tcPr>
            <w:tcW w:w="1320" w:type="dxa"/>
            <w:tcBorders>
              <w:top w:val="single" w:sz="8" w:space="0" w:color="auto"/>
              <w:left w:val="nil"/>
              <w:bottom w:val="single" w:sz="4" w:space="0" w:color="auto"/>
              <w:right w:val="nil"/>
            </w:tcBorders>
            <w:shd w:val="clear" w:color="auto" w:fill="auto"/>
            <w:vAlign w:val="bottom"/>
            <w:hideMark/>
          </w:tcPr>
          <w:p w14:paraId="489E55EB" w14:textId="77777777" w:rsidR="004F461F" w:rsidRPr="00960D30" w:rsidRDefault="004F461F" w:rsidP="0006322D">
            <w:pPr>
              <w:spacing w:after="0" w:line="240" w:lineRule="auto"/>
              <w:jc w:val="right"/>
              <w:rPr>
                <w:rFonts w:ascii="Calibri" w:eastAsia="Times New Roman" w:hAnsi="Calibri" w:cs="Times New Roman"/>
                <w:b/>
                <w:color w:val="000000"/>
              </w:rPr>
            </w:pPr>
            <w:r w:rsidRPr="00DC597D">
              <w:rPr>
                <w:rFonts w:ascii="Calibri" w:hAnsi="Calibri"/>
                <w:b/>
                <w:color w:val="000000"/>
              </w:rPr>
              <w:t>Inability to access medical care</w:t>
            </w:r>
          </w:p>
        </w:tc>
        <w:tc>
          <w:tcPr>
            <w:tcW w:w="1259" w:type="dxa"/>
            <w:tcBorders>
              <w:top w:val="single" w:sz="8" w:space="0" w:color="auto"/>
              <w:left w:val="nil"/>
              <w:bottom w:val="single" w:sz="4" w:space="0" w:color="auto"/>
              <w:right w:val="nil"/>
            </w:tcBorders>
            <w:shd w:val="clear" w:color="auto" w:fill="auto"/>
            <w:vAlign w:val="bottom"/>
            <w:hideMark/>
          </w:tcPr>
          <w:p w14:paraId="7D52F5A7" w14:textId="77777777" w:rsidR="004F461F" w:rsidRPr="00960D30" w:rsidRDefault="004F461F" w:rsidP="0006322D">
            <w:pPr>
              <w:spacing w:after="0" w:line="240" w:lineRule="auto"/>
              <w:jc w:val="right"/>
              <w:rPr>
                <w:rFonts w:ascii="Calibri" w:eastAsia="Times New Roman" w:hAnsi="Calibri" w:cs="Times New Roman"/>
                <w:b/>
                <w:color w:val="000000"/>
              </w:rPr>
            </w:pPr>
            <w:r w:rsidRPr="00DC597D">
              <w:rPr>
                <w:rFonts w:ascii="Calibri" w:hAnsi="Calibri"/>
                <w:b/>
                <w:color w:val="000000"/>
              </w:rPr>
              <w:t>Delay access to medical care</w:t>
            </w:r>
          </w:p>
        </w:tc>
        <w:tc>
          <w:tcPr>
            <w:tcW w:w="1025" w:type="dxa"/>
            <w:tcBorders>
              <w:top w:val="single" w:sz="8" w:space="0" w:color="auto"/>
              <w:left w:val="nil"/>
              <w:bottom w:val="single" w:sz="4" w:space="0" w:color="auto"/>
              <w:right w:val="nil"/>
            </w:tcBorders>
            <w:shd w:val="clear" w:color="auto" w:fill="auto"/>
            <w:vAlign w:val="bottom"/>
            <w:hideMark/>
          </w:tcPr>
          <w:p w14:paraId="72A70D56" w14:textId="77777777" w:rsidR="004F461F" w:rsidRPr="00960D30" w:rsidRDefault="004F461F" w:rsidP="0006322D">
            <w:pPr>
              <w:spacing w:after="0" w:line="240" w:lineRule="auto"/>
              <w:jc w:val="right"/>
              <w:rPr>
                <w:rFonts w:ascii="Calibri" w:eastAsia="Times New Roman" w:hAnsi="Calibri" w:cs="Times New Roman"/>
                <w:b/>
                <w:color w:val="000000"/>
              </w:rPr>
            </w:pPr>
            <w:r w:rsidRPr="00DC597D">
              <w:rPr>
                <w:rFonts w:ascii="Calibri" w:hAnsi="Calibri"/>
                <w:b/>
                <w:color w:val="000000"/>
              </w:rPr>
              <w:t>Financial burden</w:t>
            </w:r>
          </w:p>
        </w:tc>
      </w:tr>
      <w:tr w:rsidR="004F461F" w:rsidRPr="00960D30" w14:paraId="468F476E" w14:textId="77777777" w:rsidTr="0006322D">
        <w:trPr>
          <w:trHeight w:val="299"/>
        </w:trPr>
        <w:tc>
          <w:tcPr>
            <w:tcW w:w="2934" w:type="dxa"/>
            <w:tcBorders>
              <w:top w:val="nil"/>
              <w:left w:val="nil"/>
              <w:bottom w:val="nil"/>
              <w:right w:val="nil"/>
            </w:tcBorders>
            <w:shd w:val="clear" w:color="auto" w:fill="auto"/>
            <w:noWrap/>
            <w:vAlign w:val="bottom"/>
            <w:hideMark/>
          </w:tcPr>
          <w:p w14:paraId="583E900E"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Small group</w:t>
            </w:r>
          </w:p>
        </w:tc>
        <w:tc>
          <w:tcPr>
            <w:tcW w:w="1240" w:type="dxa"/>
            <w:tcBorders>
              <w:top w:val="nil"/>
              <w:left w:val="nil"/>
              <w:bottom w:val="nil"/>
              <w:right w:val="nil"/>
            </w:tcBorders>
            <w:shd w:val="clear" w:color="auto" w:fill="auto"/>
            <w:noWrap/>
            <w:vAlign w:val="bottom"/>
            <w:hideMark/>
          </w:tcPr>
          <w:p w14:paraId="732959A0" w14:textId="77777777" w:rsidR="004F461F" w:rsidRDefault="004F461F" w:rsidP="0006322D">
            <w:pPr>
              <w:spacing w:after="0" w:line="240" w:lineRule="auto"/>
              <w:jc w:val="right"/>
              <w:rPr>
                <w:rFonts w:ascii="Calibri" w:hAnsi="Calibri"/>
                <w:color w:val="000000"/>
              </w:rPr>
            </w:pPr>
            <w:r>
              <w:rPr>
                <w:rFonts w:ascii="Calibri" w:hAnsi="Calibri"/>
                <w:color w:val="000000"/>
              </w:rPr>
              <w:t>-1.96***</w:t>
            </w:r>
          </w:p>
        </w:tc>
        <w:tc>
          <w:tcPr>
            <w:tcW w:w="1047" w:type="dxa"/>
            <w:tcBorders>
              <w:top w:val="nil"/>
              <w:left w:val="nil"/>
              <w:bottom w:val="nil"/>
              <w:right w:val="nil"/>
            </w:tcBorders>
            <w:shd w:val="clear" w:color="auto" w:fill="auto"/>
            <w:noWrap/>
            <w:vAlign w:val="bottom"/>
            <w:hideMark/>
          </w:tcPr>
          <w:p w14:paraId="14604896" w14:textId="77777777" w:rsidR="004F461F" w:rsidRDefault="004F461F" w:rsidP="0006322D">
            <w:pPr>
              <w:spacing w:after="0" w:line="240" w:lineRule="auto"/>
              <w:jc w:val="right"/>
              <w:rPr>
                <w:rFonts w:ascii="Calibri" w:hAnsi="Calibri"/>
                <w:color w:val="000000"/>
              </w:rPr>
            </w:pPr>
            <w:r>
              <w:rPr>
                <w:rFonts w:ascii="Calibri" w:hAnsi="Calibri"/>
                <w:color w:val="000000"/>
              </w:rPr>
              <w:t>-1.41***</w:t>
            </w:r>
          </w:p>
        </w:tc>
        <w:tc>
          <w:tcPr>
            <w:tcW w:w="1163" w:type="dxa"/>
            <w:tcBorders>
              <w:top w:val="nil"/>
              <w:left w:val="nil"/>
              <w:bottom w:val="nil"/>
              <w:right w:val="nil"/>
            </w:tcBorders>
            <w:shd w:val="clear" w:color="auto" w:fill="auto"/>
            <w:noWrap/>
            <w:vAlign w:val="bottom"/>
            <w:hideMark/>
          </w:tcPr>
          <w:p w14:paraId="4CCD66E7" w14:textId="77777777" w:rsidR="004F461F" w:rsidRDefault="004F461F" w:rsidP="0006322D">
            <w:pPr>
              <w:spacing w:after="0" w:line="240" w:lineRule="auto"/>
              <w:jc w:val="right"/>
              <w:rPr>
                <w:rFonts w:ascii="Calibri" w:hAnsi="Calibri"/>
                <w:color w:val="000000"/>
              </w:rPr>
            </w:pPr>
            <w:r>
              <w:rPr>
                <w:rFonts w:ascii="Calibri" w:hAnsi="Calibri"/>
                <w:color w:val="000000"/>
              </w:rPr>
              <w:t>1.28***</w:t>
            </w:r>
          </w:p>
        </w:tc>
        <w:tc>
          <w:tcPr>
            <w:tcW w:w="1320" w:type="dxa"/>
            <w:tcBorders>
              <w:top w:val="nil"/>
              <w:left w:val="nil"/>
              <w:bottom w:val="nil"/>
              <w:right w:val="nil"/>
            </w:tcBorders>
            <w:shd w:val="clear" w:color="auto" w:fill="auto"/>
            <w:noWrap/>
            <w:vAlign w:val="bottom"/>
            <w:hideMark/>
          </w:tcPr>
          <w:p w14:paraId="7EF17F89" w14:textId="77777777" w:rsidR="004F461F" w:rsidRDefault="004F461F" w:rsidP="0006322D">
            <w:pPr>
              <w:spacing w:after="0" w:line="240" w:lineRule="auto"/>
              <w:jc w:val="right"/>
              <w:rPr>
                <w:rFonts w:ascii="Calibri" w:hAnsi="Calibri"/>
                <w:color w:val="000000"/>
              </w:rPr>
            </w:pPr>
            <w:r>
              <w:rPr>
                <w:rFonts w:ascii="Calibri" w:hAnsi="Calibri"/>
                <w:color w:val="000000"/>
              </w:rPr>
              <w:t>0.39***</w:t>
            </w:r>
          </w:p>
        </w:tc>
        <w:tc>
          <w:tcPr>
            <w:tcW w:w="1259" w:type="dxa"/>
            <w:tcBorders>
              <w:top w:val="nil"/>
              <w:left w:val="nil"/>
              <w:bottom w:val="nil"/>
              <w:right w:val="nil"/>
            </w:tcBorders>
            <w:shd w:val="clear" w:color="auto" w:fill="auto"/>
            <w:noWrap/>
            <w:vAlign w:val="bottom"/>
            <w:hideMark/>
          </w:tcPr>
          <w:p w14:paraId="11B69FE3" w14:textId="77777777" w:rsidR="004F461F" w:rsidRDefault="004F461F" w:rsidP="0006322D">
            <w:pPr>
              <w:spacing w:after="0" w:line="240" w:lineRule="auto"/>
              <w:jc w:val="right"/>
              <w:rPr>
                <w:rFonts w:ascii="Calibri" w:hAnsi="Calibri"/>
                <w:color w:val="000000"/>
              </w:rPr>
            </w:pPr>
            <w:r>
              <w:rPr>
                <w:rFonts w:ascii="Calibri" w:hAnsi="Calibri"/>
                <w:color w:val="000000"/>
              </w:rPr>
              <w:t>0.19*</w:t>
            </w:r>
          </w:p>
        </w:tc>
        <w:tc>
          <w:tcPr>
            <w:tcW w:w="1025" w:type="dxa"/>
            <w:tcBorders>
              <w:top w:val="nil"/>
              <w:left w:val="nil"/>
              <w:bottom w:val="nil"/>
              <w:right w:val="nil"/>
            </w:tcBorders>
            <w:shd w:val="clear" w:color="auto" w:fill="auto"/>
            <w:noWrap/>
            <w:vAlign w:val="bottom"/>
            <w:hideMark/>
          </w:tcPr>
          <w:p w14:paraId="26207759"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0.31** </w:t>
            </w:r>
          </w:p>
        </w:tc>
      </w:tr>
      <w:tr w:rsidR="004F461F" w:rsidRPr="00960D30" w14:paraId="33316040" w14:textId="77777777" w:rsidTr="0006322D">
        <w:trPr>
          <w:trHeight w:val="299"/>
        </w:trPr>
        <w:tc>
          <w:tcPr>
            <w:tcW w:w="2934" w:type="dxa"/>
            <w:tcBorders>
              <w:top w:val="nil"/>
              <w:left w:val="nil"/>
              <w:bottom w:val="nil"/>
              <w:right w:val="nil"/>
            </w:tcBorders>
            <w:shd w:val="clear" w:color="auto" w:fill="auto"/>
            <w:noWrap/>
            <w:vAlign w:val="bottom"/>
            <w:hideMark/>
          </w:tcPr>
          <w:p w14:paraId="01B42659" w14:textId="77777777" w:rsidR="004F461F" w:rsidRPr="00960D30" w:rsidRDefault="004F461F" w:rsidP="0006322D">
            <w:pPr>
              <w:spacing w:after="0" w:line="240" w:lineRule="auto"/>
              <w:rPr>
                <w:rFonts w:ascii="Calibri" w:eastAsia="Times New Roman" w:hAnsi="Calibri" w:cs="Times New Roman"/>
                <w:color w:val="000000"/>
              </w:rPr>
            </w:pPr>
            <w:r>
              <w:rPr>
                <w:rFonts w:ascii="Calibri" w:eastAsia="Times New Roman" w:hAnsi="Calibri" w:cs="Times New Roman"/>
                <w:color w:val="000000"/>
              </w:rPr>
              <w:t>Post ACA</w:t>
            </w:r>
            <w:r w:rsidRPr="00960D30">
              <w:rPr>
                <w:rFonts w:ascii="Calibri" w:eastAsia="Times New Roman" w:hAnsi="Calibri" w:cs="Times New Roman"/>
                <w:color w:val="000000"/>
              </w:rPr>
              <w:t xml:space="preserve"> </w:t>
            </w:r>
            <w:r>
              <w:rPr>
                <w:rFonts w:ascii="Calibri" w:eastAsia="Times New Roman" w:hAnsi="Calibri" w:cs="Times New Roman"/>
                <w:color w:val="000000"/>
              </w:rPr>
              <w:t>(versus 2007-1013)</w:t>
            </w:r>
          </w:p>
        </w:tc>
        <w:tc>
          <w:tcPr>
            <w:tcW w:w="1240" w:type="dxa"/>
            <w:tcBorders>
              <w:top w:val="nil"/>
              <w:left w:val="nil"/>
              <w:bottom w:val="nil"/>
              <w:right w:val="nil"/>
            </w:tcBorders>
            <w:shd w:val="clear" w:color="auto" w:fill="auto"/>
            <w:noWrap/>
            <w:vAlign w:val="bottom"/>
            <w:hideMark/>
          </w:tcPr>
          <w:p w14:paraId="772FE092" w14:textId="77777777" w:rsidR="004F461F" w:rsidRDefault="004F461F" w:rsidP="0006322D">
            <w:pPr>
              <w:spacing w:after="0" w:line="240" w:lineRule="auto"/>
              <w:jc w:val="right"/>
              <w:rPr>
                <w:rFonts w:ascii="Calibri" w:hAnsi="Calibri"/>
                <w:color w:val="000000"/>
              </w:rPr>
            </w:pPr>
            <w:r>
              <w:rPr>
                <w:rFonts w:ascii="Calibri" w:hAnsi="Calibri"/>
                <w:color w:val="000000"/>
              </w:rPr>
              <w:t>-0.03</w:t>
            </w:r>
          </w:p>
        </w:tc>
        <w:tc>
          <w:tcPr>
            <w:tcW w:w="1047" w:type="dxa"/>
            <w:tcBorders>
              <w:top w:val="nil"/>
              <w:left w:val="nil"/>
              <w:bottom w:val="nil"/>
              <w:right w:val="nil"/>
            </w:tcBorders>
            <w:shd w:val="clear" w:color="auto" w:fill="auto"/>
            <w:noWrap/>
            <w:vAlign w:val="bottom"/>
            <w:hideMark/>
          </w:tcPr>
          <w:p w14:paraId="02C742BF" w14:textId="77777777" w:rsidR="004F461F" w:rsidRDefault="004F461F" w:rsidP="0006322D">
            <w:pPr>
              <w:spacing w:after="0" w:line="240" w:lineRule="auto"/>
              <w:jc w:val="right"/>
              <w:rPr>
                <w:rFonts w:ascii="Calibri" w:hAnsi="Calibri"/>
                <w:color w:val="000000"/>
              </w:rPr>
            </w:pPr>
            <w:r>
              <w:rPr>
                <w:rFonts w:ascii="Calibri" w:hAnsi="Calibri"/>
                <w:color w:val="000000"/>
              </w:rPr>
              <w:t>-0.17**</w:t>
            </w:r>
          </w:p>
        </w:tc>
        <w:tc>
          <w:tcPr>
            <w:tcW w:w="1163" w:type="dxa"/>
            <w:tcBorders>
              <w:top w:val="nil"/>
              <w:left w:val="nil"/>
              <w:bottom w:val="nil"/>
              <w:right w:val="nil"/>
            </w:tcBorders>
            <w:shd w:val="clear" w:color="auto" w:fill="auto"/>
            <w:noWrap/>
            <w:vAlign w:val="bottom"/>
            <w:hideMark/>
          </w:tcPr>
          <w:p w14:paraId="31584D9D" w14:textId="77777777" w:rsidR="004F461F" w:rsidRDefault="004F461F" w:rsidP="0006322D">
            <w:pPr>
              <w:spacing w:after="0" w:line="240" w:lineRule="auto"/>
              <w:jc w:val="right"/>
              <w:rPr>
                <w:rFonts w:ascii="Calibri" w:hAnsi="Calibri"/>
                <w:color w:val="000000"/>
              </w:rPr>
            </w:pPr>
            <w:r>
              <w:rPr>
                <w:rFonts w:ascii="Calibri" w:hAnsi="Calibri"/>
                <w:color w:val="000000"/>
              </w:rPr>
              <w:t>-0.28***</w:t>
            </w:r>
          </w:p>
        </w:tc>
        <w:tc>
          <w:tcPr>
            <w:tcW w:w="1320" w:type="dxa"/>
            <w:tcBorders>
              <w:top w:val="nil"/>
              <w:left w:val="nil"/>
              <w:bottom w:val="nil"/>
              <w:right w:val="nil"/>
            </w:tcBorders>
            <w:shd w:val="clear" w:color="auto" w:fill="auto"/>
            <w:noWrap/>
            <w:vAlign w:val="bottom"/>
            <w:hideMark/>
          </w:tcPr>
          <w:p w14:paraId="23A64AAB" w14:textId="77777777" w:rsidR="004F461F" w:rsidRDefault="004F461F" w:rsidP="0006322D">
            <w:pPr>
              <w:spacing w:after="0" w:line="240" w:lineRule="auto"/>
              <w:jc w:val="right"/>
              <w:rPr>
                <w:rFonts w:ascii="Calibri" w:hAnsi="Calibri"/>
                <w:color w:val="000000"/>
              </w:rPr>
            </w:pPr>
            <w:r>
              <w:rPr>
                <w:rFonts w:ascii="Calibri" w:hAnsi="Calibri"/>
                <w:color w:val="000000"/>
              </w:rPr>
              <w:t>-0.21</w:t>
            </w:r>
          </w:p>
        </w:tc>
        <w:tc>
          <w:tcPr>
            <w:tcW w:w="1259" w:type="dxa"/>
            <w:tcBorders>
              <w:top w:val="nil"/>
              <w:left w:val="nil"/>
              <w:bottom w:val="nil"/>
              <w:right w:val="nil"/>
            </w:tcBorders>
            <w:shd w:val="clear" w:color="auto" w:fill="auto"/>
            <w:noWrap/>
            <w:vAlign w:val="bottom"/>
            <w:hideMark/>
          </w:tcPr>
          <w:p w14:paraId="3D8B494E" w14:textId="77777777" w:rsidR="004F461F" w:rsidRDefault="004F461F" w:rsidP="0006322D">
            <w:pPr>
              <w:spacing w:after="0" w:line="240" w:lineRule="auto"/>
              <w:jc w:val="right"/>
              <w:rPr>
                <w:rFonts w:ascii="Calibri" w:hAnsi="Calibri"/>
                <w:color w:val="000000"/>
              </w:rPr>
            </w:pPr>
            <w:r>
              <w:rPr>
                <w:rFonts w:ascii="Calibri" w:hAnsi="Calibri"/>
                <w:color w:val="000000"/>
              </w:rPr>
              <w:t>0.08</w:t>
            </w:r>
          </w:p>
        </w:tc>
        <w:tc>
          <w:tcPr>
            <w:tcW w:w="1025" w:type="dxa"/>
            <w:tcBorders>
              <w:top w:val="nil"/>
              <w:left w:val="nil"/>
              <w:bottom w:val="nil"/>
              <w:right w:val="nil"/>
            </w:tcBorders>
            <w:shd w:val="clear" w:color="auto" w:fill="auto"/>
            <w:noWrap/>
            <w:vAlign w:val="bottom"/>
            <w:hideMark/>
          </w:tcPr>
          <w:p w14:paraId="2387FE3E" w14:textId="77777777" w:rsidR="004F461F" w:rsidRDefault="004F461F" w:rsidP="0006322D">
            <w:pPr>
              <w:spacing w:after="0" w:line="240" w:lineRule="auto"/>
              <w:jc w:val="right"/>
              <w:rPr>
                <w:rFonts w:ascii="Calibri" w:hAnsi="Calibri"/>
                <w:color w:val="000000"/>
              </w:rPr>
            </w:pPr>
            <w:r>
              <w:rPr>
                <w:rFonts w:ascii="Calibri" w:hAnsi="Calibri"/>
                <w:color w:val="000000"/>
              </w:rPr>
              <w:t>-0.3</w:t>
            </w:r>
          </w:p>
        </w:tc>
      </w:tr>
      <w:tr w:rsidR="004F461F" w:rsidRPr="00960D30" w14:paraId="37ECBE6B" w14:textId="77777777" w:rsidTr="0006322D">
        <w:trPr>
          <w:trHeight w:val="299"/>
        </w:trPr>
        <w:tc>
          <w:tcPr>
            <w:tcW w:w="2934" w:type="dxa"/>
            <w:tcBorders>
              <w:top w:val="nil"/>
              <w:left w:val="nil"/>
              <w:bottom w:val="nil"/>
              <w:right w:val="nil"/>
            </w:tcBorders>
            <w:shd w:val="clear" w:color="auto" w:fill="auto"/>
            <w:noWrap/>
            <w:vAlign w:val="bottom"/>
            <w:hideMark/>
          </w:tcPr>
          <w:p w14:paraId="084634EB"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 xml:space="preserve">Small group * </w:t>
            </w:r>
            <w:r>
              <w:rPr>
                <w:rFonts w:ascii="Calibri" w:eastAsia="Times New Roman" w:hAnsi="Calibri" w:cs="Times New Roman"/>
                <w:color w:val="000000"/>
              </w:rPr>
              <w:t>Post ACA</w:t>
            </w:r>
          </w:p>
        </w:tc>
        <w:tc>
          <w:tcPr>
            <w:tcW w:w="1240" w:type="dxa"/>
            <w:tcBorders>
              <w:top w:val="nil"/>
              <w:left w:val="nil"/>
              <w:bottom w:val="nil"/>
              <w:right w:val="nil"/>
            </w:tcBorders>
            <w:shd w:val="clear" w:color="auto" w:fill="auto"/>
            <w:noWrap/>
            <w:vAlign w:val="bottom"/>
            <w:hideMark/>
          </w:tcPr>
          <w:p w14:paraId="0868E1A8" w14:textId="77777777" w:rsidR="004F461F" w:rsidRDefault="004F461F" w:rsidP="0006322D">
            <w:pPr>
              <w:spacing w:after="0" w:line="240" w:lineRule="auto"/>
              <w:jc w:val="right"/>
              <w:rPr>
                <w:rFonts w:ascii="Calibri" w:hAnsi="Calibri"/>
                <w:color w:val="000000"/>
              </w:rPr>
            </w:pPr>
            <w:r>
              <w:rPr>
                <w:rFonts w:ascii="Calibri" w:hAnsi="Calibri"/>
                <w:color w:val="000000"/>
              </w:rPr>
              <w:t>-0.04</w:t>
            </w:r>
          </w:p>
        </w:tc>
        <w:tc>
          <w:tcPr>
            <w:tcW w:w="1047" w:type="dxa"/>
            <w:tcBorders>
              <w:top w:val="nil"/>
              <w:left w:val="nil"/>
              <w:bottom w:val="nil"/>
              <w:right w:val="nil"/>
            </w:tcBorders>
            <w:shd w:val="clear" w:color="auto" w:fill="auto"/>
            <w:noWrap/>
            <w:vAlign w:val="bottom"/>
            <w:hideMark/>
          </w:tcPr>
          <w:p w14:paraId="3AA5AC0B" w14:textId="77777777" w:rsidR="004F461F" w:rsidRDefault="004F461F" w:rsidP="0006322D">
            <w:pPr>
              <w:spacing w:after="0" w:line="240" w:lineRule="auto"/>
              <w:jc w:val="right"/>
              <w:rPr>
                <w:rFonts w:ascii="Calibri" w:hAnsi="Calibri"/>
                <w:color w:val="000000"/>
              </w:rPr>
            </w:pPr>
            <w:r>
              <w:rPr>
                <w:rFonts w:ascii="Calibri" w:hAnsi="Calibri"/>
                <w:color w:val="000000"/>
              </w:rPr>
              <w:t>0.03</w:t>
            </w:r>
          </w:p>
        </w:tc>
        <w:tc>
          <w:tcPr>
            <w:tcW w:w="1163" w:type="dxa"/>
            <w:tcBorders>
              <w:top w:val="nil"/>
              <w:left w:val="nil"/>
              <w:bottom w:val="nil"/>
              <w:right w:val="nil"/>
            </w:tcBorders>
            <w:shd w:val="clear" w:color="auto" w:fill="auto"/>
            <w:noWrap/>
            <w:vAlign w:val="bottom"/>
            <w:hideMark/>
          </w:tcPr>
          <w:p w14:paraId="00C5FCD0" w14:textId="77777777" w:rsidR="004F461F" w:rsidRDefault="004F461F" w:rsidP="0006322D">
            <w:pPr>
              <w:spacing w:after="0" w:line="240" w:lineRule="auto"/>
              <w:jc w:val="right"/>
              <w:rPr>
                <w:rFonts w:ascii="Calibri" w:hAnsi="Calibri"/>
                <w:color w:val="000000"/>
              </w:rPr>
            </w:pPr>
            <w:r>
              <w:rPr>
                <w:rFonts w:ascii="Calibri" w:hAnsi="Calibri"/>
                <w:color w:val="000000"/>
              </w:rPr>
              <w:t>-0.12</w:t>
            </w:r>
          </w:p>
        </w:tc>
        <w:tc>
          <w:tcPr>
            <w:tcW w:w="1320" w:type="dxa"/>
            <w:tcBorders>
              <w:top w:val="nil"/>
              <w:left w:val="nil"/>
              <w:bottom w:val="nil"/>
              <w:right w:val="nil"/>
            </w:tcBorders>
            <w:shd w:val="clear" w:color="auto" w:fill="auto"/>
            <w:noWrap/>
            <w:vAlign w:val="bottom"/>
            <w:hideMark/>
          </w:tcPr>
          <w:p w14:paraId="468070BC" w14:textId="77777777" w:rsidR="004F461F" w:rsidRDefault="004F461F" w:rsidP="0006322D">
            <w:pPr>
              <w:spacing w:after="0" w:line="240" w:lineRule="auto"/>
              <w:jc w:val="right"/>
              <w:rPr>
                <w:rFonts w:ascii="Calibri" w:hAnsi="Calibri"/>
                <w:color w:val="000000"/>
              </w:rPr>
            </w:pPr>
            <w:r>
              <w:rPr>
                <w:rFonts w:ascii="Calibri" w:hAnsi="Calibri"/>
                <w:color w:val="000000"/>
              </w:rPr>
              <w:t>-0.09</w:t>
            </w:r>
          </w:p>
        </w:tc>
        <w:tc>
          <w:tcPr>
            <w:tcW w:w="1259" w:type="dxa"/>
            <w:tcBorders>
              <w:top w:val="nil"/>
              <w:left w:val="nil"/>
              <w:bottom w:val="nil"/>
              <w:right w:val="nil"/>
            </w:tcBorders>
            <w:shd w:val="clear" w:color="auto" w:fill="auto"/>
            <w:noWrap/>
            <w:vAlign w:val="bottom"/>
            <w:hideMark/>
          </w:tcPr>
          <w:p w14:paraId="4871A67A" w14:textId="77777777" w:rsidR="004F461F" w:rsidRDefault="004F461F" w:rsidP="0006322D">
            <w:pPr>
              <w:spacing w:after="0" w:line="240" w:lineRule="auto"/>
              <w:jc w:val="right"/>
              <w:rPr>
                <w:rFonts w:ascii="Calibri" w:hAnsi="Calibri"/>
                <w:color w:val="000000"/>
              </w:rPr>
            </w:pPr>
            <w:r>
              <w:rPr>
                <w:rFonts w:ascii="Calibri" w:hAnsi="Calibri"/>
                <w:color w:val="000000"/>
              </w:rPr>
              <w:t>-0.14</w:t>
            </w:r>
          </w:p>
        </w:tc>
        <w:tc>
          <w:tcPr>
            <w:tcW w:w="1025" w:type="dxa"/>
            <w:tcBorders>
              <w:top w:val="nil"/>
              <w:left w:val="nil"/>
              <w:bottom w:val="nil"/>
              <w:right w:val="nil"/>
            </w:tcBorders>
            <w:shd w:val="clear" w:color="auto" w:fill="auto"/>
            <w:noWrap/>
            <w:vAlign w:val="bottom"/>
            <w:hideMark/>
          </w:tcPr>
          <w:p w14:paraId="4B0C74E1" w14:textId="77777777" w:rsidR="004F461F" w:rsidRDefault="004F461F" w:rsidP="0006322D">
            <w:pPr>
              <w:spacing w:after="0" w:line="240" w:lineRule="auto"/>
              <w:jc w:val="right"/>
              <w:rPr>
                <w:rFonts w:ascii="Calibri" w:hAnsi="Calibri"/>
                <w:color w:val="000000"/>
              </w:rPr>
            </w:pPr>
            <w:r>
              <w:rPr>
                <w:rFonts w:ascii="Calibri" w:hAnsi="Calibri"/>
                <w:color w:val="000000"/>
              </w:rPr>
              <w:t>-0.21</w:t>
            </w:r>
          </w:p>
        </w:tc>
      </w:tr>
      <w:tr w:rsidR="004F461F" w:rsidRPr="00960D30" w14:paraId="0BF67CBE" w14:textId="77777777" w:rsidTr="0006322D">
        <w:trPr>
          <w:trHeight w:val="299"/>
        </w:trPr>
        <w:tc>
          <w:tcPr>
            <w:tcW w:w="2934" w:type="dxa"/>
            <w:tcBorders>
              <w:top w:val="nil"/>
              <w:left w:val="nil"/>
              <w:bottom w:val="nil"/>
              <w:right w:val="nil"/>
            </w:tcBorders>
            <w:shd w:val="clear" w:color="auto" w:fill="auto"/>
            <w:noWrap/>
            <w:vAlign w:val="bottom"/>
            <w:hideMark/>
          </w:tcPr>
          <w:p w14:paraId="1051F12E" w14:textId="77777777" w:rsidR="004F461F" w:rsidRPr="00960D30" w:rsidRDefault="004F461F" w:rsidP="0006322D">
            <w:pPr>
              <w:spacing w:after="0" w:line="240" w:lineRule="auto"/>
              <w:rPr>
                <w:rFonts w:ascii="Calibri" w:eastAsia="Times New Roman" w:hAnsi="Calibri" w:cs="Times New Roman"/>
                <w:color w:val="000000"/>
              </w:rPr>
            </w:pPr>
            <w:r>
              <w:rPr>
                <w:rFonts w:ascii="Calibri" w:eastAsia="Times New Roman" w:hAnsi="Calibri" w:cs="Times New Roman"/>
                <w:color w:val="000000"/>
              </w:rPr>
              <w:t>Age</w:t>
            </w:r>
          </w:p>
        </w:tc>
        <w:tc>
          <w:tcPr>
            <w:tcW w:w="1240" w:type="dxa"/>
            <w:tcBorders>
              <w:top w:val="nil"/>
              <w:left w:val="nil"/>
              <w:bottom w:val="nil"/>
              <w:right w:val="nil"/>
            </w:tcBorders>
            <w:shd w:val="clear" w:color="auto" w:fill="auto"/>
            <w:noWrap/>
            <w:vAlign w:val="bottom"/>
            <w:hideMark/>
          </w:tcPr>
          <w:p w14:paraId="329E312D" w14:textId="77777777" w:rsidR="004F461F" w:rsidRPr="00960D30" w:rsidRDefault="004F461F" w:rsidP="0006322D">
            <w:pPr>
              <w:spacing w:after="0" w:line="240" w:lineRule="auto"/>
              <w:jc w:val="right"/>
              <w:rPr>
                <w:rFonts w:ascii="Calibri" w:eastAsia="Times New Roman" w:hAnsi="Calibri" w:cs="Times New Roman"/>
                <w:color w:val="000000"/>
              </w:rPr>
            </w:pPr>
            <w:r>
              <w:rPr>
                <w:rFonts w:ascii="Calibri" w:hAnsi="Calibri"/>
                <w:color w:val="000000"/>
              </w:rPr>
              <w:t>0.05**</w:t>
            </w:r>
          </w:p>
        </w:tc>
        <w:tc>
          <w:tcPr>
            <w:tcW w:w="1047" w:type="dxa"/>
            <w:tcBorders>
              <w:top w:val="nil"/>
              <w:left w:val="nil"/>
              <w:bottom w:val="nil"/>
              <w:right w:val="nil"/>
            </w:tcBorders>
            <w:shd w:val="clear" w:color="auto" w:fill="auto"/>
            <w:noWrap/>
            <w:vAlign w:val="bottom"/>
            <w:hideMark/>
          </w:tcPr>
          <w:p w14:paraId="79D15F6A"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0.06***</w:t>
            </w:r>
          </w:p>
        </w:tc>
        <w:tc>
          <w:tcPr>
            <w:tcW w:w="1163" w:type="dxa"/>
            <w:tcBorders>
              <w:top w:val="nil"/>
              <w:left w:val="nil"/>
              <w:bottom w:val="nil"/>
              <w:right w:val="nil"/>
            </w:tcBorders>
            <w:shd w:val="clear" w:color="auto" w:fill="auto"/>
            <w:noWrap/>
            <w:vAlign w:val="bottom"/>
            <w:hideMark/>
          </w:tcPr>
          <w:p w14:paraId="70465E11"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-0.04*</w:t>
            </w:r>
          </w:p>
        </w:tc>
        <w:tc>
          <w:tcPr>
            <w:tcW w:w="1320" w:type="dxa"/>
            <w:tcBorders>
              <w:top w:val="nil"/>
              <w:left w:val="nil"/>
              <w:bottom w:val="nil"/>
              <w:right w:val="nil"/>
            </w:tcBorders>
            <w:shd w:val="clear" w:color="auto" w:fill="auto"/>
            <w:noWrap/>
            <w:vAlign w:val="bottom"/>
            <w:hideMark/>
          </w:tcPr>
          <w:p w14:paraId="5693960E"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0.04</w:t>
            </w:r>
          </w:p>
        </w:tc>
        <w:tc>
          <w:tcPr>
            <w:tcW w:w="1259" w:type="dxa"/>
            <w:tcBorders>
              <w:top w:val="nil"/>
              <w:left w:val="nil"/>
              <w:bottom w:val="nil"/>
              <w:right w:val="nil"/>
            </w:tcBorders>
            <w:shd w:val="clear" w:color="auto" w:fill="auto"/>
            <w:noWrap/>
            <w:vAlign w:val="bottom"/>
            <w:hideMark/>
          </w:tcPr>
          <w:p w14:paraId="76F075DE"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w:t>
            </w:r>
          </w:p>
        </w:tc>
        <w:tc>
          <w:tcPr>
            <w:tcW w:w="1025" w:type="dxa"/>
            <w:tcBorders>
              <w:top w:val="nil"/>
              <w:left w:val="nil"/>
              <w:bottom w:val="nil"/>
              <w:right w:val="nil"/>
            </w:tcBorders>
            <w:shd w:val="clear" w:color="auto" w:fill="auto"/>
            <w:noWrap/>
            <w:vAlign w:val="bottom"/>
            <w:hideMark/>
          </w:tcPr>
          <w:p w14:paraId="01E6BD3D"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-0.07</w:t>
            </w:r>
          </w:p>
        </w:tc>
      </w:tr>
      <w:tr w:rsidR="004F461F" w:rsidRPr="00960D30" w14:paraId="1EBB77EC" w14:textId="77777777" w:rsidTr="0006322D">
        <w:trPr>
          <w:trHeight w:val="299"/>
        </w:trPr>
        <w:tc>
          <w:tcPr>
            <w:tcW w:w="2934" w:type="dxa"/>
            <w:tcBorders>
              <w:top w:val="nil"/>
              <w:left w:val="nil"/>
              <w:bottom w:val="nil"/>
              <w:right w:val="nil"/>
            </w:tcBorders>
            <w:shd w:val="clear" w:color="auto" w:fill="auto"/>
            <w:noWrap/>
            <w:vAlign w:val="bottom"/>
          </w:tcPr>
          <w:p w14:paraId="0A1C459E" w14:textId="77777777" w:rsidR="004F461F" w:rsidRDefault="004F461F" w:rsidP="0006322D">
            <w:pPr>
              <w:spacing w:after="0" w:line="240" w:lineRule="auto"/>
              <w:rPr>
                <w:rFonts w:ascii="Calibri" w:eastAsia="Times New Roman" w:hAnsi="Calibri" w:cs="Times New Roman"/>
                <w:color w:val="000000"/>
              </w:rPr>
            </w:pPr>
            <w:r>
              <w:rPr>
                <w:rFonts w:ascii="Calibri" w:eastAsia="Times New Roman" w:hAnsi="Calibri" w:cs="Times New Roman"/>
                <w:color w:val="000000"/>
              </w:rPr>
              <w:t>Age squared</w:t>
            </w:r>
          </w:p>
        </w:tc>
        <w:tc>
          <w:tcPr>
            <w:tcW w:w="1240" w:type="dxa"/>
            <w:tcBorders>
              <w:top w:val="nil"/>
              <w:left w:val="nil"/>
              <w:bottom w:val="nil"/>
              <w:right w:val="nil"/>
            </w:tcBorders>
            <w:shd w:val="clear" w:color="auto" w:fill="auto"/>
            <w:noWrap/>
            <w:vAlign w:val="bottom"/>
          </w:tcPr>
          <w:p w14:paraId="79A77888" w14:textId="77777777" w:rsidR="004F461F" w:rsidRPr="00960D30" w:rsidRDefault="004F461F" w:rsidP="0006322D">
            <w:pPr>
              <w:spacing w:after="0" w:line="240" w:lineRule="auto"/>
              <w:jc w:val="right"/>
              <w:rPr>
                <w:rFonts w:ascii="Calibri" w:eastAsia="Times New Roman" w:hAnsi="Calibri" w:cs="Times New Roman"/>
                <w:color w:val="000000"/>
              </w:rPr>
            </w:pPr>
            <w:r>
              <w:rPr>
                <w:rFonts w:ascii="Calibri" w:hAnsi="Calibri"/>
                <w:color w:val="000000"/>
              </w:rPr>
              <w:t>-0.00*</w:t>
            </w:r>
          </w:p>
        </w:tc>
        <w:tc>
          <w:tcPr>
            <w:tcW w:w="1047" w:type="dxa"/>
            <w:tcBorders>
              <w:top w:val="nil"/>
              <w:left w:val="nil"/>
              <w:bottom w:val="nil"/>
              <w:right w:val="nil"/>
            </w:tcBorders>
            <w:shd w:val="clear" w:color="auto" w:fill="auto"/>
            <w:noWrap/>
            <w:vAlign w:val="bottom"/>
          </w:tcPr>
          <w:p w14:paraId="28C7E88E"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-0.00**</w:t>
            </w:r>
          </w:p>
        </w:tc>
        <w:tc>
          <w:tcPr>
            <w:tcW w:w="1163" w:type="dxa"/>
            <w:tcBorders>
              <w:top w:val="nil"/>
              <w:left w:val="nil"/>
              <w:bottom w:val="nil"/>
              <w:right w:val="nil"/>
            </w:tcBorders>
            <w:shd w:val="clear" w:color="auto" w:fill="auto"/>
            <w:noWrap/>
            <w:vAlign w:val="bottom"/>
          </w:tcPr>
          <w:p w14:paraId="183158CB"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w:t>
            </w:r>
          </w:p>
        </w:tc>
        <w:tc>
          <w:tcPr>
            <w:tcW w:w="1320" w:type="dxa"/>
            <w:tcBorders>
              <w:top w:val="nil"/>
              <w:left w:val="nil"/>
              <w:bottom w:val="nil"/>
              <w:right w:val="nil"/>
            </w:tcBorders>
            <w:shd w:val="clear" w:color="auto" w:fill="auto"/>
            <w:noWrap/>
            <w:vAlign w:val="bottom"/>
          </w:tcPr>
          <w:p w14:paraId="382828FB"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w:t>
            </w:r>
          </w:p>
        </w:tc>
        <w:tc>
          <w:tcPr>
            <w:tcW w:w="1259" w:type="dxa"/>
            <w:tcBorders>
              <w:top w:val="nil"/>
              <w:left w:val="nil"/>
              <w:bottom w:val="nil"/>
              <w:right w:val="nil"/>
            </w:tcBorders>
            <w:shd w:val="clear" w:color="auto" w:fill="auto"/>
            <w:noWrap/>
            <w:vAlign w:val="bottom"/>
          </w:tcPr>
          <w:p w14:paraId="77B8F8BA"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0</w:t>
            </w:r>
          </w:p>
        </w:tc>
        <w:tc>
          <w:tcPr>
            <w:tcW w:w="1025" w:type="dxa"/>
            <w:tcBorders>
              <w:top w:val="nil"/>
              <w:left w:val="nil"/>
              <w:bottom w:val="nil"/>
              <w:right w:val="nil"/>
            </w:tcBorders>
            <w:shd w:val="clear" w:color="auto" w:fill="auto"/>
            <w:noWrap/>
            <w:vAlign w:val="bottom"/>
          </w:tcPr>
          <w:p w14:paraId="0E2AE5B8"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r>
              <w:rPr>
                <w:rFonts w:ascii="Calibri" w:hAnsi="Calibri"/>
                <w:color w:val="000000"/>
              </w:rPr>
              <w:t xml:space="preserve">0.00*  </w:t>
            </w:r>
          </w:p>
        </w:tc>
      </w:tr>
      <w:tr w:rsidR="004F461F" w:rsidRPr="00960D30" w14:paraId="1B072D61" w14:textId="77777777" w:rsidTr="0006322D">
        <w:trPr>
          <w:trHeight w:val="299"/>
        </w:trPr>
        <w:tc>
          <w:tcPr>
            <w:tcW w:w="2934" w:type="dxa"/>
            <w:tcBorders>
              <w:top w:val="nil"/>
              <w:left w:val="nil"/>
              <w:bottom w:val="nil"/>
              <w:right w:val="nil"/>
            </w:tcBorders>
            <w:shd w:val="clear" w:color="auto" w:fill="auto"/>
            <w:noWrap/>
            <w:vAlign w:val="bottom"/>
            <w:hideMark/>
          </w:tcPr>
          <w:p w14:paraId="18F4556E"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Female</w:t>
            </w:r>
          </w:p>
        </w:tc>
        <w:tc>
          <w:tcPr>
            <w:tcW w:w="1240" w:type="dxa"/>
            <w:tcBorders>
              <w:top w:val="nil"/>
              <w:left w:val="nil"/>
              <w:bottom w:val="nil"/>
              <w:right w:val="nil"/>
            </w:tcBorders>
            <w:shd w:val="clear" w:color="auto" w:fill="auto"/>
            <w:noWrap/>
            <w:vAlign w:val="bottom"/>
            <w:hideMark/>
          </w:tcPr>
          <w:p w14:paraId="707E1561" w14:textId="77777777" w:rsidR="004F461F" w:rsidRDefault="004F461F" w:rsidP="0006322D">
            <w:pPr>
              <w:spacing w:after="0" w:line="240" w:lineRule="auto"/>
              <w:jc w:val="right"/>
              <w:rPr>
                <w:rFonts w:ascii="Calibri" w:hAnsi="Calibri"/>
                <w:color w:val="000000"/>
              </w:rPr>
            </w:pPr>
            <w:r>
              <w:rPr>
                <w:rFonts w:ascii="Calibri" w:hAnsi="Calibri"/>
                <w:color w:val="000000"/>
              </w:rPr>
              <w:t>0</w:t>
            </w:r>
          </w:p>
        </w:tc>
        <w:tc>
          <w:tcPr>
            <w:tcW w:w="1047" w:type="dxa"/>
            <w:tcBorders>
              <w:top w:val="nil"/>
              <w:left w:val="nil"/>
              <w:bottom w:val="nil"/>
              <w:right w:val="nil"/>
            </w:tcBorders>
            <w:shd w:val="clear" w:color="auto" w:fill="auto"/>
            <w:noWrap/>
            <w:vAlign w:val="bottom"/>
            <w:hideMark/>
          </w:tcPr>
          <w:p w14:paraId="300721D3" w14:textId="77777777" w:rsidR="004F461F" w:rsidRDefault="004F461F" w:rsidP="0006322D">
            <w:pPr>
              <w:spacing w:after="0" w:line="240" w:lineRule="auto"/>
              <w:jc w:val="right"/>
              <w:rPr>
                <w:rFonts w:ascii="Calibri" w:hAnsi="Calibri"/>
                <w:color w:val="000000"/>
              </w:rPr>
            </w:pPr>
            <w:r>
              <w:rPr>
                <w:rFonts w:ascii="Calibri" w:hAnsi="Calibri"/>
                <w:color w:val="000000"/>
              </w:rPr>
              <w:t>0.26***</w:t>
            </w:r>
          </w:p>
        </w:tc>
        <w:tc>
          <w:tcPr>
            <w:tcW w:w="1163" w:type="dxa"/>
            <w:tcBorders>
              <w:top w:val="nil"/>
              <w:left w:val="nil"/>
              <w:bottom w:val="nil"/>
              <w:right w:val="nil"/>
            </w:tcBorders>
            <w:shd w:val="clear" w:color="auto" w:fill="auto"/>
            <w:noWrap/>
            <w:vAlign w:val="bottom"/>
            <w:hideMark/>
          </w:tcPr>
          <w:p w14:paraId="1CA97199" w14:textId="77777777" w:rsidR="004F461F" w:rsidRDefault="004F461F" w:rsidP="0006322D">
            <w:pPr>
              <w:spacing w:after="0" w:line="240" w:lineRule="auto"/>
              <w:jc w:val="right"/>
              <w:rPr>
                <w:rFonts w:ascii="Calibri" w:hAnsi="Calibri"/>
                <w:color w:val="000000"/>
              </w:rPr>
            </w:pPr>
            <w:r>
              <w:rPr>
                <w:rFonts w:ascii="Calibri" w:hAnsi="Calibri"/>
                <w:color w:val="000000"/>
              </w:rPr>
              <w:t>-0.54***</w:t>
            </w:r>
          </w:p>
        </w:tc>
        <w:tc>
          <w:tcPr>
            <w:tcW w:w="1320" w:type="dxa"/>
            <w:tcBorders>
              <w:top w:val="nil"/>
              <w:left w:val="nil"/>
              <w:bottom w:val="nil"/>
              <w:right w:val="nil"/>
            </w:tcBorders>
            <w:shd w:val="clear" w:color="auto" w:fill="auto"/>
            <w:noWrap/>
            <w:vAlign w:val="bottom"/>
            <w:hideMark/>
          </w:tcPr>
          <w:p w14:paraId="2B77BB2C" w14:textId="77777777" w:rsidR="004F461F" w:rsidRDefault="004F461F" w:rsidP="0006322D">
            <w:pPr>
              <w:spacing w:after="0" w:line="240" w:lineRule="auto"/>
              <w:jc w:val="right"/>
              <w:rPr>
                <w:rFonts w:ascii="Calibri" w:hAnsi="Calibri"/>
                <w:color w:val="000000"/>
              </w:rPr>
            </w:pPr>
            <w:r>
              <w:rPr>
                <w:rFonts w:ascii="Calibri" w:hAnsi="Calibri"/>
                <w:color w:val="000000"/>
              </w:rPr>
              <w:t>0.22**</w:t>
            </w:r>
          </w:p>
        </w:tc>
        <w:tc>
          <w:tcPr>
            <w:tcW w:w="1259" w:type="dxa"/>
            <w:tcBorders>
              <w:top w:val="nil"/>
              <w:left w:val="nil"/>
              <w:bottom w:val="nil"/>
              <w:right w:val="nil"/>
            </w:tcBorders>
            <w:shd w:val="clear" w:color="auto" w:fill="auto"/>
            <w:noWrap/>
            <w:vAlign w:val="bottom"/>
            <w:hideMark/>
          </w:tcPr>
          <w:p w14:paraId="2B54507E" w14:textId="77777777" w:rsidR="004F461F" w:rsidRDefault="004F461F" w:rsidP="0006322D">
            <w:pPr>
              <w:spacing w:after="0" w:line="240" w:lineRule="auto"/>
              <w:jc w:val="right"/>
              <w:rPr>
                <w:rFonts w:ascii="Calibri" w:hAnsi="Calibri"/>
                <w:color w:val="000000"/>
              </w:rPr>
            </w:pPr>
            <w:r>
              <w:rPr>
                <w:rFonts w:ascii="Calibri" w:hAnsi="Calibri"/>
                <w:color w:val="000000"/>
              </w:rPr>
              <w:t>0.41***</w:t>
            </w:r>
          </w:p>
        </w:tc>
        <w:tc>
          <w:tcPr>
            <w:tcW w:w="1025" w:type="dxa"/>
            <w:tcBorders>
              <w:top w:val="nil"/>
              <w:left w:val="nil"/>
              <w:bottom w:val="nil"/>
              <w:right w:val="nil"/>
            </w:tcBorders>
            <w:shd w:val="clear" w:color="auto" w:fill="auto"/>
            <w:noWrap/>
            <w:vAlign w:val="bottom"/>
            <w:hideMark/>
          </w:tcPr>
          <w:p w14:paraId="5CA0AC84" w14:textId="77777777" w:rsidR="004F461F" w:rsidRDefault="004F461F" w:rsidP="0006322D">
            <w:pPr>
              <w:spacing w:after="0" w:line="240" w:lineRule="auto"/>
              <w:jc w:val="right"/>
              <w:rPr>
                <w:rFonts w:ascii="Calibri" w:hAnsi="Calibri"/>
                <w:color w:val="000000"/>
              </w:rPr>
            </w:pPr>
            <w:r>
              <w:rPr>
                <w:rFonts w:ascii="Calibri" w:hAnsi="Calibri"/>
                <w:color w:val="000000"/>
              </w:rPr>
              <w:t>0.1</w:t>
            </w:r>
          </w:p>
        </w:tc>
      </w:tr>
      <w:tr w:rsidR="004F461F" w:rsidRPr="00960D30" w14:paraId="731BC1F2" w14:textId="77777777" w:rsidTr="0006322D">
        <w:trPr>
          <w:trHeight w:val="299"/>
        </w:trPr>
        <w:tc>
          <w:tcPr>
            <w:tcW w:w="2934" w:type="dxa"/>
            <w:tcBorders>
              <w:top w:val="nil"/>
              <w:left w:val="nil"/>
              <w:bottom w:val="nil"/>
              <w:right w:val="nil"/>
            </w:tcBorders>
            <w:shd w:val="clear" w:color="auto" w:fill="auto"/>
            <w:noWrap/>
            <w:vAlign w:val="bottom"/>
            <w:hideMark/>
          </w:tcPr>
          <w:p w14:paraId="7D64AB84"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Race (versus White)</w:t>
            </w:r>
          </w:p>
        </w:tc>
        <w:tc>
          <w:tcPr>
            <w:tcW w:w="1240" w:type="dxa"/>
            <w:tcBorders>
              <w:top w:val="nil"/>
              <w:left w:val="nil"/>
              <w:bottom w:val="nil"/>
              <w:right w:val="nil"/>
            </w:tcBorders>
            <w:shd w:val="clear" w:color="auto" w:fill="auto"/>
            <w:noWrap/>
            <w:vAlign w:val="bottom"/>
            <w:hideMark/>
          </w:tcPr>
          <w:p w14:paraId="1A14D985" w14:textId="77777777" w:rsidR="004F461F" w:rsidRPr="00960D30" w:rsidRDefault="004F461F" w:rsidP="0006322D">
            <w:pPr>
              <w:spacing w:after="0" w:line="240" w:lineRule="auto"/>
              <w:rPr>
                <w:rFonts w:ascii="Calibri" w:eastAsia="Times New Roman" w:hAnsi="Calibri" w:cs="Times New Roman"/>
                <w:color w:val="000000"/>
              </w:rPr>
            </w:pPr>
          </w:p>
        </w:tc>
        <w:tc>
          <w:tcPr>
            <w:tcW w:w="1047" w:type="dxa"/>
            <w:tcBorders>
              <w:top w:val="nil"/>
              <w:left w:val="nil"/>
              <w:bottom w:val="nil"/>
              <w:right w:val="nil"/>
            </w:tcBorders>
            <w:shd w:val="clear" w:color="auto" w:fill="auto"/>
            <w:noWrap/>
            <w:vAlign w:val="bottom"/>
            <w:hideMark/>
          </w:tcPr>
          <w:p w14:paraId="2CE992D1"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17B22B0E"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92A645F"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259" w:type="dxa"/>
            <w:tcBorders>
              <w:top w:val="nil"/>
              <w:left w:val="nil"/>
              <w:bottom w:val="nil"/>
              <w:right w:val="nil"/>
            </w:tcBorders>
            <w:shd w:val="clear" w:color="auto" w:fill="auto"/>
            <w:noWrap/>
            <w:vAlign w:val="bottom"/>
            <w:hideMark/>
          </w:tcPr>
          <w:p w14:paraId="5A595166"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025" w:type="dxa"/>
            <w:tcBorders>
              <w:top w:val="nil"/>
              <w:left w:val="nil"/>
              <w:bottom w:val="nil"/>
              <w:right w:val="nil"/>
            </w:tcBorders>
            <w:shd w:val="clear" w:color="auto" w:fill="auto"/>
            <w:noWrap/>
            <w:vAlign w:val="bottom"/>
            <w:hideMark/>
          </w:tcPr>
          <w:p w14:paraId="2F949B6F"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r>
      <w:tr w:rsidR="004F461F" w:rsidRPr="00960D30" w14:paraId="43FD50DC" w14:textId="77777777" w:rsidTr="0006322D">
        <w:trPr>
          <w:trHeight w:val="299"/>
        </w:trPr>
        <w:tc>
          <w:tcPr>
            <w:tcW w:w="2934" w:type="dxa"/>
            <w:tcBorders>
              <w:top w:val="nil"/>
              <w:left w:val="nil"/>
              <w:bottom w:val="nil"/>
              <w:right w:val="nil"/>
            </w:tcBorders>
            <w:shd w:val="clear" w:color="auto" w:fill="auto"/>
            <w:noWrap/>
            <w:vAlign w:val="bottom"/>
            <w:hideMark/>
          </w:tcPr>
          <w:p w14:paraId="0AEC4BD7"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Black</w:t>
            </w:r>
          </w:p>
        </w:tc>
        <w:tc>
          <w:tcPr>
            <w:tcW w:w="1240" w:type="dxa"/>
            <w:tcBorders>
              <w:top w:val="nil"/>
              <w:left w:val="nil"/>
              <w:bottom w:val="nil"/>
              <w:right w:val="nil"/>
            </w:tcBorders>
            <w:shd w:val="clear" w:color="auto" w:fill="auto"/>
            <w:noWrap/>
            <w:vAlign w:val="bottom"/>
            <w:hideMark/>
          </w:tcPr>
          <w:p w14:paraId="26263260" w14:textId="77777777" w:rsidR="004F461F" w:rsidRDefault="004F461F" w:rsidP="0006322D">
            <w:pPr>
              <w:spacing w:after="0" w:line="240" w:lineRule="auto"/>
              <w:jc w:val="right"/>
              <w:rPr>
                <w:rFonts w:ascii="Calibri" w:hAnsi="Calibri"/>
                <w:color w:val="000000"/>
              </w:rPr>
            </w:pPr>
            <w:r>
              <w:rPr>
                <w:rFonts w:ascii="Calibri" w:hAnsi="Calibri"/>
                <w:color w:val="000000"/>
              </w:rPr>
              <w:t>0.03</w:t>
            </w:r>
          </w:p>
        </w:tc>
        <w:tc>
          <w:tcPr>
            <w:tcW w:w="1047" w:type="dxa"/>
            <w:tcBorders>
              <w:top w:val="nil"/>
              <w:left w:val="nil"/>
              <w:bottom w:val="nil"/>
              <w:right w:val="nil"/>
            </w:tcBorders>
            <w:shd w:val="clear" w:color="auto" w:fill="auto"/>
            <w:noWrap/>
            <w:vAlign w:val="bottom"/>
            <w:hideMark/>
          </w:tcPr>
          <w:p w14:paraId="22675A5A" w14:textId="77777777" w:rsidR="004F461F" w:rsidRDefault="004F461F" w:rsidP="0006322D">
            <w:pPr>
              <w:spacing w:after="0" w:line="240" w:lineRule="auto"/>
              <w:jc w:val="right"/>
              <w:rPr>
                <w:rFonts w:ascii="Calibri" w:hAnsi="Calibri"/>
                <w:color w:val="000000"/>
              </w:rPr>
            </w:pPr>
            <w:r>
              <w:rPr>
                <w:rFonts w:ascii="Calibri" w:hAnsi="Calibri"/>
                <w:color w:val="000000"/>
              </w:rPr>
              <w:t>-0.1</w:t>
            </w:r>
          </w:p>
        </w:tc>
        <w:tc>
          <w:tcPr>
            <w:tcW w:w="1163" w:type="dxa"/>
            <w:tcBorders>
              <w:top w:val="nil"/>
              <w:left w:val="nil"/>
              <w:bottom w:val="nil"/>
              <w:right w:val="nil"/>
            </w:tcBorders>
            <w:shd w:val="clear" w:color="auto" w:fill="auto"/>
            <w:noWrap/>
            <w:vAlign w:val="bottom"/>
            <w:hideMark/>
          </w:tcPr>
          <w:p w14:paraId="7202017D" w14:textId="77777777" w:rsidR="004F461F" w:rsidRDefault="004F461F" w:rsidP="0006322D">
            <w:pPr>
              <w:spacing w:after="0" w:line="240" w:lineRule="auto"/>
              <w:jc w:val="right"/>
              <w:rPr>
                <w:rFonts w:ascii="Calibri" w:hAnsi="Calibri"/>
                <w:color w:val="000000"/>
              </w:rPr>
            </w:pPr>
            <w:r>
              <w:rPr>
                <w:rFonts w:ascii="Calibri" w:hAnsi="Calibri"/>
                <w:color w:val="000000"/>
              </w:rPr>
              <w:t>-0.03</w:t>
            </w:r>
          </w:p>
        </w:tc>
        <w:tc>
          <w:tcPr>
            <w:tcW w:w="1320" w:type="dxa"/>
            <w:tcBorders>
              <w:top w:val="nil"/>
              <w:left w:val="nil"/>
              <w:bottom w:val="nil"/>
              <w:right w:val="nil"/>
            </w:tcBorders>
            <w:shd w:val="clear" w:color="auto" w:fill="auto"/>
            <w:noWrap/>
            <w:vAlign w:val="bottom"/>
            <w:hideMark/>
          </w:tcPr>
          <w:p w14:paraId="52000D99" w14:textId="77777777" w:rsidR="004F461F" w:rsidRDefault="004F461F" w:rsidP="0006322D">
            <w:pPr>
              <w:spacing w:after="0" w:line="240" w:lineRule="auto"/>
              <w:jc w:val="right"/>
              <w:rPr>
                <w:rFonts w:ascii="Calibri" w:hAnsi="Calibri"/>
                <w:color w:val="000000"/>
              </w:rPr>
            </w:pPr>
            <w:r>
              <w:rPr>
                <w:rFonts w:ascii="Calibri" w:hAnsi="Calibri"/>
                <w:color w:val="000000"/>
              </w:rPr>
              <w:t>-0.09</w:t>
            </w:r>
          </w:p>
        </w:tc>
        <w:tc>
          <w:tcPr>
            <w:tcW w:w="1259" w:type="dxa"/>
            <w:tcBorders>
              <w:top w:val="nil"/>
              <w:left w:val="nil"/>
              <w:bottom w:val="nil"/>
              <w:right w:val="nil"/>
            </w:tcBorders>
            <w:shd w:val="clear" w:color="auto" w:fill="auto"/>
            <w:noWrap/>
            <w:vAlign w:val="bottom"/>
            <w:hideMark/>
          </w:tcPr>
          <w:p w14:paraId="671683B7" w14:textId="77777777" w:rsidR="004F461F" w:rsidRDefault="004F461F" w:rsidP="0006322D">
            <w:pPr>
              <w:spacing w:after="0" w:line="240" w:lineRule="auto"/>
              <w:jc w:val="right"/>
              <w:rPr>
                <w:rFonts w:ascii="Calibri" w:hAnsi="Calibri"/>
                <w:color w:val="000000"/>
              </w:rPr>
            </w:pPr>
            <w:r>
              <w:rPr>
                <w:rFonts w:ascii="Calibri" w:hAnsi="Calibri"/>
                <w:color w:val="000000"/>
              </w:rPr>
              <w:t>-0.27**</w:t>
            </w:r>
          </w:p>
        </w:tc>
        <w:tc>
          <w:tcPr>
            <w:tcW w:w="1025" w:type="dxa"/>
            <w:tcBorders>
              <w:top w:val="nil"/>
              <w:left w:val="nil"/>
              <w:bottom w:val="nil"/>
              <w:right w:val="nil"/>
            </w:tcBorders>
            <w:shd w:val="clear" w:color="auto" w:fill="auto"/>
            <w:noWrap/>
            <w:vAlign w:val="bottom"/>
            <w:hideMark/>
          </w:tcPr>
          <w:p w14:paraId="65C7FB37" w14:textId="77777777" w:rsidR="004F461F" w:rsidRDefault="004F461F" w:rsidP="0006322D">
            <w:pPr>
              <w:spacing w:after="0" w:line="240" w:lineRule="auto"/>
              <w:jc w:val="right"/>
              <w:rPr>
                <w:rFonts w:ascii="Calibri" w:hAnsi="Calibri"/>
                <w:color w:val="000000"/>
              </w:rPr>
            </w:pPr>
            <w:r>
              <w:rPr>
                <w:rFonts w:ascii="Calibri" w:hAnsi="Calibri"/>
                <w:color w:val="000000"/>
              </w:rPr>
              <w:t>-0.71***</w:t>
            </w:r>
          </w:p>
        </w:tc>
      </w:tr>
      <w:tr w:rsidR="004F461F" w:rsidRPr="00960D30" w14:paraId="234A8180" w14:textId="77777777" w:rsidTr="0006322D">
        <w:trPr>
          <w:trHeight w:val="299"/>
        </w:trPr>
        <w:tc>
          <w:tcPr>
            <w:tcW w:w="2934" w:type="dxa"/>
            <w:tcBorders>
              <w:top w:val="nil"/>
              <w:left w:val="nil"/>
              <w:bottom w:val="nil"/>
              <w:right w:val="nil"/>
            </w:tcBorders>
            <w:shd w:val="clear" w:color="auto" w:fill="auto"/>
            <w:noWrap/>
            <w:vAlign w:val="bottom"/>
            <w:hideMark/>
          </w:tcPr>
          <w:p w14:paraId="6813E6A1"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Asian</w:t>
            </w:r>
          </w:p>
        </w:tc>
        <w:tc>
          <w:tcPr>
            <w:tcW w:w="1240" w:type="dxa"/>
            <w:tcBorders>
              <w:top w:val="nil"/>
              <w:left w:val="nil"/>
              <w:bottom w:val="nil"/>
              <w:right w:val="nil"/>
            </w:tcBorders>
            <w:shd w:val="clear" w:color="auto" w:fill="auto"/>
            <w:noWrap/>
            <w:vAlign w:val="bottom"/>
            <w:hideMark/>
          </w:tcPr>
          <w:p w14:paraId="5E839F1B" w14:textId="77777777" w:rsidR="004F461F" w:rsidRDefault="004F461F" w:rsidP="0006322D">
            <w:pPr>
              <w:spacing w:after="0" w:line="240" w:lineRule="auto"/>
              <w:jc w:val="right"/>
              <w:rPr>
                <w:rFonts w:ascii="Calibri" w:hAnsi="Calibri"/>
                <w:color w:val="000000"/>
              </w:rPr>
            </w:pPr>
            <w:r>
              <w:rPr>
                <w:rFonts w:ascii="Calibri" w:hAnsi="Calibri"/>
                <w:color w:val="000000"/>
              </w:rPr>
              <w:t>-0.11</w:t>
            </w:r>
          </w:p>
        </w:tc>
        <w:tc>
          <w:tcPr>
            <w:tcW w:w="1047" w:type="dxa"/>
            <w:tcBorders>
              <w:top w:val="nil"/>
              <w:left w:val="nil"/>
              <w:bottom w:val="nil"/>
              <w:right w:val="nil"/>
            </w:tcBorders>
            <w:shd w:val="clear" w:color="auto" w:fill="auto"/>
            <w:noWrap/>
            <w:vAlign w:val="bottom"/>
            <w:hideMark/>
          </w:tcPr>
          <w:p w14:paraId="7A7BA8DF" w14:textId="77777777" w:rsidR="004F461F" w:rsidRDefault="004F461F" w:rsidP="0006322D">
            <w:pPr>
              <w:spacing w:after="0" w:line="240" w:lineRule="auto"/>
              <w:jc w:val="right"/>
              <w:rPr>
                <w:rFonts w:ascii="Calibri" w:hAnsi="Calibri"/>
                <w:color w:val="000000"/>
              </w:rPr>
            </w:pPr>
            <w:r>
              <w:rPr>
                <w:rFonts w:ascii="Calibri" w:hAnsi="Calibri"/>
                <w:color w:val="000000"/>
              </w:rPr>
              <w:t>-0.21</w:t>
            </w:r>
          </w:p>
        </w:tc>
        <w:tc>
          <w:tcPr>
            <w:tcW w:w="1163" w:type="dxa"/>
            <w:tcBorders>
              <w:top w:val="nil"/>
              <w:left w:val="nil"/>
              <w:bottom w:val="nil"/>
              <w:right w:val="nil"/>
            </w:tcBorders>
            <w:shd w:val="clear" w:color="auto" w:fill="auto"/>
            <w:noWrap/>
            <w:vAlign w:val="bottom"/>
            <w:hideMark/>
          </w:tcPr>
          <w:p w14:paraId="750A5996" w14:textId="77777777" w:rsidR="004F461F" w:rsidRDefault="004F461F" w:rsidP="0006322D">
            <w:pPr>
              <w:spacing w:after="0" w:line="240" w:lineRule="auto"/>
              <w:jc w:val="right"/>
              <w:rPr>
                <w:rFonts w:ascii="Calibri" w:hAnsi="Calibri"/>
                <w:color w:val="000000"/>
              </w:rPr>
            </w:pPr>
            <w:r>
              <w:rPr>
                <w:rFonts w:ascii="Calibri" w:hAnsi="Calibri"/>
                <w:color w:val="000000"/>
              </w:rPr>
              <w:t>0.11</w:t>
            </w:r>
          </w:p>
        </w:tc>
        <w:tc>
          <w:tcPr>
            <w:tcW w:w="1320" w:type="dxa"/>
            <w:tcBorders>
              <w:top w:val="nil"/>
              <w:left w:val="nil"/>
              <w:bottom w:val="nil"/>
              <w:right w:val="nil"/>
            </w:tcBorders>
            <w:shd w:val="clear" w:color="auto" w:fill="auto"/>
            <w:noWrap/>
            <w:vAlign w:val="bottom"/>
            <w:hideMark/>
          </w:tcPr>
          <w:p w14:paraId="291BC2F5" w14:textId="77777777" w:rsidR="004F461F" w:rsidRDefault="004F461F" w:rsidP="0006322D">
            <w:pPr>
              <w:spacing w:after="0" w:line="240" w:lineRule="auto"/>
              <w:jc w:val="right"/>
              <w:rPr>
                <w:rFonts w:ascii="Calibri" w:hAnsi="Calibri"/>
                <w:color w:val="000000"/>
              </w:rPr>
            </w:pPr>
            <w:r>
              <w:rPr>
                <w:rFonts w:ascii="Calibri" w:hAnsi="Calibri"/>
                <w:color w:val="000000"/>
              </w:rPr>
              <w:t>-0.40*</w:t>
            </w:r>
          </w:p>
        </w:tc>
        <w:tc>
          <w:tcPr>
            <w:tcW w:w="1259" w:type="dxa"/>
            <w:tcBorders>
              <w:top w:val="nil"/>
              <w:left w:val="nil"/>
              <w:bottom w:val="nil"/>
              <w:right w:val="nil"/>
            </w:tcBorders>
            <w:shd w:val="clear" w:color="auto" w:fill="auto"/>
            <w:noWrap/>
            <w:vAlign w:val="bottom"/>
            <w:hideMark/>
          </w:tcPr>
          <w:p w14:paraId="29130766" w14:textId="77777777" w:rsidR="004F461F" w:rsidRDefault="004F461F" w:rsidP="0006322D">
            <w:pPr>
              <w:spacing w:after="0" w:line="240" w:lineRule="auto"/>
              <w:jc w:val="right"/>
              <w:rPr>
                <w:rFonts w:ascii="Calibri" w:hAnsi="Calibri"/>
                <w:color w:val="000000"/>
              </w:rPr>
            </w:pPr>
            <w:r>
              <w:rPr>
                <w:rFonts w:ascii="Calibri" w:hAnsi="Calibri"/>
                <w:color w:val="000000"/>
              </w:rPr>
              <w:t>-0.64***</w:t>
            </w:r>
          </w:p>
        </w:tc>
        <w:tc>
          <w:tcPr>
            <w:tcW w:w="1025" w:type="dxa"/>
            <w:tcBorders>
              <w:top w:val="nil"/>
              <w:left w:val="nil"/>
              <w:bottom w:val="nil"/>
              <w:right w:val="nil"/>
            </w:tcBorders>
            <w:shd w:val="clear" w:color="auto" w:fill="auto"/>
            <w:noWrap/>
            <w:vAlign w:val="bottom"/>
            <w:hideMark/>
          </w:tcPr>
          <w:p w14:paraId="5A0F9817" w14:textId="77777777" w:rsidR="004F461F" w:rsidRDefault="004F461F" w:rsidP="0006322D">
            <w:pPr>
              <w:spacing w:after="0" w:line="240" w:lineRule="auto"/>
              <w:jc w:val="right"/>
              <w:rPr>
                <w:rFonts w:ascii="Calibri" w:hAnsi="Calibri"/>
                <w:color w:val="000000"/>
              </w:rPr>
            </w:pPr>
            <w:r>
              <w:rPr>
                <w:rFonts w:ascii="Calibri" w:hAnsi="Calibri"/>
                <w:color w:val="000000"/>
              </w:rPr>
              <w:t>-0.95***</w:t>
            </w:r>
          </w:p>
        </w:tc>
      </w:tr>
      <w:tr w:rsidR="004F461F" w:rsidRPr="00960D30" w14:paraId="5E2A0A0D" w14:textId="77777777" w:rsidTr="0006322D">
        <w:trPr>
          <w:trHeight w:val="299"/>
        </w:trPr>
        <w:tc>
          <w:tcPr>
            <w:tcW w:w="2934" w:type="dxa"/>
            <w:tcBorders>
              <w:top w:val="nil"/>
              <w:left w:val="nil"/>
              <w:bottom w:val="nil"/>
              <w:right w:val="nil"/>
            </w:tcBorders>
            <w:shd w:val="clear" w:color="auto" w:fill="auto"/>
            <w:noWrap/>
            <w:vAlign w:val="bottom"/>
            <w:hideMark/>
          </w:tcPr>
          <w:p w14:paraId="7C56C87D"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Others</w:t>
            </w:r>
          </w:p>
        </w:tc>
        <w:tc>
          <w:tcPr>
            <w:tcW w:w="1240" w:type="dxa"/>
            <w:tcBorders>
              <w:top w:val="nil"/>
              <w:left w:val="nil"/>
              <w:bottom w:val="nil"/>
              <w:right w:val="nil"/>
            </w:tcBorders>
            <w:shd w:val="clear" w:color="auto" w:fill="auto"/>
            <w:noWrap/>
            <w:vAlign w:val="bottom"/>
            <w:hideMark/>
          </w:tcPr>
          <w:p w14:paraId="28565E12" w14:textId="77777777" w:rsidR="004F461F" w:rsidRDefault="004F461F" w:rsidP="0006322D">
            <w:pPr>
              <w:spacing w:after="0" w:line="240" w:lineRule="auto"/>
              <w:jc w:val="right"/>
              <w:rPr>
                <w:rFonts w:ascii="Calibri" w:hAnsi="Calibri"/>
                <w:color w:val="000000"/>
              </w:rPr>
            </w:pPr>
            <w:r>
              <w:rPr>
                <w:rFonts w:ascii="Calibri" w:hAnsi="Calibri"/>
                <w:color w:val="000000"/>
              </w:rPr>
              <w:t>0.15</w:t>
            </w:r>
          </w:p>
        </w:tc>
        <w:tc>
          <w:tcPr>
            <w:tcW w:w="1047" w:type="dxa"/>
            <w:tcBorders>
              <w:top w:val="nil"/>
              <w:left w:val="nil"/>
              <w:bottom w:val="nil"/>
              <w:right w:val="nil"/>
            </w:tcBorders>
            <w:shd w:val="clear" w:color="auto" w:fill="auto"/>
            <w:noWrap/>
            <w:vAlign w:val="bottom"/>
            <w:hideMark/>
          </w:tcPr>
          <w:p w14:paraId="1463995B" w14:textId="77777777" w:rsidR="004F461F" w:rsidRDefault="004F461F" w:rsidP="0006322D">
            <w:pPr>
              <w:spacing w:after="0" w:line="240" w:lineRule="auto"/>
              <w:jc w:val="right"/>
              <w:rPr>
                <w:rFonts w:ascii="Calibri" w:hAnsi="Calibri"/>
                <w:color w:val="000000"/>
              </w:rPr>
            </w:pPr>
            <w:r>
              <w:rPr>
                <w:rFonts w:ascii="Calibri" w:hAnsi="Calibri"/>
                <w:color w:val="000000"/>
              </w:rPr>
              <w:t>-0.11</w:t>
            </w:r>
          </w:p>
        </w:tc>
        <w:tc>
          <w:tcPr>
            <w:tcW w:w="1163" w:type="dxa"/>
            <w:tcBorders>
              <w:top w:val="nil"/>
              <w:left w:val="nil"/>
              <w:bottom w:val="nil"/>
              <w:right w:val="nil"/>
            </w:tcBorders>
            <w:shd w:val="clear" w:color="auto" w:fill="auto"/>
            <w:noWrap/>
            <w:vAlign w:val="bottom"/>
            <w:hideMark/>
          </w:tcPr>
          <w:p w14:paraId="4BFEF01B" w14:textId="77777777" w:rsidR="004F461F" w:rsidRDefault="004F461F" w:rsidP="0006322D">
            <w:pPr>
              <w:spacing w:after="0" w:line="240" w:lineRule="auto"/>
              <w:jc w:val="right"/>
              <w:rPr>
                <w:rFonts w:ascii="Calibri" w:hAnsi="Calibri"/>
                <w:color w:val="000000"/>
              </w:rPr>
            </w:pPr>
            <w:r>
              <w:rPr>
                <w:rFonts w:ascii="Calibri" w:hAnsi="Calibri"/>
                <w:color w:val="000000"/>
              </w:rPr>
              <w:t>0.14</w:t>
            </w:r>
          </w:p>
        </w:tc>
        <w:tc>
          <w:tcPr>
            <w:tcW w:w="1320" w:type="dxa"/>
            <w:tcBorders>
              <w:top w:val="nil"/>
              <w:left w:val="nil"/>
              <w:bottom w:val="nil"/>
              <w:right w:val="nil"/>
            </w:tcBorders>
            <w:shd w:val="clear" w:color="auto" w:fill="auto"/>
            <w:noWrap/>
            <w:vAlign w:val="bottom"/>
            <w:hideMark/>
          </w:tcPr>
          <w:p w14:paraId="0E4E108E" w14:textId="77777777" w:rsidR="004F461F" w:rsidRDefault="004F461F" w:rsidP="0006322D">
            <w:pPr>
              <w:spacing w:after="0" w:line="240" w:lineRule="auto"/>
              <w:jc w:val="right"/>
              <w:rPr>
                <w:rFonts w:ascii="Calibri" w:hAnsi="Calibri"/>
                <w:color w:val="000000"/>
              </w:rPr>
            </w:pPr>
            <w:r>
              <w:rPr>
                <w:rFonts w:ascii="Calibri" w:hAnsi="Calibri"/>
                <w:color w:val="000000"/>
              </w:rPr>
              <w:t>-0.07</w:t>
            </w:r>
          </w:p>
        </w:tc>
        <w:tc>
          <w:tcPr>
            <w:tcW w:w="1259" w:type="dxa"/>
            <w:tcBorders>
              <w:top w:val="nil"/>
              <w:left w:val="nil"/>
              <w:bottom w:val="nil"/>
              <w:right w:val="nil"/>
            </w:tcBorders>
            <w:shd w:val="clear" w:color="auto" w:fill="auto"/>
            <w:noWrap/>
            <w:vAlign w:val="bottom"/>
            <w:hideMark/>
          </w:tcPr>
          <w:p w14:paraId="63DDDBC5" w14:textId="77777777" w:rsidR="004F461F" w:rsidRDefault="004F461F" w:rsidP="0006322D">
            <w:pPr>
              <w:spacing w:after="0" w:line="240" w:lineRule="auto"/>
              <w:jc w:val="right"/>
              <w:rPr>
                <w:rFonts w:ascii="Calibri" w:hAnsi="Calibri"/>
                <w:color w:val="000000"/>
              </w:rPr>
            </w:pPr>
            <w:r>
              <w:rPr>
                <w:rFonts w:ascii="Calibri" w:hAnsi="Calibri"/>
                <w:color w:val="000000"/>
              </w:rPr>
              <w:t>0.21</w:t>
            </w:r>
          </w:p>
        </w:tc>
        <w:tc>
          <w:tcPr>
            <w:tcW w:w="1025" w:type="dxa"/>
            <w:tcBorders>
              <w:top w:val="nil"/>
              <w:left w:val="nil"/>
              <w:bottom w:val="nil"/>
              <w:right w:val="nil"/>
            </w:tcBorders>
            <w:shd w:val="clear" w:color="auto" w:fill="auto"/>
            <w:noWrap/>
            <w:vAlign w:val="bottom"/>
            <w:hideMark/>
          </w:tcPr>
          <w:p w14:paraId="5144F9A5" w14:textId="77777777" w:rsidR="004F461F" w:rsidRDefault="004F461F" w:rsidP="0006322D">
            <w:pPr>
              <w:spacing w:after="0" w:line="240" w:lineRule="auto"/>
              <w:jc w:val="right"/>
              <w:rPr>
                <w:rFonts w:ascii="Calibri" w:hAnsi="Calibri"/>
                <w:color w:val="000000"/>
              </w:rPr>
            </w:pPr>
            <w:r>
              <w:rPr>
                <w:rFonts w:ascii="Calibri" w:hAnsi="Calibri"/>
                <w:color w:val="000000"/>
              </w:rPr>
              <w:t>-0.34</w:t>
            </w:r>
          </w:p>
        </w:tc>
      </w:tr>
      <w:tr w:rsidR="004F461F" w:rsidRPr="00960D30" w14:paraId="019C0C84" w14:textId="77777777" w:rsidTr="0006322D">
        <w:trPr>
          <w:trHeight w:val="299"/>
        </w:trPr>
        <w:tc>
          <w:tcPr>
            <w:tcW w:w="2934" w:type="dxa"/>
            <w:tcBorders>
              <w:top w:val="nil"/>
              <w:left w:val="nil"/>
              <w:bottom w:val="nil"/>
              <w:right w:val="nil"/>
            </w:tcBorders>
            <w:shd w:val="clear" w:color="auto" w:fill="auto"/>
            <w:noWrap/>
            <w:vAlign w:val="bottom"/>
            <w:hideMark/>
          </w:tcPr>
          <w:p w14:paraId="0DD09022"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Education (versus Less than high school)</w:t>
            </w:r>
          </w:p>
        </w:tc>
        <w:tc>
          <w:tcPr>
            <w:tcW w:w="1240" w:type="dxa"/>
            <w:tcBorders>
              <w:top w:val="nil"/>
              <w:left w:val="nil"/>
              <w:bottom w:val="nil"/>
              <w:right w:val="nil"/>
            </w:tcBorders>
            <w:shd w:val="clear" w:color="auto" w:fill="auto"/>
            <w:noWrap/>
            <w:vAlign w:val="bottom"/>
            <w:hideMark/>
          </w:tcPr>
          <w:p w14:paraId="1536220D" w14:textId="77777777" w:rsidR="004F461F" w:rsidRPr="00960D30" w:rsidRDefault="004F461F" w:rsidP="0006322D">
            <w:pPr>
              <w:spacing w:after="0" w:line="240" w:lineRule="auto"/>
              <w:rPr>
                <w:rFonts w:ascii="Calibri" w:eastAsia="Times New Roman" w:hAnsi="Calibri" w:cs="Times New Roman"/>
                <w:color w:val="000000"/>
              </w:rPr>
            </w:pPr>
          </w:p>
        </w:tc>
        <w:tc>
          <w:tcPr>
            <w:tcW w:w="1047" w:type="dxa"/>
            <w:tcBorders>
              <w:top w:val="nil"/>
              <w:left w:val="nil"/>
              <w:bottom w:val="nil"/>
              <w:right w:val="nil"/>
            </w:tcBorders>
            <w:shd w:val="clear" w:color="auto" w:fill="auto"/>
            <w:noWrap/>
            <w:vAlign w:val="bottom"/>
            <w:hideMark/>
          </w:tcPr>
          <w:p w14:paraId="58C4FAF4"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17DC3F41"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77736791"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259" w:type="dxa"/>
            <w:tcBorders>
              <w:top w:val="nil"/>
              <w:left w:val="nil"/>
              <w:bottom w:val="nil"/>
              <w:right w:val="nil"/>
            </w:tcBorders>
            <w:shd w:val="clear" w:color="auto" w:fill="auto"/>
            <w:noWrap/>
            <w:vAlign w:val="bottom"/>
            <w:hideMark/>
          </w:tcPr>
          <w:p w14:paraId="21592668"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025" w:type="dxa"/>
            <w:tcBorders>
              <w:top w:val="nil"/>
              <w:left w:val="nil"/>
              <w:bottom w:val="nil"/>
              <w:right w:val="nil"/>
            </w:tcBorders>
            <w:shd w:val="clear" w:color="auto" w:fill="auto"/>
            <w:noWrap/>
            <w:vAlign w:val="bottom"/>
            <w:hideMark/>
          </w:tcPr>
          <w:p w14:paraId="742319A7"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r>
      <w:tr w:rsidR="004F461F" w:rsidRPr="00960D30" w14:paraId="366915DA" w14:textId="77777777" w:rsidTr="0006322D">
        <w:trPr>
          <w:trHeight w:val="299"/>
        </w:trPr>
        <w:tc>
          <w:tcPr>
            <w:tcW w:w="2934" w:type="dxa"/>
            <w:tcBorders>
              <w:top w:val="nil"/>
              <w:left w:val="nil"/>
              <w:bottom w:val="nil"/>
              <w:right w:val="nil"/>
            </w:tcBorders>
            <w:shd w:val="clear" w:color="auto" w:fill="auto"/>
            <w:noWrap/>
            <w:vAlign w:val="bottom"/>
            <w:hideMark/>
          </w:tcPr>
          <w:p w14:paraId="5A98C658"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High school</w:t>
            </w:r>
          </w:p>
        </w:tc>
        <w:tc>
          <w:tcPr>
            <w:tcW w:w="1240" w:type="dxa"/>
            <w:tcBorders>
              <w:top w:val="nil"/>
              <w:left w:val="nil"/>
              <w:bottom w:val="nil"/>
              <w:right w:val="nil"/>
            </w:tcBorders>
            <w:shd w:val="clear" w:color="auto" w:fill="auto"/>
            <w:noWrap/>
            <w:vAlign w:val="bottom"/>
            <w:hideMark/>
          </w:tcPr>
          <w:p w14:paraId="31FE061F" w14:textId="77777777" w:rsidR="004F461F" w:rsidRDefault="004F461F" w:rsidP="0006322D">
            <w:pPr>
              <w:spacing w:after="0" w:line="240" w:lineRule="auto"/>
              <w:jc w:val="right"/>
              <w:rPr>
                <w:rFonts w:ascii="Calibri" w:hAnsi="Calibri"/>
                <w:color w:val="000000"/>
              </w:rPr>
            </w:pPr>
            <w:r>
              <w:rPr>
                <w:rFonts w:ascii="Calibri" w:hAnsi="Calibri"/>
                <w:color w:val="000000"/>
              </w:rPr>
              <w:t>0.60***</w:t>
            </w:r>
          </w:p>
        </w:tc>
        <w:tc>
          <w:tcPr>
            <w:tcW w:w="1047" w:type="dxa"/>
            <w:tcBorders>
              <w:top w:val="nil"/>
              <w:left w:val="nil"/>
              <w:bottom w:val="nil"/>
              <w:right w:val="nil"/>
            </w:tcBorders>
            <w:shd w:val="clear" w:color="auto" w:fill="auto"/>
            <w:noWrap/>
            <w:vAlign w:val="bottom"/>
            <w:hideMark/>
          </w:tcPr>
          <w:p w14:paraId="793DA4A1" w14:textId="77777777" w:rsidR="004F461F" w:rsidRDefault="004F461F" w:rsidP="0006322D">
            <w:pPr>
              <w:spacing w:after="0" w:line="240" w:lineRule="auto"/>
              <w:jc w:val="right"/>
              <w:rPr>
                <w:rFonts w:ascii="Calibri" w:hAnsi="Calibri"/>
                <w:color w:val="000000"/>
              </w:rPr>
            </w:pPr>
            <w:r>
              <w:rPr>
                <w:rFonts w:ascii="Calibri" w:hAnsi="Calibri"/>
                <w:color w:val="000000"/>
              </w:rPr>
              <w:t>0.75***</w:t>
            </w:r>
          </w:p>
        </w:tc>
        <w:tc>
          <w:tcPr>
            <w:tcW w:w="1163" w:type="dxa"/>
            <w:tcBorders>
              <w:top w:val="nil"/>
              <w:left w:val="nil"/>
              <w:bottom w:val="nil"/>
              <w:right w:val="nil"/>
            </w:tcBorders>
            <w:shd w:val="clear" w:color="auto" w:fill="auto"/>
            <w:noWrap/>
            <w:vAlign w:val="bottom"/>
            <w:hideMark/>
          </w:tcPr>
          <w:p w14:paraId="4CE1BEBB" w14:textId="77777777" w:rsidR="004F461F" w:rsidRDefault="004F461F" w:rsidP="0006322D">
            <w:pPr>
              <w:spacing w:after="0" w:line="240" w:lineRule="auto"/>
              <w:jc w:val="right"/>
              <w:rPr>
                <w:rFonts w:ascii="Calibri" w:hAnsi="Calibri"/>
                <w:color w:val="000000"/>
              </w:rPr>
            </w:pPr>
            <w:r>
              <w:rPr>
                <w:rFonts w:ascii="Calibri" w:hAnsi="Calibri"/>
                <w:color w:val="000000"/>
              </w:rPr>
              <w:t>-0.82***</w:t>
            </w:r>
          </w:p>
        </w:tc>
        <w:tc>
          <w:tcPr>
            <w:tcW w:w="1320" w:type="dxa"/>
            <w:tcBorders>
              <w:top w:val="nil"/>
              <w:left w:val="nil"/>
              <w:bottom w:val="nil"/>
              <w:right w:val="nil"/>
            </w:tcBorders>
            <w:shd w:val="clear" w:color="auto" w:fill="auto"/>
            <w:noWrap/>
            <w:vAlign w:val="bottom"/>
            <w:hideMark/>
          </w:tcPr>
          <w:p w14:paraId="0B5EEAB9" w14:textId="77777777" w:rsidR="004F461F" w:rsidRDefault="004F461F" w:rsidP="0006322D">
            <w:pPr>
              <w:spacing w:after="0" w:line="240" w:lineRule="auto"/>
              <w:jc w:val="right"/>
              <w:rPr>
                <w:rFonts w:ascii="Calibri" w:hAnsi="Calibri"/>
                <w:color w:val="000000"/>
              </w:rPr>
            </w:pPr>
            <w:r>
              <w:rPr>
                <w:rFonts w:ascii="Calibri" w:hAnsi="Calibri"/>
                <w:color w:val="000000"/>
              </w:rPr>
              <w:t>-0.30**</w:t>
            </w:r>
          </w:p>
        </w:tc>
        <w:tc>
          <w:tcPr>
            <w:tcW w:w="1259" w:type="dxa"/>
            <w:tcBorders>
              <w:top w:val="nil"/>
              <w:left w:val="nil"/>
              <w:bottom w:val="nil"/>
              <w:right w:val="nil"/>
            </w:tcBorders>
            <w:shd w:val="clear" w:color="auto" w:fill="auto"/>
            <w:noWrap/>
            <w:vAlign w:val="bottom"/>
            <w:hideMark/>
          </w:tcPr>
          <w:p w14:paraId="535F6611" w14:textId="77777777" w:rsidR="004F461F" w:rsidRDefault="004F461F" w:rsidP="0006322D">
            <w:pPr>
              <w:spacing w:after="0" w:line="240" w:lineRule="auto"/>
              <w:jc w:val="right"/>
              <w:rPr>
                <w:rFonts w:ascii="Calibri" w:hAnsi="Calibri"/>
                <w:color w:val="000000"/>
              </w:rPr>
            </w:pPr>
            <w:r>
              <w:rPr>
                <w:rFonts w:ascii="Calibri" w:hAnsi="Calibri"/>
                <w:color w:val="000000"/>
              </w:rPr>
              <w:t>0</w:t>
            </w:r>
          </w:p>
        </w:tc>
        <w:tc>
          <w:tcPr>
            <w:tcW w:w="1025" w:type="dxa"/>
            <w:tcBorders>
              <w:top w:val="nil"/>
              <w:left w:val="nil"/>
              <w:bottom w:val="nil"/>
              <w:right w:val="nil"/>
            </w:tcBorders>
            <w:shd w:val="clear" w:color="auto" w:fill="auto"/>
            <w:noWrap/>
            <w:vAlign w:val="bottom"/>
            <w:hideMark/>
          </w:tcPr>
          <w:p w14:paraId="0DDB701F"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0.42** </w:t>
            </w:r>
          </w:p>
        </w:tc>
      </w:tr>
      <w:tr w:rsidR="004F461F" w:rsidRPr="00960D30" w14:paraId="59AED1E8" w14:textId="77777777" w:rsidTr="0006322D">
        <w:trPr>
          <w:trHeight w:val="299"/>
        </w:trPr>
        <w:tc>
          <w:tcPr>
            <w:tcW w:w="2934" w:type="dxa"/>
            <w:tcBorders>
              <w:top w:val="nil"/>
              <w:left w:val="nil"/>
              <w:bottom w:val="nil"/>
              <w:right w:val="nil"/>
            </w:tcBorders>
            <w:shd w:val="clear" w:color="auto" w:fill="auto"/>
            <w:noWrap/>
            <w:vAlign w:val="bottom"/>
            <w:hideMark/>
          </w:tcPr>
          <w:p w14:paraId="787815B2"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Some college</w:t>
            </w:r>
          </w:p>
        </w:tc>
        <w:tc>
          <w:tcPr>
            <w:tcW w:w="1240" w:type="dxa"/>
            <w:tcBorders>
              <w:top w:val="nil"/>
              <w:left w:val="nil"/>
              <w:bottom w:val="nil"/>
              <w:right w:val="nil"/>
            </w:tcBorders>
            <w:shd w:val="clear" w:color="auto" w:fill="auto"/>
            <w:noWrap/>
            <w:vAlign w:val="bottom"/>
            <w:hideMark/>
          </w:tcPr>
          <w:p w14:paraId="31E55523" w14:textId="77777777" w:rsidR="004F461F" w:rsidRDefault="004F461F" w:rsidP="0006322D">
            <w:pPr>
              <w:spacing w:after="0" w:line="240" w:lineRule="auto"/>
              <w:jc w:val="right"/>
              <w:rPr>
                <w:rFonts w:ascii="Calibri" w:hAnsi="Calibri"/>
                <w:color w:val="000000"/>
              </w:rPr>
            </w:pPr>
            <w:r>
              <w:rPr>
                <w:rFonts w:ascii="Calibri" w:hAnsi="Calibri"/>
                <w:color w:val="000000"/>
              </w:rPr>
              <w:t>0.83***</w:t>
            </w:r>
          </w:p>
        </w:tc>
        <w:tc>
          <w:tcPr>
            <w:tcW w:w="1047" w:type="dxa"/>
            <w:tcBorders>
              <w:top w:val="nil"/>
              <w:left w:val="nil"/>
              <w:bottom w:val="nil"/>
              <w:right w:val="nil"/>
            </w:tcBorders>
            <w:shd w:val="clear" w:color="auto" w:fill="auto"/>
            <w:noWrap/>
            <w:vAlign w:val="bottom"/>
            <w:hideMark/>
          </w:tcPr>
          <w:p w14:paraId="45FFE2C7" w14:textId="77777777" w:rsidR="004F461F" w:rsidRDefault="004F461F" w:rsidP="0006322D">
            <w:pPr>
              <w:spacing w:after="0" w:line="240" w:lineRule="auto"/>
              <w:jc w:val="right"/>
              <w:rPr>
                <w:rFonts w:ascii="Calibri" w:hAnsi="Calibri"/>
                <w:color w:val="000000"/>
              </w:rPr>
            </w:pPr>
            <w:r>
              <w:rPr>
                <w:rFonts w:ascii="Calibri" w:hAnsi="Calibri"/>
                <w:color w:val="000000"/>
              </w:rPr>
              <w:t>1.02***</w:t>
            </w:r>
          </w:p>
        </w:tc>
        <w:tc>
          <w:tcPr>
            <w:tcW w:w="1163" w:type="dxa"/>
            <w:tcBorders>
              <w:top w:val="nil"/>
              <w:left w:val="nil"/>
              <w:bottom w:val="nil"/>
              <w:right w:val="nil"/>
            </w:tcBorders>
            <w:shd w:val="clear" w:color="auto" w:fill="auto"/>
            <w:noWrap/>
            <w:vAlign w:val="bottom"/>
            <w:hideMark/>
          </w:tcPr>
          <w:p w14:paraId="04ABB594" w14:textId="77777777" w:rsidR="004F461F" w:rsidRDefault="004F461F" w:rsidP="0006322D">
            <w:pPr>
              <w:spacing w:after="0" w:line="240" w:lineRule="auto"/>
              <w:jc w:val="right"/>
              <w:rPr>
                <w:rFonts w:ascii="Calibri" w:hAnsi="Calibri"/>
                <w:color w:val="000000"/>
              </w:rPr>
            </w:pPr>
            <w:r>
              <w:rPr>
                <w:rFonts w:ascii="Calibri" w:hAnsi="Calibri"/>
                <w:color w:val="000000"/>
              </w:rPr>
              <w:t>-1.15***</w:t>
            </w:r>
          </w:p>
        </w:tc>
        <w:tc>
          <w:tcPr>
            <w:tcW w:w="1320" w:type="dxa"/>
            <w:tcBorders>
              <w:top w:val="nil"/>
              <w:left w:val="nil"/>
              <w:bottom w:val="nil"/>
              <w:right w:val="nil"/>
            </w:tcBorders>
            <w:shd w:val="clear" w:color="auto" w:fill="auto"/>
            <w:noWrap/>
            <w:vAlign w:val="bottom"/>
            <w:hideMark/>
          </w:tcPr>
          <w:p w14:paraId="4A61949B" w14:textId="77777777" w:rsidR="004F461F" w:rsidRDefault="004F461F" w:rsidP="0006322D">
            <w:pPr>
              <w:spacing w:after="0" w:line="240" w:lineRule="auto"/>
              <w:jc w:val="right"/>
              <w:rPr>
                <w:rFonts w:ascii="Calibri" w:hAnsi="Calibri"/>
                <w:color w:val="000000"/>
              </w:rPr>
            </w:pPr>
            <w:r>
              <w:rPr>
                <w:rFonts w:ascii="Calibri" w:hAnsi="Calibri"/>
                <w:color w:val="000000"/>
              </w:rPr>
              <w:t>-0.29*</w:t>
            </w:r>
          </w:p>
        </w:tc>
        <w:tc>
          <w:tcPr>
            <w:tcW w:w="1259" w:type="dxa"/>
            <w:tcBorders>
              <w:top w:val="nil"/>
              <w:left w:val="nil"/>
              <w:bottom w:val="nil"/>
              <w:right w:val="nil"/>
            </w:tcBorders>
            <w:shd w:val="clear" w:color="auto" w:fill="auto"/>
            <w:noWrap/>
            <w:vAlign w:val="bottom"/>
            <w:hideMark/>
          </w:tcPr>
          <w:p w14:paraId="1C8ECDBC" w14:textId="77777777" w:rsidR="004F461F" w:rsidRDefault="004F461F" w:rsidP="0006322D">
            <w:pPr>
              <w:spacing w:after="0" w:line="240" w:lineRule="auto"/>
              <w:jc w:val="right"/>
              <w:rPr>
                <w:rFonts w:ascii="Calibri" w:hAnsi="Calibri"/>
                <w:color w:val="000000"/>
              </w:rPr>
            </w:pPr>
            <w:r>
              <w:rPr>
                <w:rFonts w:ascii="Calibri" w:hAnsi="Calibri"/>
                <w:color w:val="000000"/>
              </w:rPr>
              <w:t>-0.05</w:t>
            </w:r>
          </w:p>
        </w:tc>
        <w:tc>
          <w:tcPr>
            <w:tcW w:w="1025" w:type="dxa"/>
            <w:tcBorders>
              <w:top w:val="nil"/>
              <w:left w:val="nil"/>
              <w:bottom w:val="nil"/>
              <w:right w:val="nil"/>
            </w:tcBorders>
            <w:shd w:val="clear" w:color="auto" w:fill="auto"/>
            <w:noWrap/>
            <w:vAlign w:val="bottom"/>
            <w:hideMark/>
          </w:tcPr>
          <w:p w14:paraId="2D776D74" w14:textId="77777777" w:rsidR="004F461F" w:rsidRDefault="004F461F" w:rsidP="0006322D">
            <w:pPr>
              <w:spacing w:after="0" w:line="240" w:lineRule="auto"/>
              <w:jc w:val="right"/>
              <w:rPr>
                <w:rFonts w:ascii="Calibri" w:hAnsi="Calibri"/>
                <w:color w:val="000000"/>
              </w:rPr>
            </w:pPr>
            <w:r>
              <w:rPr>
                <w:rFonts w:ascii="Calibri" w:hAnsi="Calibri"/>
                <w:color w:val="000000"/>
              </w:rPr>
              <w:t>0.71***</w:t>
            </w:r>
          </w:p>
        </w:tc>
      </w:tr>
      <w:tr w:rsidR="004F461F" w:rsidRPr="00960D30" w14:paraId="6C01D823" w14:textId="77777777" w:rsidTr="0006322D">
        <w:trPr>
          <w:trHeight w:val="299"/>
        </w:trPr>
        <w:tc>
          <w:tcPr>
            <w:tcW w:w="2934" w:type="dxa"/>
            <w:tcBorders>
              <w:top w:val="nil"/>
              <w:left w:val="nil"/>
              <w:bottom w:val="nil"/>
              <w:right w:val="nil"/>
            </w:tcBorders>
            <w:shd w:val="clear" w:color="auto" w:fill="auto"/>
            <w:noWrap/>
            <w:vAlign w:val="bottom"/>
            <w:hideMark/>
          </w:tcPr>
          <w:p w14:paraId="22B79829"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College</w:t>
            </w:r>
          </w:p>
        </w:tc>
        <w:tc>
          <w:tcPr>
            <w:tcW w:w="1240" w:type="dxa"/>
            <w:tcBorders>
              <w:top w:val="nil"/>
              <w:left w:val="nil"/>
              <w:bottom w:val="nil"/>
              <w:right w:val="nil"/>
            </w:tcBorders>
            <w:shd w:val="clear" w:color="auto" w:fill="auto"/>
            <w:noWrap/>
            <w:vAlign w:val="bottom"/>
            <w:hideMark/>
          </w:tcPr>
          <w:p w14:paraId="78551F6E" w14:textId="77777777" w:rsidR="004F461F" w:rsidRDefault="004F461F" w:rsidP="0006322D">
            <w:pPr>
              <w:spacing w:after="0" w:line="240" w:lineRule="auto"/>
              <w:jc w:val="right"/>
              <w:rPr>
                <w:rFonts w:ascii="Calibri" w:hAnsi="Calibri"/>
                <w:color w:val="000000"/>
              </w:rPr>
            </w:pPr>
            <w:r>
              <w:rPr>
                <w:rFonts w:ascii="Calibri" w:hAnsi="Calibri"/>
                <w:color w:val="000000"/>
              </w:rPr>
              <w:t>1.14***</w:t>
            </w:r>
          </w:p>
        </w:tc>
        <w:tc>
          <w:tcPr>
            <w:tcW w:w="1047" w:type="dxa"/>
            <w:tcBorders>
              <w:top w:val="nil"/>
              <w:left w:val="nil"/>
              <w:bottom w:val="nil"/>
              <w:right w:val="nil"/>
            </w:tcBorders>
            <w:shd w:val="clear" w:color="auto" w:fill="auto"/>
            <w:noWrap/>
            <w:vAlign w:val="bottom"/>
            <w:hideMark/>
          </w:tcPr>
          <w:p w14:paraId="74A3A430" w14:textId="77777777" w:rsidR="004F461F" w:rsidRDefault="004F461F" w:rsidP="0006322D">
            <w:pPr>
              <w:spacing w:after="0" w:line="240" w:lineRule="auto"/>
              <w:jc w:val="right"/>
              <w:rPr>
                <w:rFonts w:ascii="Calibri" w:hAnsi="Calibri"/>
                <w:color w:val="000000"/>
              </w:rPr>
            </w:pPr>
            <w:r>
              <w:rPr>
                <w:rFonts w:ascii="Calibri" w:hAnsi="Calibri"/>
                <w:color w:val="000000"/>
              </w:rPr>
              <w:t>1.43***</w:t>
            </w:r>
          </w:p>
        </w:tc>
        <w:tc>
          <w:tcPr>
            <w:tcW w:w="1163" w:type="dxa"/>
            <w:tcBorders>
              <w:top w:val="nil"/>
              <w:left w:val="nil"/>
              <w:bottom w:val="nil"/>
              <w:right w:val="nil"/>
            </w:tcBorders>
            <w:shd w:val="clear" w:color="auto" w:fill="auto"/>
            <w:noWrap/>
            <w:vAlign w:val="bottom"/>
            <w:hideMark/>
          </w:tcPr>
          <w:p w14:paraId="44DEAE90" w14:textId="77777777" w:rsidR="004F461F" w:rsidRDefault="004F461F" w:rsidP="0006322D">
            <w:pPr>
              <w:spacing w:after="0" w:line="240" w:lineRule="auto"/>
              <w:jc w:val="right"/>
              <w:rPr>
                <w:rFonts w:ascii="Calibri" w:hAnsi="Calibri"/>
                <w:color w:val="000000"/>
              </w:rPr>
            </w:pPr>
            <w:r>
              <w:rPr>
                <w:rFonts w:ascii="Calibri" w:hAnsi="Calibri"/>
                <w:color w:val="000000"/>
              </w:rPr>
              <w:t>-1.66***</w:t>
            </w:r>
          </w:p>
        </w:tc>
        <w:tc>
          <w:tcPr>
            <w:tcW w:w="1320" w:type="dxa"/>
            <w:tcBorders>
              <w:top w:val="nil"/>
              <w:left w:val="nil"/>
              <w:bottom w:val="nil"/>
              <w:right w:val="nil"/>
            </w:tcBorders>
            <w:shd w:val="clear" w:color="auto" w:fill="auto"/>
            <w:noWrap/>
            <w:vAlign w:val="bottom"/>
            <w:hideMark/>
          </w:tcPr>
          <w:p w14:paraId="2DDB9E29" w14:textId="77777777" w:rsidR="004F461F" w:rsidRDefault="004F461F" w:rsidP="0006322D">
            <w:pPr>
              <w:spacing w:after="0" w:line="240" w:lineRule="auto"/>
              <w:jc w:val="right"/>
              <w:rPr>
                <w:rFonts w:ascii="Calibri" w:hAnsi="Calibri"/>
                <w:color w:val="000000"/>
              </w:rPr>
            </w:pPr>
            <w:r>
              <w:rPr>
                <w:rFonts w:ascii="Calibri" w:hAnsi="Calibri"/>
                <w:color w:val="000000"/>
              </w:rPr>
              <w:t>-0.41**</w:t>
            </w:r>
          </w:p>
        </w:tc>
        <w:tc>
          <w:tcPr>
            <w:tcW w:w="1259" w:type="dxa"/>
            <w:tcBorders>
              <w:top w:val="nil"/>
              <w:left w:val="nil"/>
              <w:bottom w:val="nil"/>
              <w:right w:val="nil"/>
            </w:tcBorders>
            <w:shd w:val="clear" w:color="auto" w:fill="auto"/>
            <w:noWrap/>
            <w:vAlign w:val="bottom"/>
            <w:hideMark/>
          </w:tcPr>
          <w:p w14:paraId="5D4F482F" w14:textId="77777777" w:rsidR="004F461F" w:rsidRDefault="004F461F" w:rsidP="0006322D">
            <w:pPr>
              <w:spacing w:after="0" w:line="240" w:lineRule="auto"/>
              <w:jc w:val="right"/>
              <w:rPr>
                <w:rFonts w:ascii="Calibri" w:hAnsi="Calibri"/>
                <w:color w:val="000000"/>
              </w:rPr>
            </w:pPr>
            <w:r>
              <w:rPr>
                <w:rFonts w:ascii="Calibri" w:hAnsi="Calibri"/>
                <w:color w:val="000000"/>
              </w:rPr>
              <w:t>0.28*</w:t>
            </w:r>
          </w:p>
        </w:tc>
        <w:tc>
          <w:tcPr>
            <w:tcW w:w="1025" w:type="dxa"/>
            <w:tcBorders>
              <w:top w:val="nil"/>
              <w:left w:val="nil"/>
              <w:bottom w:val="nil"/>
              <w:right w:val="nil"/>
            </w:tcBorders>
            <w:shd w:val="clear" w:color="auto" w:fill="auto"/>
            <w:noWrap/>
            <w:vAlign w:val="bottom"/>
            <w:hideMark/>
          </w:tcPr>
          <w:p w14:paraId="4591233E" w14:textId="77777777" w:rsidR="004F461F" w:rsidRDefault="004F461F" w:rsidP="0006322D">
            <w:pPr>
              <w:spacing w:after="0" w:line="240" w:lineRule="auto"/>
              <w:jc w:val="right"/>
              <w:rPr>
                <w:rFonts w:ascii="Calibri" w:hAnsi="Calibri"/>
                <w:color w:val="000000"/>
              </w:rPr>
            </w:pPr>
            <w:r>
              <w:rPr>
                <w:rFonts w:ascii="Calibri" w:hAnsi="Calibri"/>
                <w:color w:val="000000"/>
              </w:rPr>
              <w:t>0.93***</w:t>
            </w:r>
          </w:p>
        </w:tc>
      </w:tr>
      <w:tr w:rsidR="004F461F" w:rsidRPr="00960D30" w14:paraId="0296F5A8" w14:textId="77777777" w:rsidTr="0006322D">
        <w:trPr>
          <w:trHeight w:val="299"/>
        </w:trPr>
        <w:tc>
          <w:tcPr>
            <w:tcW w:w="2934" w:type="dxa"/>
            <w:tcBorders>
              <w:top w:val="nil"/>
              <w:left w:val="nil"/>
              <w:bottom w:val="nil"/>
              <w:right w:val="nil"/>
            </w:tcBorders>
            <w:shd w:val="clear" w:color="auto" w:fill="auto"/>
            <w:noWrap/>
            <w:vAlign w:val="bottom"/>
            <w:hideMark/>
          </w:tcPr>
          <w:p w14:paraId="1DCDB605"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Married</w:t>
            </w:r>
          </w:p>
        </w:tc>
        <w:tc>
          <w:tcPr>
            <w:tcW w:w="1240" w:type="dxa"/>
            <w:tcBorders>
              <w:top w:val="nil"/>
              <w:left w:val="nil"/>
              <w:bottom w:val="nil"/>
              <w:right w:val="nil"/>
            </w:tcBorders>
            <w:shd w:val="clear" w:color="auto" w:fill="auto"/>
            <w:noWrap/>
            <w:vAlign w:val="bottom"/>
            <w:hideMark/>
          </w:tcPr>
          <w:p w14:paraId="77CCA8AB" w14:textId="77777777" w:rsidR="004F461F" w:rsidRDefault="004F461F" w:rsidP="0006322D">
            <w:pPr>
              <w:spacing w:after="0" w:line="240" w:lineRule="auto"/>
              <w:jc w:val="right"/>
              <w:rPr>
                <w:rFonts w:ascii="Calibri" w:hAnsi="Calibri"/>
                <w:color w:val="000000"/>
              </w:rPr>
            </w:pPr>
            <w:r>
              <w:rPr>
                <w:rFonts w:ascii="Calibri" w:hAnsi="Calibri"/>
                <w:color w:val="000000"/>
              </w:rPr>
              <w:t>0</w:t>
            </w:r>
          </w:p>
        </w:tc>
        <w:tc>
          <w:tcPr>
            <w:tcW w:w="1047" w:type="dxa"/>
            <w:tcBorders>
              <w:top w:val="nil"/>
              <w:left w:val="nil"/>
              <w:bottom w:val="nil"/>
              <w:right w:val="nil"/>
            </w:tcBorders>
            <w:shd w:val="clear" w:color="auto" w:fill="auto"/>
            <w:noWrap/>
            <w:vAlign w:val="bottom"/>
            <w:hideMark/>
          </w:tcPr>
          <w:p w14:paraId="016F9393" w14:textId="77777777" w:rsidR="004F461F" w:rsidRDefault="004F461F" w:rsidP="0006322D">
            <w:pPr>
              <w:spacing w:after="0" w:line="240" w:lineRule="auto"/>
              <w:jc w:val="right"/>
              <w:rPr>
                <w:rFonts w:ascii="Calibri" w:hAnsi="Calibri"/>
                <w:color w:val="000000"/>
              </w:rPr>
            </w:pPr>
            <w:r>
              <w:rPr>
                <w:rFonts w:ascii="Calibri" w:hAnsi="Calibri"/>
                <w:color w:val="000000"/>
              </w:rPr>
              <w:t>0.71***</w:t>
            </w:r>
          </w:p>
        </w:tc>
        <w:tc>
          <w:tcPr>
            <w:tcW w:w="1163" w:type="dxa"/>
            <w:tcBorders>
              <w:top w:val="nil"/>
              <w:left w:val="nil"/>
              <w:bottom w:val="nil"/>
              <w:right w:val="nil"/>
            </w:tcBorders>
            <w:shd w:val="clear" w:color="auto" w:fill="auto"/>
            <w:noWrap/>
            <w:vAlign w:val="bottom"/>
            <w:hideMark/>
          </w:tcPr>
          <w:p w14:paraId="307D0DCC" w14:textId="77777777" w:rsidR="004F461F" w:rsidRDefault="004F461F" w:rsidP="0006322D">
            <w:pPr>
              <w:spacing w:after="0" w:line="240" w:lineRule="auto"/>
              <w:jc w:val="right"/>
              <w:rPr>
                <w:rFonts w:ascii="Calibri" w:hAnsi="Calibri"/>
                <w:color w:val="000000"/>
              </w:rPr>
            </w:pPr>
            <w:r>
              <w:rPr>
                <w:rFonts w:ascii="Calibri" w:hAnsi="Calibri"/>
                <w:color w:val="000000"/>
              </w:rPr>
              <w:t>-0.66***</w:t>
            </w:r>
          </w:p>
        </w:tc>
        <w:tc>
          <w:tcPr>
            <w:tcW w:w="1320" w:type="dxa"/>
            <w:tcBorders>
              <w:top w:val="nil"/>
              <w:left w:val="nil"/>
              <w:bottom w:val="nil"/>
              <w:right w:val="nil"/>
            </w:tcBorders>
            <w:shd w:val="clear" w:color="auto" w:fill="auto"/>
            <w:noWrap/>
            <w:vAlign w:val="bottom"/>
            <w:hideMark/>
          </w:tcPr>
          <w:p w14:paraId="48872912" w14:textId="77777777" w:rsidR="004F461F" w:rsidRDefault="004F461F" w:rsidP="0006322D">
            <w:pPr>
              <w:spacing w:after="0" w:line="240" w:lineRule="auto"/>
              <w:jc w:val="right"/>
              <w:rPr>
                <w:rFonts w:ascii="Calibri" w:hAnsi="Calibri"/>
                <w:color w:val="000000"/>
              </w:rPr>
            </w:pPr>
            <w:r>
              <w:rPr>
                <w:rFonts w:ascii="Calibri" w:hAnsi="Calibri"/>
                <w:color w:val="000000"/>
              </w:rPr>
              <w:t>-0.61***</w:t>
            </w:r>
          </w:p>
        </w:tc>
        <w:tc>
          <w:tcPr>
            <w:tcW w:w="1259" w:type="dxa"/>
            <w:tcBorders>
              <w:top w:val="nil"/>
              <w:left w:val="nil"/>
              <w:bottom w:val="nil"/>
              <w:right w:val="nil"/>
            </w:tcBorders>
            <w:shd w:val="clear" w:color="auto" w:fill="auto"/>
            <w:noWrap/>
            <w:vAlign w:val="bottom"/>
            <w:hideMark/>
          </w:tcPr>
          <w:p w14:paraId="043F7457" w14:textId="77777777" w:rsidR="004F461F" w:rsidRDefault="004F461F" w:rsidP="0006322D">
            <w:pPr>
              <w:spacing w:after="0" w:line="240" w:lineRule="auto"/>
              <w:jc w:val="right"/>
              <w:rPr>
                <w:rFonts w:ascii="Calibri" w:hAnsi="Calibri"/>
                <w:color w:val="000000"/>
              </w:rPr>
            </w:pPr>
            <w:r>
              <w:rPr>
                <w:rFonts w:ascii="Calibri" w:hAnsi="Calibri"/>
                <w:color w:val="000000"/>
              </w:rPr>
              <w:t>-0.56***</w:t>
            </w:r>
          </w:p>
        </w:tc>
        <w:tc>
          <w:tcPr>
            <w:tcW w:w="1025" w:type="dxa"/>
            <w:tcBorders>
              <w:top w:val="nil"/>
              <w:left w:val="nil"/>
              <w:bottom w:val="nil"/>
              <w:right w:val="nil"/>
            </w:tcBorders>
            <w:shd w:val="clear" w:color="auto" w:fill="auto"/>
            <w:noWrap/>
            <w:vAlign w:val="bottom"/>
            <w:hideMark/>
          </w:tcPr>
          <w:p w14:paraId="115EF2D8" w14:textId="77777777" w:rsidR="004F461F" w:rsidRDefault="004F461F" w:rsidP="0006322D">
            <w:pPr>
              <w:spacing w:after="0" w:line="240" w:lineRule="auto"/>
              <w:jc w:val="right"/>
              <w:rPr>
                <w:rFonts w:ascii="Calibri" w:hAnsi="Calibri"/>
                <w:color w:val="000000"/>
              </w:rPr>
            </w:pPr>
            <w:r>
              <w:rPr>
                <w:rFonts w:ascii="Calibri" w:hAnsi="Calibri"/>
                <w:color w:val="000000"/>
              </w:rPr>
              <w:t>-0.92***</w:t>
            </w:r>
          </w:p>
        </w:tc>
      </w:tr>
      <w:tr w:rsidR="004F461F" w:rsidRPr="00960D30" w14:paraId="1B22A6C6" w14:textId="77777777" w:rsidTr="0006322D">
        <w:trPr>
          <w:trHeight w:val="299"/>
        </w:trPr>
        <w:tc>
          <w:tcPr>
            <w:tcW w:w="2934" w:type="dxa"/>
            <w:tcBorders>
              <w:top w:val="nil"/>
              <w:left w:val="nil"/>
              <w:bottom w:val="nil"/>
              <w:right w:val="nil"/>
            </w:tcBorders>
            <w:shd w:val="clear" w:color="auto" w:fill="auto"/>
            <w:noWrap/>
            <w:vAlign w:val="bottom"/>
            <w:hideMark/>
          </w:tcPr>
          <w:p w14:paraId="745ACF72"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Health status (versus Low risk)</w:t>
            </w:r>
          </w:p>
        </w:tc>
        <w:tc>
          <w:tcPr>
            <w:tcW w:w="1240" w:type="dxa"/>
            <w:tcBorders>
              <w:top w:val="nil"/>
              <w:left w:val="nil"/>
              <w:bottom w:val="nil"/>
              <w:right w:val="nil"/>
            </w:tcBorders>
            <w:shd w:val="clear" w:color="auto" w:fill="auto"/>
            <w:noWrap/>
            <w:vAlign w:val="bottom"/>
            <w:hideMark/>
          </w:tcPr>
          <w:p w14:paraId="5AD54911" w14:textId="77777777" w:rsidR="004F461F" w:rsidRPr="00960D30" w:rsidRDefault="004F461F" w:rsidP="0006322D">
            <w:pPr>
              <w:spacing w:after="0" w:line="240" w:lineRule="auto"/>
              <w:rPr>
                <w:rFonts w:ascii="Calibri" w:eastAsia="Times New Roman" w:hAnsi="Calibri" w:cs="Times New Roman"/>
                <w:color w:val="000000"/>
              </w:rPr>
            </w:pPr>
          </w:p>
        </w:tc>
        <w:tc>
          <w:tcPr>
            <w:tcW w:w="1047" w:type="dxa"/>
            <w:tcBorders>
              <w:top w:val="nil"/>
              <w:left w:val="nil"/>
              <w:bottom w:val="nil"/>
              <w:right w:val="nil"/>
            </w:tcBorders>
            <w:shd w:val="clear" w:color="auto" w:fill="auto"/>
            <w:noWrap/>
            <w:vAlign w:val="bottom"/>
            <w:hideMark/>
          </w:tcPr>
          <w:p w14:paraId="4360FD4C"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7AE22A91"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5187F456"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259" w:type="dxa"/>
            <w:tcBorders>
              <w:top w:val="nil"/>
              <w:left w:val="nil"/>
              <w:bottom w:val="nil"/>
              <w:right w:val="nil"/>
            </w:tcBorders>
            <w:shd w:val="clear" w:color="auto" w:fill="auto"/>
            <w:noWrap/>
            <w:vAlign w:val="bottom"/>
            <w:hideMark/>
          </w:tcPr>
          <w:p w14:paraId="67B5643A"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025" w:type="dxa"/>
            <w:tcBorders>
              <w:top w:val="nil"/>
              <w:left w:val="nil"/>
              <w:bottom w:val="nil"/>
              <w:right w:val="nil"/>
            </w:tcBorders>
            <w:shd w:val="clear" w:color="auto" w:fill="auto"/>
            <w:noWrap/>
            <w:vAlign w:val="bottom"/>
            <w:hideMark/>
          </w:tcPr>
          <w:p w14:paraId="34D2EEDF"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r>
      <w:tr w:rsidR="004F461F" w:rsidRPr="00960D30" w14:paraId="1FAF94CF" w14:textId="77777777" w:rsidTr="0006322D">
        <w:trPr>
          <w:trHeight w:val="299"/>
        </w:trPr>
        <w:tc>
          <w:tcPr>
            <w:tcW w:w="2934" w:type="dxa"/>
            <w:tcBorders>
              <w:top w:val="nil"/>
              <w:left w:val="nil"/>
              <w:bottom w:val="nil"/>
              <w:right w:val="nil"/>
            </w:tcBorders>
            <w:shd w:val="clear" w:color="auto" w:fill="auto"/>
            <w:noWrap/>
            <w:vAlign w:val="bottom"/>
            <w:hideMark/>
          </w:tcPr>
          <w:p w14:paraId="1B64B187"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Medium risk (1-2 priority conditions)</w:t>
            </w:r>
          </w:p>
        </w:tc>
        <w:tc>
          <w:tcPr>
            <w:tcW w:w="1240" w:type="dxa"/>
            <w:tcBorders>
              <w:top w:val="nil"/>
              <w:left w:val="nil"/>
              <w:bottom w:val="nil"/>
              <w:right w:val="nil"/>
            </w:tcBorders>
            <w:shd w:val="clear" w:color="auto" w:fill="auto"/>
            <w:noWrap/>
            <w:vAlign w:val="bottom"/>
            <w:hideMark/>
          </w:tcPr>
          <w:p w14:paraId="00FB5958" w14:textId="77777777" w:rsidR="004F461F" w:rsidRDefault="004F461F" w:rsidP="0006322D">
            <w:pPr>
              <w:spacing w:after="0" w:line="240" w:lineRule="auto"/>
              <w:jc w:val="right"/>
              <w:rPr>
                <w:rFonts w:ascii="Calibri" w:hAnsi="Calibri"/>
                <w:color w:val="000000"/>
              </w:rPr>
            </w:pPr>
            <w:r>
              <w:rPr>
                <w:rFonts w:ascii="Calibri" w:hAnsi="Calibri"/>
                <w:color w:val="000000"/>
              </w:rPr>
              <w:t>0.21***</w:t>
            </w:r>
          </w:p>
        </w:tc>
        <w:tc>
          <w:tcPr>
            <w:tcW w:w="1047" w:type="dxa"/>
            <w:tcBorders>
              <w:top w:val="nil"/>
              <w:left w:val="nil"/>
              <w:bottom w:val="nil"/>
              <w:right w:val="nil"/>
            </w:tcBorders>
            <w:shd w:val="clear" w:color="auto" w:fill="auto"/>
            <w:noWrap/>
            <w:vAlign w:val="bottom"/>
            <w:hideMark/>
          </w:tcPr>
          <w:p w14:paraId="459F3B84" w14:textId="77777777" w:rsidR="004F461F" w:rsidRDefault="004F461F" w:rsidP="0006322D">
            <w:pPr>
              <w:spacing w:after="0" w:line="240" w:lineRule="auto"/>
              <w:jc w:val="right"/>
              <w:rPr>
                <w:rFonts w:ascii="Calibri" w:hAnsi="Calibri"/>
                <w:color w:val="000000"/>
              </w:rPr>
            </w:pPr>
            <w:r>
              <w:rPr>
                <w:rFonts w:ascii="Calibri" w:hAnsi="Calibri"/>
                <w:color w:val="000000"/>
              </w:rPr>
              <w:t>0.22***</w:t>
            </w:r>
          </w:p>
        </w:tc>
        <w:tc>
          <w:tcPr>
            <w:tcW w:w="1163" w:type="dxa"/>
            <w:tcBorders>
              <w:top w:val="nil"/>
              <w:left w:val="nil"/>
              <w:bottom w:val="nil"/>
              <w:right w:val="nil"/>
            </w:tcBorders>
            <w:shd w:val="clear" w:color="auto" w:fill="auto"/>
            <w:noWrap/>
            <w:vAlign w:val="bottom"/>
            <w:hideMark/>
          </w:tcPr>
          <w:p w14:paraId="08BB19CA" w14:textId="77777777" w:rsidR="004F461F" w:rsidRDefault="004F461F" w:rsidP="0006322D">
            <w:pPr>
              <w:spacing w:after="0" w:line="240" w:lineRule="auto"/>
              <w:jc w:val="right"/>
              <w:rPr>
                <w:rFonts w:ascii="Calibri" w:hAnsi="Calibri"/>
                <w:color w:val="000000"/>
              </w:rPr>
            </w:pPr>
            <w:r>
              <w:rPr>
                <w:rFonts w:ascii="Calibri" w:hAnsi="Calibri"/>
                <w:color w:val="000000"/>
              </w:rPr>
              <w:t>-0.41***</w:t>
            </w:r>
          </w:p>
        </w:tc>
        <w:tc>
          <w:tcPr>
            <w:tcW w:w="1320" w:type="dxa"/>
            <w:tcBorders>
              <w:top w:val="nil"/>
              <w:left w:val="nil"/>
              <w:bottom w:val="nil"/>
              <w:right w:val="nil"/>
            </w:tcBorders>
            <w:shd w:val="clear" w:color="auto" w:fill="auto"/>
            <w:noWrap/>
            <w:vAlign w:val="bottom"/>
            <w:hideMark/>
          </w:tcPr>
          <w:p w14:paraId="0CD9095E" w14:textId="77777777" w:rsidR="004F461F" w:rsidRDefault="004F461F" w:rsidP="0006322D">
            <w:pPr>
              <w:spacing w:after="0" w:line="240" w:lineRule="auto"/>
              <w:jc w:val="right"/>
              <w:rPr>
                <w:rFonts w:ascii="Calibri" w:hAnsi="Calibri"/>
                <w:color w:val="000000"/>
              </w:rPr>
            </w:pPr>
            <w:r>
              <w:rPr>
                <w:rFonts w:ascii="Calibri" w:hAnsi="Calibri"/>
                <w:color w:val="000000"/>
              </w:rPr>
              <w:t>0.82***</w:t>
            </w:r>
          </w:p>
        </w:tc>
        <w:tc>
          <w:tcPr>
            <w:tcW w:w="1259" w:type="dxa"/>
            <w:tcBorders>
              <w:top w:val="nil"/>
              <w:left w:val="nil"/>
              <w:bottom w:val="nil"/>
              <w:right w:val="nil"/>
            </w:tcBorders>
            <w:shd w:val="clear" w:color="auto" w:fill="auto"/>
            <w:noWrap/>
            <w:vAlign w:val="bottom"/>
            <w:hideMark/>
          </w:tcPr>
          <w:p w14:paraId="7D490A5A" w14:textId="77777777" w:rsidR="004F461F" w:rsidRDefault="004F461F" w:rsidP="0006322D">
            <w:pPr>
              <w:spacing w:after="0" w:line="240" w:lineRule="auto"/>
              <w:jc w:val="right"/>
              <w:rPr>
                <w:rFonts w:ascii="Calibri" w:hAnsi="Calibri"/>
                <w:color w:val="000000"/>
              </w:rPr>
            </w:pPr>
            <w:r>
              <w:rPr>
                <w:rFonts w:ascii="Calibri" w:hAnsi="Calibri"/>
                <w:color w:val="000000"/>
              </w:rPr>
              <w:t>0.83***</w:t>
            </w:r>
          </w:p>
        </w:tc>
        <w:tc>
          <w:tcPr>
            <w:tcW w:w="1025" w:type="dxa"/>
            <w:tcBorders>
              <w:top w:val="nil"/>
              <w:left w:val="nil"/>
              <w:bottom w:val="nil"/>
              <w:right w:val="nil"/>
            </w:tcBorders>
            <w:shd w:val="clear" w:color="auto" w:fill="auto"/>
            <w:noWrap/>
            <w:vAlign w:val="bottom"/>
            <w:hideMark/>
          </w:tcPr>
          <w:p w14:paraId="761F092A" w14:textId="77777777" w:rsidR="004F461F" w:rsidRDefault="004F461F" w:rsidP="0006322D">
            <w:pPr>
              <w:spacing w:after="0" w:line="240" w:lineRule="auto"/>
              <w:jc w:val="right"/>
              <w:rPr>
                <w:rFonts w:ascii="Calibri" w:hAnsi="Calibri"/>
                <w:color w:val="000000"/>
              </w:rPr>
            </w:pPr>
            <w:r>
              <w:rPr>
                <w:rFonts w:ascii="Calibri" w:hAnsi="Calibri"/>
                <w:color w:val="000000"/>
              </w:rPr>
              <w:t>0.63***</w:t>
            </w:r>
          </w:p>
        </w:tc>
      </w:tr>
      <w:tr w:rsidR="004F461F" w:rsidRPr="00960D30" w14:paraId="3EC055B9" w14:textId="77777777" w:rsidTr="0006322D">
        <w:trPr>
          <w:trHeight w:val="299"/>
        </w:trPr>
        <w:tc>
          <w:tcPr>
            <w:tcW w:w="2934" w:type="dxa"/>
            <w:tcBorders>
              <w:top w:val="nil"/>
              <w:left w:val="nil"/>
              <w:bottom w:val="nil"/>
              <w:right w:val="nil"/>
            </w:tcBorders>
            <w:shd w:val="clear" w:color="auto" w:fill="auto"/>
            <w:noWrap/>
            <w:vAlign w:val="bottom"/>
            <w:hideMark/>
          </w:tcPr>
          <w:p w14:paraId="2DEC891D"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High risk (3-8 priority conditions)</w:t>
            </w:r>
          </w:p>
        </w:tc>
        <w:tc>
          <w:tcPr>
            <w:tcW w:w="1240" w:type="dxa"/>
            <w:tcBorders>
              <w:top w:val="nil"/>
              <w:left w:val="nil"/>
              <w:bottom w:val="nil"/>
              <w:right w:val="nil"/>
            </w:tcBorders>
            <w:shd w:val="clear" w:color="auto" w:fill="auto"/>
            <w:noWrap/>
            <w:vAlign w:val="bottom"/>
            <w:hideMark/>
          </w:tcPr>
          <w:p w14:paraId="6654F50D" w14:textId="77777777" w:rsidR="004F461F" w:rsidRDefault="004F461F" w:rsidP="0006322D">
            <w:pPr>
              <w:spacing w:after="0" w:line="240" w:lineRule="auto"/>
              <w:jc w:val="right"/>
              <w:rPr>
                <w:rFonts w:ascii="Calibri" w:hAnsi="Calibri"/>
                <w:color w:val="000000"/>
              </w:rPr>
            </w:pPr>
            <w:r>
              <w:rPr>
                <w:rFonts w:ascii="Calibri" w:hAnsi="Calibri"/>
                <w:color w:val="000000"/>
              </w:rPr>
              <w:t>0.24***</w:t>
            </w:r>
          </w:p>
        </w:tc>
        <w:tc>
          <w:tcPr>
            <w:tcW w:w="1047" w:type="dxa"/>
            <w:tcBorders>
              <w:top w:val="nil"/>
              <w:left w:val="nil"/>
              <w:bottom w:val="nil"/>
              <w:right w:val="nil"/>
            </w:tcBorders>
            <w:shd w:val="clear" w:color="auto" w:fill="auto"/>
            <w:noWrap/>
            <w:vAlign w:val="bottom"/>
            <w:hideMark/>
          </w:tcPr>
          <w:p w14:paraId="6449D38E" w14:textId="77777777" w:rsidR="004F461F" w:rsidRDefault="004F461F" w:rsidP="0006322D">
            <w:pPr>
              <w:spacing w:after="0" w:line="240" w:lineRule="auto"/>
              <w:jc w:val="right"/>
              <w:rPr>
                <w:rFonts w:ascii="Calibri" w:hAnsi="Calibri"/>
                <w:color w:val="000000"/>
              </w:rPr>
            </w:pPr>
            <w:r>
              <w:rPr>
                <w:rFonts w:ascii="Calibri" w:hAnsi="Calibri"/>
                <w:color w:val="000000"/>
              </w:rPr>
              <w:t>0.32***</w:t>
            </w:r>
          </w:p>
        </w:tc>
        <w:tc>
          <w:tcPr>
            <w:tcW w:w="1163" w:type="dxa"/>
            <w:tcBorders>
              <w:top w:val="nil"/>
              <w:left w:val="nil"/>
              <w:bottom w:val="nil"/>
              <w:right w:val="nil"/>
            </w:tcBorders>
            <w:shd w:val="clear" w:color="auto" w:fill="auto"/>
            <w:noWrap/>
            <w:vAlign w:val="bottom"/>
            <w:hideMark/>
          </w:tcPr>
          <w:p w14:paraId="7F45D4A2" w14:textId="77777777" w:rsidR="004F461F" w:rsidRDefault="004F461F" w:rsidP="0006322D">
            <w:pPr>
              <w:spacing w:after="0" w:line="240" w:lineRule="auto"/>
              <w:jc w:val="right"/>
              <w:rPr>
                <w:rFonts w:ascii="Calibri" w:hAnsi="Calibri"/>
                <w:color w:val="000000"/>
              </w:rPr>
            </w:pPr>
            <w:r>
              <w:rPr>
                <w:rFonts w:ascii="Calibri" w:hAnsi="Calibri"/>
                <w:color w:val="000000"/>
              </w:rPr>
              <w:t>-0.74***</w:t>
            </w:r>
          </w:p>
        </w:tc>
        <w:tc>
          <w:tcPr>
            <w:tcW w:w="1320" w:type="dxa"/>
            <w:tcBorders>
              <w:top w:val="nil"/>
              <w:left w:val="nil"/>
              <w:bottom w:val="nil"/>
              <w:right w:val="nil"/>
            </w:tcBorders>
            <w:shd w:val="clear" w:color="auto" w:fill="auto"/>
            <w:noWrap/>
            <w:vAlign w:val="bottom"/>
            <w:hideMark/>
          </w:tcPr>
          <w:p w14:paraId="34FB5A31" w14:textId="77777777" w:rsidR="004F461F" w:rsidRDefault="004F461F" w:rsidP="0006322D">
            <w:pPr>
              <w:spacing w:after="0" w:line="240" w:lineRule="auto"/>
              <w:jc w:val="right"/>
              <w:rPr>
                <w:rFonts w:ascii="Calibri" w:hAnsi="Calibri"/>
                <w:color w:val="000000"/>
              </w:rPr>
            </w:pPr>
            <w:r>
              <w:rPr>
                <w:rFonts w:ascii="Calibri" w:hAnsi="Calibri"/>
                <w:color w:val="000000"/>
              </w:rPr>
              <w:t>1.38***</w:t>
            </w:r>
          </w:p>
        </w:tc>
        <w:tc>
          <w:tcPr>
            <w:tcW w:w="1259" w:type="dxa"/>
            <w:tcBorders>
              <w:top w:val="nil"/>
              <w:left w:val="nil"/>
              <w:bottom w:val="nil"/>
              <w:right w:val="nil"/>
            </w:tcBorders>
            <w:shd w:val="clear" w:color="auto" w:fill="auto"/>
            <w:noWrap/>
            <w:vAlign w:val="bottom"/>
            <w:hideMark/>
          </w:tcPr>
          <w:p w14:paraId="29BFCFB6" w14:textId="77777777" w:rsidR="004F461F" w:rsidRDefault="004F461F" w:rsidP="0006322D">
            <w:pPr>
              <w:spacing w:after="0" w:line="240" w:lineRule="auto"/>
              <w:jc w:val="right"/>
              <w:rPr>
                <w:rFonts w:ascii="Calibri" w:hAnsi="Calibri"/>
                <w:color w:val="000000"/>
              </w:rPr>
            </w:pPr>
            <w:r>
              <w:rPr>
                <w:rFonts w:ascii="Calibri" w:hAnsi="Calibri"/>
                <w:color w:val="000000"/>
              </w:rPr>
              <w:t>1.51***</w:t>
            </w:r>
          </w:p>
        </w:tc>
        <w:tc>
          <w:tcPr>
            <w:tcW w:w="1025" w:type="dxa"/>
            <w:tcBorders>
              <w:top w:val="nil"/>
              <w:left w:val="nil"/>
              <w:bottom w:val="nil"/>
              <w:right w:val="nil"/>
            </w:tcBorders>
            <w:shd w:val="clear" w:color="auto" w:fill="auto"/>
            <w:noWrap/>
            <w:vAlign w:val="bottom"/>
            <w:hideMark/>
          </w:tcPr>
          <w:p w14:paraId="3E903EA7" w14:textId="77777777" w:rsidR="004F461F" w:rsidRDefault="004F461F" w:rsidP="0006322D">
            <w:pPr>
              <w:spacing w:after="0" w:line="240" w:lineRule="auto"/>
              <w:jc w:val="right"/>
              <w:rPr>
                <w:rFonts w:ascii="Calibri" w:hAnsi="Calibri"/>
                <w:color w:val="000000"/>
              </w:rPr>
            </w:pPr>
            <w:r>
              <w:rPr>
                <w:rFonts w:ascii="Calibri" w:hAnsi="Calibri"/>
                <w:color w:val="000000"/>
              </w:rPr>
              <w:t>1.36***</w:t>
            </w:r>
          </w:p>
        </w:tc>
      </w:tr>
      <w:tr w:rsidR="004F461F" w:rsidRPr="00960D30" w14:paraId="13D81C61" w14:textId="77777777" w:rsidTr="0006322D">
        <w:trPr>
          <w:trHeight w:val="299"/>
        </w:trPr>
        <w:tc>
          <w:tcPr>
            <w:tcW w:w="2934" w:type="dxa"/>
            <w:tcBorders>
              <w:top w:val="nil"/>
              <w:left w:val="nil"/>
              <w:bottom w:val="nil"/>
              <w:right w:val="nil"/>
            </w:tcBorders>
            <w:shd w:val="clear" w:color="auto" w:fill="auto"/>
            <w:noWrap/>
            <w:vAlign w:val="bottom"/>
            <w:hideMark/>
          </w:tcPr>
          <w:p w14:paraId="73A577DD"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Poverty level (versus Poor)</w:t>
            </w:r>
          </w:p>
        </w:tc>
        <w:tc>
          <w:tcPr>
            <w:tcW w:w="1240" w:type="dxa"/>
            <w:tcBorders>
              <w:top w:val="nil"/>
              <w:left w:val="nil"/>
              <w:bottom w:val="nil"/>
              <w:right w:val="nil"/>
            </w:tcBorders>
            <w:shd w:val="clear" w:color="auto" w:fill="auto"/>
            <w:noWrap/>
            <w:vAlign w:val="bottom"/>
            <w:hideMark/>
          </w:tcPr>
          <w:p w14:paraId="2DF45B70" w14:textId="77777777" w:rsidR="004F461F" w:rsidRPr="00960D30" w:rsidRDefault="004F461F" w:rsidP="0006322D">
            <w:pPr>
              <w:spacing w:after="0" w:line="240" w:lineRule="auto"/>
              <w:rPr>
                <w:rFonts w:ascii="Calibri" w:eastAsia="Times New Roman" w:hAnsi="Calibri" w:cs="Times New Roman"/>
                <w:color w:val="000000"/>
              </w:rPr>
            </w:pPr>
          </w:p>
        </w:tc>
        <w:tc>
          <w:tcPr>
            <w:tcW w:w="1047" w:type="dxa"/>
            <w:tcBorders>
              <w:top w:val="nil"/>
              <w:left w:val="nil"/>
              <w:bottom w:val="nil"/>
              <w:right w:val="nil"/>
            </w:tcBorders>
            <w:shd w:val="clear" w:color="auto" w:fill="auto"/>
            <w:noWrap/>
            <w:vAlign w:val="bottom"/>
            <w:hideMark/>
          </w:tcPr>
          <w:p w14:paraId="12649ECC"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392CBA0C"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3EA3235"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259" w:type="dxa"/>
            <w:tcBorders>
              <w:top w:val="nil"/>
              <w:left w:val="nil"/>
              <w:bottom w:val="nil"/>
              <w:right w:val="nil"/>
            </w:tcBorders>
            <w:shd w:val="clear" w:color="auto" w:fill="auto"/>
            <w:noWrap/>
            <w:vAlign w:val="bottom"/>
            <w:hideMark/>
          </w:tcPr>
          <w:p w14:paraId="4A94D88C"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025" w:type="dxa"/>
            <w:tcBorders>
              <w:top w:val="nil"/>
              <w:left w:val="nil"/>
              <w:bottom w:val="nil"/>
              <w:right w:val="nil"/>
            </w:tcBorders>
            <w:shd w:val="clear" w:color="auto" w:fill="auto"/>
            <w:noWrap/>
            <w:vAlign w:val="bottom"/>
            <w:hideMark/>
          </w:tcPr>
          <w:p w14:paraId="4B443CAA"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r>
      <w:tr w:rsidR="004F461F" w:rsidRPr="00960D30" w14:paraId="2F362257" w14:textId="77777777" w:rsidTr="0006322D">
        <w:trPr>
          <w:trHeight w:val="299"/>
        </w:trPr>
        <w:tc>
          <w:tcPr>
            <w:tcW w:w="2934" w:type="dxa"/>
            <w:tcBorders>
              <w:top w:val="nil"/>
              <w:left w:val="nil"/>
              <w:bottom w:val="nil"/>
              <w:right w:val="nil"/>
            </w:tcBorders>
            <w:shd w:val="clear" w:color="auto" w:fill="auto"/>
            <w:noWrap/>
            <w:vAlign w:val="bottom"/>
            <w:hideMark/>
          </w:tcPr>
          <w:p w14:paraId="64C567D0"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Low income (100% - &lt;200%)</w:t>
            </w:r>
          </w:p>
        </w:tc>
        <w:tc>
          <w:tcPr>
            <w:tcW w:w="1240" w:type="dxa"/>
            <w:tcBorders>
              <w:top w:val="nil"/>
              <w:left w:val="nil"/>
              <w:bottom w:val="nil"/>
              <w:right w:val="nil"/>
            </w:tcBorders>
            <w:shd w:val="clear" w:color="auto" w:fill="auto"/>
            <w:noWrap/>
            <w:vAlign w:val="bottom"/>
            <w:hideMark/>
          </w:tcPr>
          <w:p w14:paraId="042C87B5" w14:textId="77777777" w:rsidR="004F461F" w:rsidRDefault="004F461F" w:rsidP="0006322D">
            <w:pPr>
              <w:spacing w:after="0" w:line="240" w:lineRule="auto"/>
              <w:jc w:val="right"/>
              <w:rPr>
                <w:rFonts w:ascii="Calibri" w:hAnsi="Calibri"/>
                <w:color w:val="000000"/>
              </w:rPr>
            </w:pPr>
            <w:r>
              <w:rPr>
                <w:rFonts w:ascii="Calibri" w:hAnsi="Calibri"/>
                <w:color w:val="000000"/>
              </w:rPr>
              <w:t>0.85***</w:t>
            </w:r>
          </w:p>
        </w:tc>
        <w:tc>
          <w:tcPr>
            <w:tcW w:w="1047" w:type="dxa"/>
            <w:tcBorders>
              <w:top w:val="nil"/>
              <w:left w:val="nil"/>
              <w:bottom w:val="nil"/>
              <w:right w:val="nil"/>
            </w:tcBorders>
            <w:shd w:val="clear" w:color="auto" w:fill="auto"/>
            <w:noWrap/>
            <w:vAlign w:val="bottom"/>
            <w:hideMark/>
          </w:tcPr>
          <w:p w14:paraId="3B5EE8DF" w14:textId="77777777" w:rsidR="004F461F" w:rsidRDefault="004F461F" w:rsidP="0006322D">
            <w:pPr>
              <w:spacing w:after="0" w:line="240" w:lineRule="auto"/>
              <w:jc w:val="right"/>
              <w:rPr>
                <w:rFonts w:ascii="Calibri" w:hAnsi="Calibri"/>
                <w:color w:val="000000"/>
              </w:rPr>
            </w:pPr>
            <w:r>
              <w:rPr>
                <w:rFonts w:ascii="Calibri" w:hAnsi="Calibri"/>
                <w:color w:val="000000"/>
              </w:rPr>
              <w:t>1.06***</w:t>
            </w:r>
          </w:p>
        </w:tc>
        <w:tc>
          <w:tcPr>
            <w:tcW w:w="1163" w:type="dxa"/>
            <w:tcBorders>
              <w:top w:val="nil"/>
              <w:left w:val="nil"/>
              <w:bottom w:val="nil"/>
              <w:right w:val="nil"/>
            </w:tcBorders>
            <w:shd w:val="clear" w:color="auto" w:fill="auto"/>
            <w:noWrap/>
            <w:vAlign w:val="bottom"/>
            <w:hideMark/>
          </w:tcPr>
          <w:p w14:paraId="43187CBE" w14:textId="77777777" w:rsidR="004F461F" w:rsidRDefault="004F461F" w:rsidP="0006322D">
            <w:pPr>
              <w:spacing w:after="0" w:line="240" w:lineRule="auto"/>
              <w:jc w:val="right"/>
              <w:rPr>
                <w:rFonts w:ascii="Calibri" w:hAnsi="Calibri"/>
                <w:color w:val="000000"/>
              </w:rPr>
            </w:pPr>
            <w:r>
              <w:rPr>
                <w:rFonts w:ascii="Calibri" w:hAnsi="Calibri"/>
                <w:color w:val="000000"/>
              </w:rPr>
              <w:t>-0.26***</w:t>
            </w:r>
          </w:p>
        </w:tc>
        <w:tc>
          <w:tcPr>
            <w:tcW w:w="1320" w:type="dxa"/>
            <w:tcBorders>
              <w:top w:val="nil"/>
              <w:left w:val="nil"/>
              <w:bottom w:val="nil"/>
              <w:right w:val="nil"/>
            </w:tcBorders>
            <w:shd w:val="clear" w:color="auto" w:fill="auto"/>
            <w:noWrap/>
            <w:vAlign w:val="bottom"/>
            <w:hideMark/>
          </w:tcPr>
          <w:p w14:paraId="1D7654AD" w14:textId="77777777" w:rsidR="004F461F" w:rsidRDefault="004F461F" w:rsidP="0006322D">
            <w:pPr>
              <w:spacing w:after="0" w:line="240" w:lineRule="auto"/>
              <w:jc w:val="right"/>
              <w:rPr>
                <w:rFonts w:ascii="Calibri" w:hAnsi="Calibri"/>
                <w:color w:val="000000"/>
              </w:rPr>
            </w:pPr>
            <w:r>
              <w:rPr>
                <w:rFonts w:ascii="Calibri" w:hAnsi="Calibri"/>
                <w:color w:val="000000"/>
              </w:rPr>
              <w:t>-0.21</w:t>
            </w:r>
          </w:p>
        </w:tc>
        <w:tc>
          <w:tcPr>
            <w:tcW w:w="1259" w:type="dxa"/>
            <w:tcBorders>
              <w:top w:val="nil"/>
              <w:left w:val="nil"/>
              <w:bottom w:val="nil"/>
              <w:right w:val="nil"/>
            </w:tcBorders>
            <w:shd w:val="clear" w:color="auto" w:fill="auto"/>
            <w:noWrap/>
            <w:vAlign w:val="bottom"/>
            <w:hideMark/>
          </w:tcPr>
          <w:p w14:paraId="5F9B278B" w14:textId="77777777" w:rsidR="004F461F" w:rsidRDefault="004F461F" w:rsidP="0006322D">
            <w:pPr>
              <w:spacing w:after="0" w:line="240" w:lineRule="auto"/>
              <w:jc w:val="right"/>
              <w:rPr>
                <w:rFonts w:ascii="Calibri" w:hAnsi="Calibri"/>
                <w:color w:val="000000"/>
              </w:rPr>
            </w:pPr>
            <w:r>
              <w:rPr>
                <w:rFonts w:ascii="Calibri" w:hAnsi="Calibri"/>
                <w:color w:val="000000"/>
              </w:rPr>
              <w:t>-0.06</w:t>
            </w:r>
          </w:p>
        </w:tc>
        <w:tc>
          <w:tcPr>
            <w:tcW w:w="1025" w:type="dxa"/>
            <w:tcBorders>
              <w:top w:val="nil"/>
              <w:left w:val="nil"/>
              <w:bottom w:val="nil"/>
              <w:right w:val="nil"/>
            </w:tcBorders>
            <w:shd w:val="clear" w:color="auto" w:fill="auto"/>
            <w:noWrap/>
            <w:vAlign w:val="bottom"/>
            <w:hideMark/>
          </w:tcPr>
          <w:p w14:paraId="5E48F043" w14:textId="77777777" w:rsidR="004F461F" w:rsidRDefault="004F461F" w:rsidP="0006322D">
            <w:pPr>
              <w:spacing w:after="0" w:line="240" w:lineRule="auto"/>
              <w:jc w:val="right"/>
              <w:rPr>
                <w:rFonts w:ascii="Calibri" w:hAnsi="Calibri"/>
                <w:color w:val="000000"/>
              </w:rPr>
            </w:pPr>
            <w:r>
              <w:rPr>
                <w:rFonts w:ascii="Calibri" w:hAnsi="Calibri"/>
                <w:color w:val="000000"/>
              </w:rPr>
              <w:t>-1.21***</w:t>
            </w:r>
          </w:p>
        </w:tc>
      </w:tr>
      <w:tr w:rsidR="004F461F" w:rsidRPr="00960D30" w14:paraId="52A7ED25" w14:textId="77777777" w:rsidTr="0006322D">
        <w:trPr>
          <w:trHeight w:val="299"/>
        </w:trPr>
        <w:tc>
          <w:tcPr>
            <w:tcW w:w="2934" w:type="dxa"/>
            <w:tcBorders>
              <w:top w:val="nil"/>
              <w:left w:val="nil"/>
              <w:bottom w:val="nil"/>
              <w:right w:val="nil"/>
            </w:tcBorders>
            <w:shd w:val="clear" w:color="auto" w:fill="auto"/>
            <w:noWrap/>
            <w:vAlign w:val="bottom"/>
            <w:hideMark/>
          </w:tcPr>
          <w:p w14:paraId="4AD041F1"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Middle income (200% - &lt;400%)</w:t>
            </w:r>
          </w:p>
        </w:tc>
        <w:tc>
          <w:tcPr>
            <w:tcW w:w="1240" w:type="dxa"/>
            <w:tcBorders>
              <w:top w:val="nil"/>
              <w:left w:val="nil"/>
              <w:bottom w:val="nil"/>
              <w:right w:val="nil"/>
            </w:tcBorders>
            <w:shd w:val="clear" w:color="auto" w:fill="auto"/>
            <w:noWrap/>
            <w:vAlign w:val="bottom"/>
            <w:hideMark/>
          </w:tcPr>
          <w:p w14:paraId="327E8854" w14:textId="77777777" w:rsidR="004F461F" w:rsidRDefault="004F461F" w:rsidP="0006322D">
            <w:pPr>
              <w:spacing w:after="0" w:line="240" w:lineRule="auto"/>
              <w:jc w:val="right"/>
              <w:rPr>
                <w:rFonts w:ascii="Calibri" w:hAnsi="Calibri"/>
                <w:color w:val="000000"/>
              </w:rPr>
            </w:pPr>
            <w:r>
              <w:rPr>
                <w:rFonts w:ascii="Calibri" w:hAnsi="Calibri"/>
                <w:color w:val="000000"/>
              </w:rPr>
              <w:t>1.58***</w:t>
            </w:r>
          </w:p>
        </w:tc>
        <w:tc>
          <w:tcPr>
            <w:tcW w:w="1047" w:type="dxa"/>
            <w:tcBorders>
              <w:top w:val="nil"/>
              <w:left w:val="nil"/>
              <w:bottom w:val="nil"/>
              <w:right w:val="nil"/>
            </w:tcBorders>
            <w:shd w:val="clear" w:color="auto" w:fill="auto"/>
            <w:noWrap/>
            <w:vAlign w:val="bottom"/>
            <w:hideMark/>
          </w:tcPr>
          <w:p w14:paraId="3B40C6D2" w14:textId="77777777" w:rsidR="004F461F" w:rsidRDefault="004F461F" w:rsidP="0006322D">
            <w:pPr>
              <w:spacing w:after="0" w:line="240" w:lineRule="auto"/>
              <w:jc w:val="right"/>
              <w:rPr>
                <w:rFonts w:ascii="Calibri" w:hAnsi="Calibri"/>
                <w:color w:val="000000"/>
              </w:rPr>
            </w:pPr>
            <w:r>
              <w:rPr>
                <w:rFonts w:ascii="Calibri" w:hAnsi="Calibri"/>
                <w:color w:val="000000"/>
              </w:rPr>
              <w:t>2.10***</w:t>
            </w:r>
          </w:p>
        </w:tc>
        <w:tc>
          <w:tcPr>
            <w:tcW w:w="1163" w:type="dxa"/>
            <w:tcBorders>
              <w:top w:val="nil"/>
              <w:left w:val="nil"/>
              <w:bottom w:val="nil"/>
              <w:right w:val="nil"/>
            </w:tcBorders>
            <w:shd w:val="clear" w:color="auto" w:fill="auto"/>
            <w:noWrap/>
            <w:vAlign w:val="bottom"/>
            <w:hideMark/>
          </w:tcPr>
          <w:p w14:paraId="3F184AFE" w14:textId="77777777" w:rsidR="004F461F" w:rsidRDefault="004F461F" w:rsidP="0006322D">
            <w:pPr>
              <w:spacing w:after="0" w:line="240" w:lineRule="auto"/>
              <w:jc w:val="right"/>
              <w:rPr>
                <w:rFonts w:ascii="Calibri" w:hAnsi="Calibri"/>
                <w:color w:val="000000"/>
              </w:rPr>
            </w:pPr>
            <w:r>
              <w:rPr>
                <w:rFonts w:ascii="Calibri" w:hAnsi="Calibri"/>
                <w:color w:val="000000"/>
              </w:rPr>
              <w:t>-1.05***</w:t>
            </w:r>
          </w:p>
        </w:tc>
        <w:tc>
          <w:tcPr>
            <w:tcW w:w="1320" w:type="dxa"/>
            <w:tcBorders>
              <w:top w:val="nil"/>
              <w:left w:val="nil"/>
              <w:bottom w:val="nil"/>
              <w:right w:val="nil"/>
            </w:tcBorders>
            <w:shd w:val="clear" w:color="auto" w:fill="auto"/>
            <w:noWrap/>
            <w:vAlign w:val="bottom"/>
            <w:hideMark/>
          </w:tcPr>
          <w:p w14:paraId="2201D0E9" w14:textId="77777777" w:rsidR="004F461F" w:rsidRDefault="004F461F" w:rsidP="0006322D">
            <w:pPr>
              <w:spacing w:after="0" w:line="240" w:lineRule="auto"/>
              <w:jc w:val="right"/>
              <w:rPr>
                <w:rFonts w:ascii="Calibri" w:hAnsi="Calibri"/>
                <w:color w:val="000000"/>
              </w:rPr>
            </w:pPr>
            <w:r>
              <w:rPr>
                <w:rFonts w:ascii="Calibri" w:hAnsi="Calibri"/>
                <w:color w:val="000000"/>
              </w:rPr>
              <w:t>-0.79***</w:t>
            </w:r>
          </w:p>
        </w:tc>
        <w:tc>
          <w:tcPr>
            <w:tcW w:w="1259" w:type="dxa"/>
            <w:tcBorders>
              <w:top w:val="nil"/>
              <w:left w:val="nil"/>
              <w:bottom w:val="nil"/>
              <w:right w:val="nil"/>
            </w:tcBorders>
            <w:shd w:val="clear" w:color="auto" w:fill="auto"/>
            <w:noWrap/>
            <w:vAlign w:val="bottom"/>
            <w:hideMark/>
          </w:tcPr>
          <w:p w14:paraId="3AB83DEE" w14:textId="77777777" w:rsidR="004F461F" w:rsidRDefault="004F461F" w:rsidP="0006322D">
            <w:pPr>
              <w:spacing w:after="0" w:line="240" w:lineRule="auto"/>
              <w:jc w:val="right"/>
              <w:rPr>
                <w:rFonts w:ascii="Calibri" w:hAnsi="Calibri"/>
                <w:color w:val="000000"/>
              </w:rPr>
            </w:pPr>
            <w:r>
              <w:rPr>
                <w:rFonts w:ascii="Calibri" w:hAnsi="Calibri"/>
                <w:color w:val="000000"/>
              </w:rPr>
              <w:t>-0.39**</w:t>
            </w:r>
          </w:p>
        </w:tc>
        <w:tc>
          <w:tcPr>
            <w:tcW w:w="1025" w:type="dxa"/>
            <w:tcBorders>
              <w:top w:val="nil"/>
              <w:left w:val="nil"/>
              <w:bottom w:val="nil"/>
              <w:right w:val="nil"/>
            </w:tcBorders>
            <w:shd w:val="clear" w:color="auto" w:fill="auto"/>
            <w:noWrap/>
            <w:vAlign w:val="bottom"/>
            <w:hideMark/>
          </w:tcPr>
          <w:p w14:paraId="492CB1A5" w14:textId="77777777" w:rsidR="004F461F" w:rsidRDefault="004F461F" w:rsidP="0006322D">
            <w:pPr>
              <w:spacing w:after="0" w:line="240" w:lineRule="auto"/>
              <w:jc w:val="right"/>
              <w:rPr>
                <w:rFonts w:ascii="Calibri" w:hAnsi="Calibri"/>
                <w:color w:val="000000"/>
              </w:rPr>
            </w:pPr>
            <w:r>
              <w:rPr>
                <w:rFonts w:ascii="Calibri" w:hAnsi="Calibri"/>
                <w:color w:val="000000"/>
              </w:rPr>
              <w:t>-2.17***</w:t>
            </w:r>
          </w:p>
        </w:tc>
      </w:tr>
      <w:tr w:rsidR="004F461F" w:rsidRPr="00960D30" w14:paraId="20AFFED9" w14:textId="77777777" w:rsidTr="0006322D">
        <w:trPr>
          <w:trHeight w:val="299"/>
        </w:trPr>
        <w:tc>
          <w:tcPr>
            <w:tcW w:w="2934" w:type="dxa"/>
            <w:tcBorders>
              <w:top w:val="nil"/>
              <w:left w:val="nil"/>
              <w:bottom w:val="nil"/>
              <w:right w:val="nil"/>
            </w:tcBorders>
            <w:shd w:val="clear" w:color="auto" w:fill="auto"/>
            <w:noWrap/>
            <w:vAlign w:val="bottom"/>
            <w:hideMark/>
          </w:tcPr>
          <w:p w14:paraId="0F4174FE"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High income (400% and above)</w:t>
            </w:r>
          </w:p>
        </w:tc>
        <w:tc>
          <w:tcPr>
            <w:tcW w:w="1240" w:type="dxa"/>
            <w:tcBorders>
              <w:top w:val="nil"/>
              <w:left w:val="nil"/>
              <w:bottom w:val="nil"/>
              <w:right w:val="nil"/>
            </w:tcBorders>
            <w:shd w:val="clear" w:color="auto" w:fill="auto"/>
            <w:noWrap/>
            <w:vAlign w:val="bottom"/>
            <w:hideMark/>
          </w:tcPr>
          <w:p w14:paraId="5D31F1DD" w14:textId="77777777" w:rsidR="004F461F" w:rsidRDefault="004F461F" w:rsidP="0006322D">
            <w:pPr>
              <w:spacing w:after="0" w:line="240" w:lineRule="auto"/>
              <w:jc w:val="right"/>
              <w:rPr>
                <w:rFonts w:ascii="Calibri" w:hAnsi="Calibri"/>
                <w:color w:val="000000"/>
              </w:rPr>
            </w:pPr>
            <w:r>
              <w:rPr>
                <w:rFonts w:ascii="Calibri" w:hAnsi="Calibri"/>
                <w:color w:val="000000"/>
              </w:rPr>
              <w:t>2.03***</w:t>
            </w:r>
          </w:p>
        </w:tc>
        <w:tc>
          <w:tcPr>
            <w:tcW w:w="1047" w:type="dxa"/>
            <w:tcBorders>
              <w:top w:val="nil"/>
              <w:left w:val="nil"/>
              <w:bottom w:val="nil"/>
              <w:right w:val="nil"/>
            </w:tcBorders>
            <w:shd w:val="clear" w:color="auto" w:fill="auto"/>
            <w:noWrap/>
            <w:vAlign w:val="bottom"/>
            <w:hideMark/>
          </w:tcPr>
          <w:p w14:paraId="601890F6" w14:textId="77777777" w:rsidR="004F461F" w:rsidRDefault="004F461F" w:rsidP="0006322D">
            <w:pPr>
              <w:spacing w:after="0" w:line="240" w:lineRule="auto"/>
              <w:jc w:val="right"/>
              <w:rPr>
                <w:rFonts w:ascii="Calibri" w:hAnsi="Calibri"/>
                <w:color w:val="000000"/>
              </w:rPr>
            </w:pPr>
            <w:r>
              <w:rPr>
                <w:rFonts w:ascii="Calibri" w:hAnsi="Calibri"/>
                <w:color w:val="000000"/>
              </w:rPr>
              <w:t>2.91***</w:t>
            </w:r>
          </w:p>
        </w:tc>
        <w:tc>
          <w:tcPr>
            <w:tcW w:w="1163" w:type="dxa"/>
            <w:tcBorders>
              <w:top w:val="nil"/>
              <w:left w:val="nil"/>
              <w:bottom w:val="nil"/>
              <w:right w:val="nil"/>
            </w:tcBorders>
            <w:shd w:val="clear" w:color="auto" w:fill="auto"/>
            <w:noWrap/>
            <w:vAlign w:val="bottom"/>
            <w:hideMark/>
          </w:tcPr>
          <w:p w14:paraId="297E19DD" w14:textId="77777777" w:rsidR="004F461F" w:rsidRDefault="004F461F" w:rsidP="0006322D">
            <w:pPr>
              <w:spacing w:after="0" w:line="240" w:lineRule="auto"/>
              <w:jc w:val="right"/>
              <w:rPr>
                <w:rFonts w:ascii="Calibri" w:hAnsi="Calibri"/>
                <w:color w:val="000000"/>
              </w:rPr>
            </w:pPr>
            <w:r>
              <w:rPr>
                <w:rFonts w:ascii="Calibri" w:hAnsi="Calibri"/>
                <w:color w:val="000000"/>
              </w:rPr>
              <w:t>-2.02***</w:t>
            </w:r>
          </w:p>
        </w:tc>
        <w:tc>
          <w:tcPr>
            <w:tcW w:w="1320" w:type="dxa"/>
            <w:tcBorders>
              <w:top w:val="nil"/>
              <w:left w:val="nil"/>
              <w:bottom w:val="nil"/>
              <w:right w:val="nil"/>
            </w:tcBorders>
            <w:shd w:val="clear" w:color="auto" w:fill="auto"/>
            <w:noWrap/>
            <w:vAlign w:val="bottom"/>
            <w:hideMark/>
          </w:tcPr>
          <w:p w14:paraId="65B30DB9" w14:textId="77777777" w:rsidR="004F461F" w:rsidRDefault="004F461F" w:rsidP="0006322D">
            <w:pPr>
              <w:spacing w:after="0" w:line="240" w:lineRule="auto"/>
              <w:jc w:val="right"/>
              <w:rPr>
                <w:rFonts w:ascii="Calibri" w:hAnsi="Calibri"/>
                <w:color w:val="000000"/>
              </w:rPr>
            </w:pPr>
            <w:r>
              <w:rPr>
                <w:rFonts w:ascii="Calibri" w:hAnsi="Calibri"/>
                <w:color w:val="000000"/>
              </w:rPr>
              <w:t>-1.46***</w:t>
            </w:r>
          </w:p>
        </w:tc>
        <w:tc>
          <w:tcPr>
            <w:tcW w:w="1259" w:type="dxa"/>
            <w:tcBorders>
              <w:top w:val="nil"/>
              <w:left w:val="nil"/>
              <w:bottom w:val="nil"/>
              <w:right w:val="nil"/>
            </w:tcBorders>
            <w:shd w:val="clear" w:color="auto" w:fill="auto"/>
            <w:noWrap/>
            <w:vAlign w:val="bottom"/>
            <w:hideMark/>
          </w:tcPr>
          <w:p w14:paraId="21225544" w14:textId="77777777" w:rsidR="004F461F" w:rsidRDefault="004F461F" w:rsidP="0006322D">
            <w:pPr>
              <w:spacing w:after="0" w:line="240" w:lineRule="auto"/>
              <w:jc w:val="right"/>
              <w:rPr>
                <w:rFonts w:ascii="Calibri" w:hAnsi="Calibri"/>
                <w:color w:val="000000"/>
              </w:rPr>
            </w:pPr>
            <w:r>
              <w:rPr>
                <w:rFonts w:ascii="Calibri" w:hAnsi="Calibri"/>
                <w:color w:val="000000"/>
              </w:rPr>
              <w:t>-0.62***</w:t>
            </w:r>
          </w:p>
        </w:tc>
        <w:tc>
          <w:tcPr>
            <w:tcW w:w="1025" w:type="dxa"/>
            <w:tcBorders>
              <w:top w:val="nil"/>
              <w:left w:val="nil"/>
              <w:bottom w:val="nil"/>
              <w:right w:val="nil"/>
            </w:tcBorders>
            <w:shd w:val="clear" w:color="auto" w:fill="auto"/>
            <w:noWrap/>
            <w:vAlign w:val="bottom"/>
            <w:hideMark/>
          </w:tcPr>
          <w:p w14:paraId="3D2DCA20" w14:textId="77777777" w:rsidR="004F461F" w:rsidRDefault="004F461F" w:rsidP="0006322D">
            <w:pPr>
              <w:spacing w:after="0" w:line="240" w:lineRule="auto"/>
              <w:jc w:val="right"/>
              <w:rPr>
                <w:rFonts w:ascii="Calibri" w:hAnsi="Calibri"/>
                <w:color w:val="000000"/>
              </w:rPr>
            </w:pPr>
            <w:r>
              <w:rPr>
                <w:rFonts w:ascii="Calibri" w:hAnsi="Calibri"/>
                <w:color w:val="000000"/>
              </w:rPr>
              <w:t>-3.49***</w:t>
            </w:r>
          </w:p>
        </w:tc>
      </w:tr>
      <w:tr w:rsidR="004F461F" w:rsidRPr="00960D30" w14:paraId="00F60D69" w14:textId="77777777" w:rsidTr="0006322D">
        <w:trPr>
          <w:trHeight w:val="299"/>
        </w:trPr>
        <w:tc>
          <w:tcPr>
            <w:tcW w:w="2934" w:type="dxa"/>
            <w:tcBorders>
              <w:top w:val="nil"/>
              <w:left w:val="nil"/>
              <w:bottom w:val="nil"/>
              <w:right w:val="nil"/>
            </w:tcBorders>
            <w:shd w:val="clear" w:color="auto" w:fill="auto"/>
            <w:noWrap/>
            <w:vAlign w:val="bottom"/>
            <w:hideMark/>
          </w:tcPr>
          <w:p w14:paraId="1AD0A0C7"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Full-time (Over 35</w:t>
            </w:r>
            <w:r>
              <w:rPr>
                <w:rFonts w:ascii="Calibri" w:eastAsia="Times New Roman" w:hAnsi="Calibri" w:cs="Times New Roman"/>
                <w:color w:val="000000"/>
              </w:rPr>
              <w:t xml:space="preserve"> hrs</w:t>
            </w:r>
            <w:r w:rsidRPr="00960D30">
              <w:rPr>
                <w:rFonts w:ascii="Calibri" w:eastAsia="Times New Roman" w:hAnsi="Calibri" w:cs="Times New Roman"/>
                <w:color w:val="000000"/>
              </w:rPr>
              <w:t>)</w:t>
            </w:r>
          </w:p>
        </w:tc>
        <w:tc>
          <w:tcPr>
            <w:tcW w:w="1240" w:type="dxa"/>
            <w:tcBorders>
              <w:top w:val="nil"/>
              <w:left w:val="nil"/>
              <w:bottom w:val="nil"/>
              <w:right w:val="nil"/>
            </w:tcBorders>
            <w:shd w:val="clear" w:color="auto" w:fill="auto"/>
            <w:noWrap/>
            <w:vAlign w:val="bottom"/>
            <w:hideMark/>
          </w:tcPr>
          <w:p w14:paraId="50B4B2E1" w14:textId="77777777" w:rsidR="004F461F" w:rsidRDefault="004F461F" w:rsidP="0006322D">
            <w:pPr>
              <w:spacing w:after="0" w:line="240" w:lineRule="auto"/>
              <w:jc w:val="right"/>
              <w:rPr>
                <w:rFonts w:ascii="Calibri" w:hAnsi="Calibri"/>
                <w:color w:val="000000"/>
              </w:rPr>
            </w:pPr>
            <w:r>
              <w:rPr>
                <w:rFonts w:ascii="Calibri" w:hAnsi="Calibri"/>
                <w:color w:val="000000"/>
              </w:rPr>
              <w:t>1.68***</w:t>
            </w:r>
          </w:p>
        </w:tc>
        <w:tc>
          <w:tcPr>
            <w:tcW w:w="1047" w:type="dxa"/>
            <w:tcBorders>
              <w:top w:val="nil"/>
              <w:left w:val="nil"/>
              <w:bottom w:val="nil"/>
              <w:right w:val="nil"/>
            </w:tcBorders>
            <w:shd w:val="clear" w:color="auto" w:fill="auto"/>
            <w:noWrap/>
            <w:vAlign w:val="bottom"/>
            <w:hideMark/>
          </w:tcPr>
          <w:p w14:paraId="3F3F519B" w14:textId="77777777" w:rsidR="004F461F" w:rsidRDefault="004F461F" w:rsidP="0006322D">
            <w:pPr>
              <w:spacing w:after="0" w:line="240" w:lineRule="auto"/>
              <w:jc w:val="right"/>
              <w:rPr>
                <w:rFonts w:ascii="Calibri" w:hAnsi="Calibri"/>
                <w:color w:val="000000"/>
              </w:rPr>
            </w:pPr>
            <w:r>
              <w:rPr>
                <w:rFonts w:ascii="Calibri" w:hAnsi="Calibri"/>
                <w:color w:val="000000"/>
              </w:rPr>
              <w:t>1.17***</w:t>
            </w:r>
          </w:p>
        </w:tc>
        <w:tc>
          <w:tcPr>
            <w:tcW w:w="1163" w:type="dxa"/>
            <w:tcBorders>
              <w:top w:val="nil"/>
              <w:left w:val="nil"/>
              <w:bottom w:val="nil"/>
              <w:right w:val="nil"/>
            </w:tcBorders>
            <w:shd w:val="clear" w:color="auto" w:fill="auto"/>
            <w:noWrap/>
            <w:vAlign w:val="bottom"/>
            <w:hideMark/>
          </w:tcPr>
          <w:p w14:paraId="7B2A886A" w14:textId="77777777" w:rsidR="004F461F" w:rsidRDefault="004F461F" w:rsidP="0006322D">
            <w:pPr>
              <w:spacing w:after="0" w:line="240" w:lineRule="auto"/>
              <w:jc w:val="right"/>
              <w:rPr>
                <w:rFonts w:ascii="Calibri" w:hAnsi="Calibri"/>
                <w:color w:val="000000"/>
              </w:rPr>
            </w:pPr>
            <w:r>
              <w:rPr>
                <w:rFonts w:ascii="Calibri" w:hAnsi="Calibri"/>
                <w:color w:val="000000"/>
              </w:rPr>
              <w:t>-0.54***</w:t>
            </w:r>
          </w:p>
        </w:tc>
        <w:tc>
          <w:tcPr>
            <w:tcW w:w="1320" w:type="dxa"/>
            <w:tcBorders>
              <w:top w:val="nil"/>
              <w:left w:val="nil"/>
              <w:bottom w:val="nil"/>
              <w:right w:val="nil"/>
            </w:tcBorders>
            <w:shd w:val="clear" w:color="auto" w:fill="auto"/>
            <w:noWrap/>
            <w:vAlign w:val="bottom"/>
            <w:hideMark/>
          </w:tcPr>
          <w:p w14:paraId="29C033EF" w14:textId="77777777" w:rsidR="004F461F" w:rsidRDefault="004F461F" w:rsidP="0006322D">
            <w:pPr>
              <w:spacing w:after="0" w:line="240" w:lineRule="auto"/>
              <w:jc w:val="right"/>
              <w:rPr>
                <w:rFonts w:ascii="Calibri" w:hAnsi="Calibri"/>
                <w:color w:val="000000"/>
              </w:rPr>
            </w:pPr>
            <w:r>
              <w:rPr>
                <w:rFonts w:ascii="Calibri" w:hAnsi="Calibri"/>
                <w:color w:val="000000"/>
              </w:rPr>
              <w:t>-0.24*</w:t>
            </w:r>
          </w:p>
        </w:tc>
        <w:tc>
          <w:tcPr>
            <w:tcW w:w="1259" w:type="dxa"/>
            <w:tcBorders>
              <w:top w:val="nil"/>
              <w:left w:val="nil"/>
              <w:bottom w:val="nil"/>
              <w:right w:val="nil"/>
            </w:tcBorders>
            <w:shd w:val="clear" w:color="auto" w:fill="auto"/>
            <w:noWrap/>
            <w:vAlign w:val="bottom"/>
            <w:hideMark/>
          </w:tcPr>
          <w:p w14:paraId="4D95212E" w14:textId="77777777" w:rsidR="004F461F" w:rsidRDefault="004F461F" w:rsidP="0006322D">
            <w:pPr>
              <w:spacing w:after="0" w:line="240" w:lineRule="auto"/>
              <w:jc w:val="right"/>
              <w:rPr>
                <w:rFonts w:ascii="Calibri" w:hAnsi="Calibri"/>
                <w:color w:val="000000"/>
              </w:rPr>
            </w:pPr>
            <w:r>
              <w:rPr>
                <w:rFonts w:ascii="Calibri" w:hAnsi="Calibri"/>
                <w:color w:val="000000"/>
              </w:rPr>
              <w:t>-0.24*</w:t>
            </w:r>
          </w:p>
        </w:tc>
        <w:tc>
          <w:tcPr>
            <w:tcW w:w="1025" w:type="dxa"/>
            <w:tcBorders>
              <w:top w:val="nil"/>
              <w:left w:val="nil"/>
              <w:bottom w:val="nil"/>
              <w:right w:val="nil"/>
            </w:tcBorders>
            <w:shd w:val="clear" w:color="auto" w:fill="auto"/>
            <w:noWrap/>
            <w:vAlign w:val="bottom"/>
            <w:hideMark/>
          </w:tcPr>
          <w:p w14:paraId="6D26B4E1" w14:textId="77777777" w:rsidR="004F461F" w:rsidRDefault="004F461F" w:rsidP="0006322D">
            <w:pPr>
              <w:spacing w:after="0" w:line="240" w:lineRule="auto"/>
              <w:jc w:val="right"/>
              <w:rPr>
                <w:rFonts w:ascii="Calibri" w:hAnsi="Calibri"/>
                <w:color w:val="000000"/>
              </w:rPr>
            </w:pPr>
            <w:r>
              <w:rPr>
                <w:rFonts w:ascii="Calibri" w:hAnsi="Calibri"/>
                <w:color w:val="000000"/>
              </w:rPr>
              <w:t>-0.25</w:t>
            </w:r>
          </w:p>
        </w:tc>
      </w:tr>
      <w:tr w:rsidR="004F461F" w:rsidRPr="00960D30" w14:paraId="66A2E09E" w14:textId="77777777" w:rsidTr="0006322D">
        <w:trPr>
          <w:trHeight w:val="299"/>
        </w:trPr>
        <w:tc>
          <w:tcPr>
            <w:tcW w:w="2934" w:type="dxa"/>
            <w:tcBorders>
              <w:top w:val="nil"/>
              <w:left w:val="nil"/>
              <w:bottom w:val="nil"/>
              <w:right w:val="nil"/>
            </w:tcBorders>
            <w:shd w:val="clear" w:color="auto" w:fill="auto"/>
            <w:noWrap/>
            <w:vAlign w:val="bottom"/>
            <w:hideMark/>
          </w:tcPr>
          <w:p w14:paraId="7A6D1762"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Region (versus North)</w:t>
            </w:r>
          </w:p>
        </w:tc>
        <w:tc>
          <w:tcPr>
            <w:tcW w:w="1240" w:type="dxa"/>
            <w:tcBorders>
              <w:top w:val="nil"/>
              <w:left w:val="nil"/>
              <w:bottom w:val="nil"/>
              <w:right w:val="nil"/>
            </w:tcBorders>
            <w:shd w:val="clear" w:color="auto" w:fill="auto"/>
            <w:noWrap/>
            <w:vAlign w:val="bottom"/>
            <w:hideMark/>
          </w:tcPr>
          <w:p w14:paraId="46270B2E" w14:textId="77777777" w:rsidR="004F461F" w:rsidRPr="00960D30" w:rsidRDefault="004F461F" w:rsidP="0006322D">
            <w:pPr>
              <w:spacing w:after="0" w:line="240" w:lineRule="auto"/>
              <w:rPr>
                <w:rFonts w:ascii="Calibri" w:eastAsia="Times New Roman" w:hAnsi="Calibri" w:cs="Times New Roman"/>
                <w:color w:val="000000"/>
              </w:rPr>
            </w:pPr>
          </w:p>
        </w:tc>
        <w:tc>
          <w:tcPr>
            <w:tcW w:w="1047" w:type="dxa"/>
            <w:tcBorders>
              <w:top w:val="nil"/>
              <w:left w:val="nil"/>
              <w:bottom w:val="nil"/>
              <w:right w:val="nil"/>
            </w:tcBorders>
            <w:shd w:val="clear" w:color="auto" w:fill="auto"/>
            <w:noWrap/>
            <w:vAlign w:val="bottom"/>
            <w:hideMark/>
          </w:tcPr>
          <w:p w14:paraId="62E4BD66"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14:paraId="7C42DC26"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C04A5CD"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259" w:type="dxa"/>
            <w:tcBorders>
              <w:top w:val="nil"/>
              <w:left w:val="nil"/>
              <w:bottom w:val="nil"/>
              <w:right w:val="nil"/>
            </w:tcBorders>
            <w:shd w:val="clear" w:color="auto" w:fill="auto"/>
            <w:noWrap/>
            <w:vAlign w:val="bottom"/>
            <w:hideMark/>
          </w:tcPr>
          <w:p w14:paraId="49597706"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c>
          <w:tcPr>
            <w:tcW w:w="1025" w:type="dxa"/>
            <w:tcBorders>
              <w:top w:val="nil"/>
              <w:left w:val="nil"/>
              <w:bottom w:val="nil"/>
              <w:right w:val="nil"/>
            </w:tcBorders>
            <w:shd w:val="clear" w:color="auto" w:fill="auto"/>
            <w:noWrap/>
            <w:vAlign w:val="bottom"/>
            <w:hideMark/>
          </w:tcPr>
          <w:p w14:paraId="0837FAF3" w14:textId="77777777" w:rsidR="004F461F" w:rsidRPr="00960D30" w:rsidRDefault="004F461F" w:rsidP="0006322D">
            <w:pPr>
              <w:spacing w:after="0" w:line="240" w:lineRule="auto"/>
              <w:jc w:val="right"/>
              <w:rPr>
                <w:rFonts w:ascii="Times New Roman" w:eastAsia="Times New Roman" w:hAnsi="Times New Roman" w:cs="Times New Roman"/>
                <w:sz w:val="20"/>
                <w:szCs w:val="20"/>
              </w:rPr>
            </w:pPr>
          </w:p>
        </w:tc>
      </w:tr>
      <w:tr w:rsidR="004F461F" w:rsidRPr="00960D30" w14:paraId="749A11A4" w14:textId="77777777" w:rsidTr="0006322D">
        <w:trPr>
          <w:trHeight w:val="299"/>
        </w:trPr>
        <w:tc>
          <w:tcPr>
            <w:tcW w:w="2934" w:type="dxa"/>
            <w:tcBorders>
              <w:top w:val="nil"/>
              <w:left w:val="nil"/>
              <w:bottom w:val="nil"/>
              <w:right w:val="nil"/>
            </w:tcBorders>
            <w:shd w:val="clear" w:color="auto" w:fill="auto"/>
            <w:noWrap/>
            <w:vAlign w:val="bottom"/>
            <w:hideMark/>
          </w:tcPr>
          <w:p w14:paraId="118FEAE9"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Midwest</w:t>
            </w:r>
          </w:p>
        </w:tc>
        <w:tc>
          <w:tcPr>
            <w:tcW w:w="1240" w:type="dxa"/>
            <w:tcBorders>
              <w:top w:val="nil"/>
              <w:left w:val="nil"/>
              <w:bottom w:val="nil"/>
              <w:right w:val="nil"/>
            </w:tcBorders>
            <w:shd w:val="clear" w:color="auto" w:fill="auto"/>
            <w:noWrap/>
            <w:vAlign w:val="bottom"/>
            <w:hideMark/>
          </w:tcPr>
          <w:p w14:paraId="5933BA7E" w14:textId="77777777" w:rsidR="004F461F" w:rsidRDefault="004F461F" w:rsidP="0006322D">
            <w:pPr>
              <w:spacing w:after="0" w:line="240" w:lineRule="auto"/>
              <w:jc w:val="right"/>
              <w:rPr>
                <w:rFonts w:ascii="Calibri" w:hAnsi="Calibri"/>
                <w:color w:val="000000"/>
              </w:rPr>
            </w:pPr>
            <w:r>
              <w:rPr>
                <w:rFonts w:ascii="Calibri" w:hAnsi="Calibri"/>
                <w:color w:val="000000"/>
              </w:rPr>
              <w:t>0.09</w:t>
            </w:r>
          </w:p>
        </w:tc>
        <w:tc>
          <w:tcPr>
            <w:tcW w:w="1047" w:type="dxa"/>
            <w:tcBorders>
              <w:top w:val="nil"/>
              <w:left w:val="nil"/>
              <w:bottom w:val="nil"/>
              <w:right w:val="nil"/>
            </w:tcBorders>
            <w:shd w:val="clear" w:color="auto" w:fill="auto"/>
            <w:noWrap/>
            <w:vAlign w:val="bottom"/>
            <w:hideMark/>
          </w:tcPr>
          <w:p w14:paraId="3086696A" w14:textId="77777777" w:rsidR="004F461F" w:rsidRDefault="004F461F" w:rsidP="0006322D">
            <w:pPr>
              <w:spacing w:after="0" w:line="240" w:lineRule="auto"/>
              <w:jc w:val="right"/>
              <w:rPr>
                <w:rFonts w:ascii="Calibri" w:hAnsi="Calibri"/>
                <w:color w:val="000000"/>
              </w:rPr>
            </w:pPr>
            <w:r>
              <w:rPr>
                <w:rFonts w:ascii="Calibri" w:hAnsi="Calibri"/>
                <w:color w:val="000000"/>
              </w:rPr>
              <w:t>0.09</w:t>
            </w:r>
          </w:p>
        </w:tc>
        <w:tc>
          <w:tcPr>
            <w:tcW w:w="1163" w:type="dxa"/>
            <w:tcBorders>
              <w:top w:val="nil"/>
              <w:left w:val="nil"/>
              <w:bottom w:val="nil"/>
              <w:right w:val="nil"/>
            </w:tcBorders>
            <w:shd w:val="clear" w:color="auto" w:fill="auto"/>
            <w:noWrap/>
            <w:vAlign w:val="bottom"/>
            <w:hideMark/>
          </w:tcPr>
          <w:p w14:paraId="2F86C1BA" w14:textId="77777777" w:rsidR="004F461F" w:rsidRDefault="004F461F" w:rsidP="0006322D">
            <w:pPr>
              <w:spacing w:after="0" w:line="240" w:lineRule="auto"/>
              <w:jc w:val="right"/>
              <w:rPr>
                <w:rFonts w:ascii="Calibri" w:hAnsi="Calibri"/>
                <w:color w:val="000000"/>
              </w:rPr>
            </w:pPr>
            <w:r>
              <w:rPr>
                <w:rFonts w:ascii="Calibri" w:hAnsi="Calibri"/>
                <w:color w:val="000000"/>
              </w:rPr>
              <w:t>0.05</w:t>
            </w:r>
          </w:p>
        </w:tc>
        <w:tc>
          <w:tcPr>
            <w:tcW w:w="1320" w:type="dxa"/>
            <w:tcBorders>
              <w:top w:val="nil"/>
              <w:left w:val="nil"/>
              <w:bottom w:val="nil"/>
              <w:right w:val="nil"/>
            </w:tcBorders>
            <w:shd w:val="clear" w:color="auto" w:fill="auto"/>
            <w:noWrap/>
            <w:vAlign w:val="bottom"/>
            <w:hideMark/>
          </w:tcPr>
          <w:p w14:paraId="5FC2DB94" w14:textId="77777777" w:rsidR="004F461F" w:rsidRDefault="004F461F" w:rsidP="0006322D">
            <w:pPr>
              <w:spacing w:after="0" w:line="240" w:lineRule="auto"/>
              <w:jc w:val="right"/>
              <w:rPr>
                <w:rFonts w:ascii="Calibri" w:hAnsi="Calibri"/>
                <w:color w:val="000000"/>
              </w:rPr>
            </w:pPr>
            <w:r>
              <w:rPr>
                <w:rFonts w:ascii="Calibri" w:hAnsi="Calibri"/>
                <w:color w:val="000000"/>
              </w:rPr>
              <w:t>0.03</w:t>
            </w:r>
          </w:p>
        </w:tc>
        <w:tc>
          <w:tcPr>
            <w:tcW w:w="1259" w:type="dxa"/>
            <w:tcBorders>
              <w:top w:val="nil"/>
              <w:left w:val="nil"/>
              <w:bottom w:val="nil"/>
              <w:right w:val="nil"/>
            </w:tcBorders>
            <w:shd w:val="clear" w:color="auto" w:fill="auto"/>
            <w:noWrap/>
            <w:vAlign w:val="bottom"/>
            <w:hideMark/>
          </w:tcPr>
          <w:p w14:paraId="516EA2E4" w14:textId="77777777" w:rsidR="004F461F" w:rsidRDefault="004F461F" w:rsidP="0006322D">
            <w:pPr>
              <w:spacing w:after="0" w:line="240" w:lineRule="auto"/>
              <w:jc w:val="right"/>
              <w:rPr>
                <w:rFonts w:ascii="Calibri" w:hAnsi="Calibri"/>
                <w:color w:val="000000"/>
              </w:rPr>
            </w:pPr>
            <w:r>
              <w:rPr>
                <w:rFonts w:ascii="Calibri" w:hAnsi="Calibri"/>
                <w:color w:val="000000"/>
              </w:rPr>
              <w:t>0.03</w:t>
            </w:r>
          </w:p>
        </w:tc>
        <w:tc>
          <w:tcPr>
            <w:tcW w:w="1025" w:type="dxa"/>
            <w:tcBorders>
              <w:top w:val="nil"/>
              <w:left w:val="nil"/>
              <w:bottom w:val="nil"/>
              <w:right w:val="nil"/>
            </w:tcBorders>
            <w:shd w:val="clear" w:color="auto" w:fill="auto"/>
            <w:noWrap/>
            <w:vAlign w:val="bottom"/>
            <w:hideMark/>
          </w:tcPr>
          <w:p w14:paraId="1C6BF4C6"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0.37*  </w:t>
            </w:r>
          </w:p>
        </w:tc>
      </w:tr>
      <w:tr w:rsidR="004F461F" w:rsidRPr="00960D30" w14:paraId="066564AC" w14:textId="77777777" w:rsidTr="0006322D">
        <w:trPr>
          <w:trHeight w:val="299"/>
        </w:trPr>
        <w:tc>
          <w:tcPr>
            <w:tcW w:w="2934" w:type="dxa"/>
            <w:tcBorders>
              <w:top w:val="nil"/>
              <w:left w:val="nil"/>
              <w:right w:val="nil"/>
            </w:tcBorders>
            <w:shd w:val="clear" w:color="auto" w:fill="auto"/>
            <w:noWrap/>
            <w:vAlign w:val="bottom"/>
            <w:hideMark/>
          </w:tcPr>
          <w:p w14:paraId="55A3A5E1"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South</w:t>
            </w:r>
          </w:p>
        </w:tc>
        <w:tc>
          <w:tcPr>
            <w:tcW w:w="1240" w:type="dxa"/>
            <w:tcBorders>
              <w:top w:val="nil"/>
              <w:left w:val="nil"/>
              <w:bottom w:val="nil"/>
              <w:right w:val="nil"/>
            </w:tcBorders>
            <w:shd w:val="clear" w:color="auto" w:fill="auto"/>
            <w:noWrap/>
            <w:vAlign w:val="bottom"/>
            <w:hideMark/>
          </w:tcPr>
          <w:p w14:paraId="021F98C3" w14:textId="77777777" w:rsidR="004F461F" w:rsidRDefault="004F461F" w:rsidP="0006322D">
            <w:pPr>
              <w:spacing w:after="0" w:line="240" w:lineRule="auto"/>
              <w:jc w:val="right"/>
              <w:rPr>
                <w:rFonts w:ascii="Calibri" w:hAnsi="Calibri"/>
                <w:color w:val="000000"/>
              </w:rPr>
            </w:pPr>
            <w:r>
              <w:rPr>
                <w:rFonts w:ascii="Calibri" w:hAnsi="Calibri"/>
                <w:color w:val="000000"/>
              </w:rPr>
              <w:t>-0.16*</w:t>
            </w:r>
          </w:p>
        </w:tc>
        <w:tc>
          <w:tcPr>
            <w:tcW w:w="1047" w:type="dxa"/>
            <w:tcBorders>
              <w:top w:val="nil"/>
              <w:left w:val="nil"/>
              <w:bottom w:val="nil"/>
              <w:right w:val="nil"/>
            </w:tcBorders>
            <w:shd w:val="clear" w:color="auto" w:fill="auto"/>
            <w:noWrap/>
            <w:vAlign w:val="bottom"/>
            <w:hideMark/>
          </w:tcPr>
          <w:p w14:paraId="11341329" w14:textId="77777777" w:rsidR="004F461F" w:rsidRDefault="004F461F" w:rsidP="0006322D">
            <w:pPr>
              <w:spacing w:after="0" w:line="240" w:lineRule="auto"/>
              <w:jc w:val="right"/>
              <w:rPr>
                <w:rFonts w:ascii="Calibri" w:hAnsi="Calibri"/>
                <w:color w:val="000000"/>
              </w:rPr>
            </w:pPr>
            <w:r>
              <w:rPr>
                <w:rFonts w:ascii="Calibri" w:hAnsi="Calibri"/>
                <w:color w:val="000000"/>
              </w:rPr>
              <w:t>-0.24***</w:t>
            </w:r>
          </w:p>
        </w:tc>
        <w:tc>
          <w:tcPr>
            <w:tcW w:w="1163" w:type="dxa"/>
            <w:tcBorders>
              <w:top w:val="nil"/>
              <w:left w:val="nil"/>
              <w:bottom w:val="nil"/>
              <w:right w:val="nil"/>
            </w:tcBorders>
            <w:shd w:val="clear" w:color="auto" w:fill="auto"/>
            <w:noWrap/>
            <w:vAlign w:val="bottom"/>
            <w:hideMark/>
          </w:tcPr>
          <w:p w14:paraId="15CFC6B8" w14:textId="77777777" w:rsidR="004F461F" w:rsidRDefault="004F461F" w:rsidP="0006322D">
            <w:pPr>
              <w:spacing w:after="0" w:line="240" w:lineRule="auto"/>
              <w:jc w:val="right"/>
              <w:rPr>
                <w:rFonts w:ascii="Calibri" w:hAnsi="Calibri"/>
                <w:color w:val="000000"/>
              </w:rPr>
            </w:pPr>
            <w:r>
              <w:rPr>
                <w:rFonts w:ascii="Calibri" w:hAnsi="Calibri"/>
                <w:color w:val="000000"/>
              </w:rPr>
              <w:t>0.66***</w:t>
            </w:r>
          </w:p>
        </w:tc>
        <w:tc>
          <w:tcPr>
            <w:tcW w:w="1320" w:type="dxa"/>
            <w:tcBorders>
              <w:top w:val="nil"/>
              <w:left w:val="nil"/>
              <w:bottom w:val="nil"/>
              <w:right w:val="nil"/>
            </w:tcBorders>
            <w:shd w:val="clear" w:color="auto" w:fill="auto"/>
            <w:noWrap/>
            <w:vAlign w:val="bottom"/>
            <w:hideMark/>
          </w:tcPr>
          <w:p w14:paraId="5F073B83" w14:textId="77777777" w:rsidR="004F461F" w:rsidRDefault="004F461F" w:rsidP="0006322D">
            <w:pPr>
              <w:spacing w:after="0" w:line="240" w:lineRule="auto"/>
              <w:jc w:val="right"/>
              <w:rPr>
                <w:rFonts w:ascii="Calibri" w:hAnsi="Calibri"/>
                <w:color w:val="000000"/>
              </w:rPr>
            </w:pPr>
            <w:r>
              <w:rPr>
                <w:rFonts w:ascii="Calibri" w:hAnsi="Calibri"/>
                <w:color w:val="000000"/>
              </w:rPr>
              <w:t>0.26*</w:t>
            </w:r>
          </w:p>
        </w:tc>
        <w:tc>
          <w:tcPr>
            <w:tcW w:w="1259" w:type="dxa"/>
            <w:tcBorders>
              <w:top w:val="nil"/>
              <w:left w:val="nil"/>
              <w:bottom w:val="nil"/>
              <w:right w:val="nil"/>
            </w:tcBorders>
            <w:shd w:val="clear" w:color="auto" w:fill="auto"/>
            <w:noWrap/>
            <w:vAlign w:val="bottom"/>
            <w:hideMark/>
          </w:tcPr>
          <w:p w14:paraId="3382F30C" w14:textId="77777777" w:rsidR="004F461F" w:rsidRDefault="004F461F" w:rsidP="0006322D">
            <w:pPr>
              <w:spacing w:after="0" w:line="240" w:lineRule="auto"/>
              <w:jc w:val="right"/>
              <w:rPr>
                <w:rFonts w:ascii="Calibri" w:hAnsi="Calibri"/>
                <w:color w:val="000000"/>
              </w:rPr>
            </w:pPr>
            <w:r>
              <w:rPr>
                <w:rFonts w:ascii="Calibri" w:hAnsi="Calibri"/>
                <w:color w:val="000000"/>
              </w:rPr>
              <w:t>0.09</w:t>
            </w:r>
          </w:p>
        </w:tc>
        <w:tc>
          <w:tcPr>
            <w:tcW w:w="1025" w:type="dxa"/>
            <w:tcBorders>
              <w:top w:val="nil"/>
              <w:left w:val="nil"/>
              <w:bottom w:val="nil"/>
              <w:right w:val="nil"/>
            </w:tcBorders>
            <w:shd w:val="clear" w:color="auto" w:fill="auto"/>
            <w:noWrap/>
            <w:vAlign w:val="bottom"/>
            <w:hideMark/>
          </w:tcPr>
          <w:p w14:paraId="41B2E0C3"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0.48** </w:t>
            </w:r>
          </w:p>
        </w:tc>
      </w:tr>
      <w:tr w:rsidR="004F461F" w:rsidRPr="00960D30" w14:paraId="48A1FDE1" w14:textId="77777777" w:rsidTr="0006322D">
        <w:trPr>
          <w:trHeight w:val="299"/>
        </w:trPr>
        <w:tc>
          <w:tcPr>
            <w:tcW w:w="2934" w:type="dxa"/>
            <w:tcBorders>
              <w:top w:val="nil"/>
              <w:left w:val="nil"/>
              <w:right w:val="nil"/>
            </w:tcBorders>
            <w:shd w:val="clear" w:color="auto" w:fill="auto"/>
            <w:noWrap/>
            <w:vAlign w:val="bottom"/>
            <w:hideMark/>
          </w:tcPr>
          <w:p w14:paraId="7AD3C710" w14:textId="77777777" w:rsidR="004F461F" w:rsidRPr="00960D30" w:rsidRDefault="004F461F" w:rsidP="0006322D">
            <w:pPr>
              <w:spacing w:after="0" w:line="240" w:lineRule="auto"/>
              <w:ind w:firstLineChars="100" w:firstLine="220"/>
              <w:rPr>
                <w:rFonts w:ascii="Calibri" w:eastAsia="Times New Roman" w:hAnsi="Calibri" w:cs="Times New Roman"/>
                <w:color w:val="000000"/>
              </w:rPr>
            </w:pPr>
            <w:r w:rsidRPr="00960D30">
              <w:rPr>
                <w:rFonts w:ascii="Calibri" w:eastAsia="Times New Roman" w:hAnsi="Calibri" w:cs="Times New Roman"/>
                <w:color w:val="000000"/>
              </w:rPr>
              <w:t>West</w:t>
            </w:r>
          </w:p>
        </w:tc>
        <w:tc>
          <w:tcPr>
            <w:tcW w:w="1240" w:type="dxa"/>
            <w:tcBorders>
              <w:top w:val="nil"/>
              <w:left w:val="nil"/>
              <w:bottom w:val="nil"/>
              <w:right w:val="nil"/>
            </w:tcBorders>
            <w:shd w:val="clear" w:color="auto" w:fill="auto"/>
            <w:noWrap/>
            <w:vAlign w:val="bottom"/>
            <w:hideMark/>
          </w:tcPr>
          <w:p w14:paraId="2988B3F0" w14:textId="77777777" w:rsidR="004F461F" w:rsidRDefault="004F461F" w:rsidP="0006322D">
            <w:pPr>
              <w:spacing w:after="0" w:line="240" w:lineRule="auto"/>
              <w:jc w:val="right"/>
              <w:rPr>
                <w:rFonts w:ascii="Calibri" w:hAnsi="Calibri"/>
                <w:color w:val="000000"/>
              </w:rPr>
            </w:pPr>
            <w:r>
              <w:rPr>
                <w:rFonts w:ascii="Calibri" w:hAnsi="Calibri"/>
                <w:color w:val="000000"/>
              </w:rPr>
              <w:t>-0.07</w:t>
            </w:r>
          </w:p>
        </w:tc>
        <w:tc>
          <w:tcPr>
            <w:tcW w:w="1047" w:type="dxa"/>
            <w:tcBorders>
              <w:top w:val="nil"/>
              <w:left w:val="nil"/>
              <w:bottom w:val="nil"/>
              <w:right w:val="nil"/>
            </w:tcBorders>
            <w:shd w:val="clear" w:color="auto" w:fill="auto"/>
            <w:noWrap/>
            <w:vAlign w:val="bottom"/>
            <w:hideMark/>
          </w:tcPr>
          <w:p w14:paraId="7C6BD33A" w14:textId="77777777" w:rsidR="004F461F" w:rsidRDefault="004F461F" w:rsidP="0006322D">
            <w:pPr>
              <w:spacing w:after="0" w:line="240" w:lineRule="auto"/>
              <w:jc w:val="right"/>
              <w:rPr>
                <w:rFonts w:ascii="Calibri" w:hAnsi="Calibri"/>
                <w:color w:val="000000"/>
              </w:rPr>
            </w:pPr>
            <w:r>
              <w:rPr>
                <w:rFonts w:ascii="Calibri" w:hAnsi="Calibri"/>
                <w:color w:val="000000"/>
              </w:rPr>
              <w:t>-0.11</w:t>
            </w:r>
          </w:p>
        </w:tc>
        <w:tc>
          <w:tcPr>
            <w:tcW w:w="1163" w:type="dxa"/>
            <w:tcBorders>
              <w:top w:val="nil"/>
              <w:left w:val="nil"/>
              <w:bottom w:val="nil"/>
              <w:right w:val="nil"/>
            </w:tcBorders>
            <w:shd w:val="clear" w:color="auto" w:fill="auto"/>
            <w:noWrap/>
            <w:vAlign w:val="bottom"/>
            <w:hideMark/>
          </w:tcPr>
          <w:p w14:paraId="4F935E7E" w14:textId="77777777" w:rsidR="004F461F" w:rsidRDefault="004F461F" w:rsidP="0006322D">
            <w:pPr>
              <w:spacing w:after="0" w:line="240" w:lineRule="auto"/>
              <w:jc w:val="right"/>
              <w:rPr>
                <w:rFonts w:ascii="Calibri" w:hAnsi="Calibri"/>
                <w:color w:val="000000"/>
              </w:rPr>
            </w:pPr>
            <w:r>
              <w:rPr>
                <w:rFonts w:ascii="Calibri" w:hAnsi="Calibri"/>
                <w:color w:val="000000"/>
              </w:rPr>
              <w:t>0.24**</w:t>
            </w:r>
          </w:p>
        </w:tc>
        <w:tc>
          <w:tcPr>
            <w:tcW w:w="1320" w:type="dxa"/>
            <w:tcBorders>
              <w:top w:val="nil"/>
              <w:left w:val="nil"/>
              <w:bottom w:val="nil"/>
              <w:right w:val="nil"/>
            </w:tcBorders>
            <w:shd w:val="clear" w:color="auto" w:fill="auto"/>
            <w:noWrap/>
            <w:vAlign w:val="bottom"/>
            <w:hideMark/>
          </w:tcPr>
          <w:p w14:paraId="639CDC84" w14:textId="77777777" w:rsidR="004F461F" w:rsidRDefault="004F461F" w:rsidP="0006322D">
            <w:pPr>
              <w:spacing w:after="0" w:line="240" w:lineRule="auto"/>
              <w:jc w:val="right"/>
              <w:rPr>
                <w:rFonts w:ascii="Calibri" w:hAnsi="Calibri"/>
                <w:color w:val="000000"/>
              </w:rPr>
            </w:pPr>
            <w:r>
              <w:rPr>
                <w:rFonts w:ascii="Calibri" w:hAnsi="Calibri"/>
                <w:color w:val="000000"/>
              </w:rPr>
              <w:t>0.15</w:t>
            </w:r>
          </w:p>
        </w:tc>
        <w:tc>
          <w:tcPr>
            <w:tcW w:w="1259" w:type="dxa"/>
            <w:tcBorders>
              <w:top w:val="nil"/>
              <w:left w:val="nil"/>
              <w:bottom w:val="nil"/>
              <w:right w:val="nil"/>
            </w:tcBorders>
            <w:shd w:val="clear" w:color="auto" w:fill="auto"/>
            <w:noWrap/>
            <w:vAlign w:val="bottom"/>
            <w:hideMark/>
          </w:tcPr>
          <w:p w14:paraId="13C49E81" w14:textId="77777777" w:rsidR="004F461F" w:rsidRDefault="004F461F" w:rsidP="0006322D">
            <w:pPr>
              <w:spacing w:after="0" w:line="240" w:lineRule="auto"/>
              <w:jc w:val="right"/>
              <w:rPr>
                <w:rFonts w:ascii="Calibri" w:hAnsi="Calibri"/>
                <w:color w:val="000000"/>
              </w:rPr>
            </w:pPr>
            <w:r>
              <w:rPr>
                <w:rFonts w:ascii="Calibri" w:hAnsi="Calibri"/>
                <w:color w:val="000000"/>
              </w:rPr>
              <w:t>0.05</w:t>
            </w:r>
          </w:p>
        </w:tc>
        <w:tc>
          <w:tcPr>
            <w:tcW w:w="1025" w:type="dxa"/>
            <w:tcBorders>
              <w:top w:val="nil"/>
              <w:left w:val="nil"/>
              <w:bottom w:val="nil"/>
              <w:right w:val="nil"/>
            </w:tcBorders>
            <w:shd w:val="clear" w:color="auto" w:fill="auto"/>
            <w:noWrap/>
            <w:vAlign w:val="bottom"/>
            <w:hideMark/>
          </w:tcPr>
          <w:p w14:paraId="79017993"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0.56** </w:t>
            </w:r>
          </w:p>
        </w:tc>
      </w:tr>
      <w:tr w:rsidR="004F461F" w:rsidRPr="00960D30" w14:paraId="6C64F63A" w14:textId="77777777" w:rsidTr="0006322D">
        <w:trPr>
          <w:trHeight w:val="299"/>
        </w:trPr>
        <w:tc>
          <w:tcPr>
            <w:tcW w:w="2934" w:type="dxa"/>
            <w:tcBorders>
              <w:left w:val="nil"/>
              <w:bottom w:val="single" w:sz="8" w:space="0" w:color="auto"/>
              <w:right w:val="nil"/>
            </w:tcBorders>
            <w:shd w:val="clear" w:color="auto" w:fill="auto"/>
            <w:noWrap/>
            <w:vAlign w:val="bottom"/>
          </w:tcPr>
          <w:p w14:paraId="099575C9" w14:textId="77777777" w:rsidR="004F461F" w:rsidRPr="00960D30" w:rsidRDefault="004F461F" w:rsidP="0006322D">
            <w:pPr>
              <w:spacing w:after="0" w:line="240" w:lineRule="auto"/>
              <w:rPr>
                <w:rFonts w:ascii="Calibri" w:eastAsia="Times New Roman" w:hAnsi="Calibri" w:cs="Times New Roman"/>
                <w:color w:val="000000"/>
              </w:rPr>
            </w:pPr>
            <w:r>
              <w:rPr>
                <w:rFonts w:ascii="Calibri" w:eastAsia="Times New Roman" w:hAnsi="Calibri" w:cs="Times New Roman"/>
                <w:color w:val="000000"/>
              </w:rPr>
              <w:t>Constant</w:t>
            </w:r>
          </w:p>
        </w:tc>
        <w:tc>
          <w:tcPr>
            <w:tcW w:w="1240" w:type="dxa"/>
            <w:tcBorders>
              <w:top w:val="nil"/>
              <w:left w:val="nil"/>
              <w:bottom w:val="nil"/>
              <w:right w:val="nil"/>
            </w:tcBorders>
            <w:shd w:val="clear" w:color="auto" w:fill="auto"/>
            <w:noWrap/>
            <w:vAlign w:val="bottom"/>
          </w:tcPr>
          <w:p w14:paraId="45D459B7" w14:textId="77777777" w:rsidR="004F461F" w:rsidRPr="00EC2D52" w:rsidRDefault="004F461F" w:rsidP="0006322D">
            <w:pPr>
              <w:spacing w:after="0" w:line="240" w:lineRule="auto"/>
              <w:jc w:val="right"/>
              <w:rPr>
                <w:rFonts w:ascii="Calibri" w:eastAsia="Times New Roman" w:hAnsi="Calibri" w:cs="Times New Roman"/>
                <w:color w:val="000000"/>
              </w:rPr>
            </w:pPr>
            <w:r>
              <w:rPr>
                <w:rFonts w:ascii="Calibri" w:hAnsi="Calibri"/>
                <w:color w:val="000000"/>
              </w:rPr>
              <w:t>-2.69***</w:t>
            </w:r>
          </w:p>
        </w:tc>
        <w:tc>
          <w:tcPr>
            <w:tcW w:w="1047" w:type="dxa"/>
            <w:tcBorders>
              <w:top w:val="nil"/>
              <w:left w:val="nil"/>
              <w:bottom w:val="nil"/>
              <w:right w:val="nil"/>
            </w:tcBorders>
            <w:shd w:val="clear" w:color="auto" w:fill="auto"/>
            <w:noWrap/>
            <w:vAlign w:val="bottom"/>
          </w:tcPr>
          <w:p w14:paraId="7E829612" w14:textId="77777777" w:rsidR="004F461F" w:rsidRPr="00EC2D52" w:rsidRDefault="004F461F" w:rsidP="0006322D">
            <w:pPr>
              <w:spacing w:after="0" w:line="240" w:lineRule="auto"/>
              <w:jc w:val="right"/>
              <w:rPr>
                <w:rFonts w:ascii="Calibri" w:eastAsia="Times New Roman" w:hAnsi="Calibri" w:cs="Times New Roman"/>
                <w:color w:val="000000"/>
              </w:rPr>
            </w:pPr>
            <w:r>
              <w:rPr>
                <w:rFonts w:ascii="Calibri" w:hAnsi="Calibri"/>
                <w:color w:val="000000"/>
              </w:rPr>
              <w:t>-4.29***</w:t>
            </w:r>
          </w:p>
        </w:tc>
        <w:tc>
          <w:tcPr>
            <w:tcW w:w="1163" w:type="dxa"/>
            <w:tcBorders>
              <w:top w:val="nil"/>
              <w:left w:val="nil"/>
              <w:bottom w:val="nil"/>
              <w:right w:val="nil"/>
            </w:tcBorders>
            <w:shd w:val="clear" w:color="auto" w:fill="auto"/>
            <w:noWrap/>
            <w:vAlign w:val="bottom"/>
          </w:tcPr>
          <w:p w14:paraId="72C43383" w14:textId="77777777" w:rsidR="004F461F" w:rsidRPr="00EC2D52" w:rsidRDefault="004F461F" w:rsidP="0006322D">
            <w:pPr>
              <w:spacing w:after="0" w:line="240" w:lineRule="auto"/>
              <w:jc w:val="right"/>
              <w:rPr>
                <w:rFonts w:ascii="Calibri" w:eastAsia="Times New Roman" w:hAnsi="Calibri" w:cs="Times New Roman"/>
                <w:color w:val="000000"/>
              </w:rPr>
            </w:pPr>
            <w:r>
              <w:rPr>
                <w:rFonts w:ascii="Calibri" w:hAnsi="Calibri"/>
                <w:color w:val="000000"/>
              </w:rPr>
              <w:t>1.56***</w:t>
            </w:r>
          </w:p>
        </w:tc>
        <w:tc>
          <w:tcPr>
            <w:tcW w:w="1320" w:type="dxa"/>
            <w:tcBorders>
              <w:top w:val="nil"/>
              <w:left w:val="nil"/>
              <w:bottom w:val="nil"/>
              <w:right w:val="nil"/>
            </w:tcBorders>
            <w:shd w:val="clear" w:color="auto" w:fill="auto"/>
            <w:noWrap/>
            <w:vAlign w:val="bottom"/>
          </w:tcPr>
          <w:p w14:paraId="6BF915E8" w14:textId="77777777" w:rsidR="004F461F" w:rsidRPr="00EC2D52" w:rsidRDefault="004F461F" w:rsidP="0006322D">
            <w:pPr>
              <w:spacing w:after="0" w:line="240" w:lineRule="auto"/>
              <w:jc w:val="right"/>
              <w:rPr>
                <w:rFonts w:ascii="Calibri" w:eastAsia="Times New Roman" w:hAnsi="Calibri" w:cs="Times New Roman"/>
                <w:color w:val="000000"/>
              </w:rPr>
            </w:pPr>
            <w:r>
              <w:rPr>
                <w:rFonts w:ascii="Calibri" w:hAnsi="Calibri"/>
                <w:color w:val="000000"/>
              </w:rPr>
              <w:t>-3.80***</w:t>
            </w:r>
          </w:p>
        </w:tc>
        <w:tc>
          <w:tcPr>
            <w:tcW w:w="1259" w:type="dxa"/>
            <w:tcBorders>
              <w:top w:val="nil"/>
              <w:left w:val="nil"/>
              <w:bottom w:val="nil"/>
              <w:right w:val="nil"/>
            </w:tcBorders>
            <w:shd w:val="clear" w:color="auto" w:fill="auto"/>
            <w:noWrap/>
            <w:vAlign w:val="bottom"/>
          </w:tcPr>
          <w:p w14:paraId="4DCA6615" w14:textId="77777777" w:rsidR="004F461F" w:rsidRPr="00EC2D52" w:rsidRDefault="004F461F" w:rsidP="0006322D">
            <w:pPr>
              <w:spacing w:after="0" w:line="240" w:lineRule="auto"/>
              <w:jc w:val="right"/>
              <w:rPr>
                <w:rFonts w:ascii="Calibri" w:eastAsia="Times New Roman" w:hAnsi="Calibri" w:cs="Times New Roman"/>
                <w:color w:val="000000"/>
              </w:rPr>
            </w:pPr>
            <w:r>
              <w:rPr>
                <w:rFonts w:ascii="Calibri" w:hAnsi="Calibri"/>
                <w:color w:val="000000"/>
              </w:rPr>
              <w:t>-3.27***</w:t>
            </w:r>
          </w:p>
        </w:tc>
        <w:tc>
          <w:tcPr>
            <w:tcW w:w="1025" w:type="dxa"/>
            <w:tcBorders>
              <w:top w:val="nil"/>
              <w:left w:val="nil"/>
              <w:bottom w:val="nil"/>
              <w:right w:val="nil"/>
            </w:tcBorders>
            <w:shd w:val="clear" w:color="auto" w:fill="auto"/>
            <w:noWrap/>
            <w:vAlign w:val="bottom"/>
          </w:tcPr>
          <w:p w14:paraId="68BB16C2" w14:textId="77777777" w:rsidR="004F461F" w:rsidRPr="00EC2D52" w:rsidRDefault="004F461F" w:rsidP="0006322D">
            <w:pPr>
              <w:spacing w:after="0" w:line="240" w:lineRule="auto"/>
              <w:jc w:val="right"/>
              <w:rPr>
                <w:rFonts w:ascii="Calibri" w:eastAsia="Times New Roman" w:hAnsi="Calibri" w:cs="Times New Roman"/>
                <w:color w:val="000000"/>
              </w:rPr>
            </w:pPr>
            <w:r>
              <w:rPr>
                <w:rFonts w:ascii="Calibri" w:hAnsi="Calibri"/>
                <w:color w:val="000000"/>
              </w:rPr>
              <w:t xml:space="preserve">-2.07*  </w:t>
            </w:r>
          </w:p>
        </w:tc>
      </w:tr>
      <w:tr w:rsidR="004F461F" w:rsidRPr="00960D30" w14:paraId="698D3647" w14:textId="77777777" w:rsidTr="0006322D">
        <w:trPr>
          <w:trHeight w:val="309"/>
        </w:trPr>
        <w:tc>
          <w:tcPr>
            <w:tcW w:w="2934" w:type="dxa"/>
            <w:tcBorders>
              <w:top w:val="single" w:sz="8" w:space="0" w:color="auto"/>
              <w:left w:val="nil"/>
              <w:bottom w:val="single" w:sz="8" w:space="0" w:color="auto"/>
              <w:right w:val="nil"/>
            </w:tcBorders>
            <w:shd w:val="clear" w:color="auto" w:fill="auto"/>
            <w:noWrap/>
            <w:vAlign w:val="bottom"/>
            <w:hideMark/>
          </w:tcPr>
          <w:p w14:paraId="78470288" w14:textId="77777777" w:rsidR="004F461F" w:rsidRPr="00960D30" w:rsidRDefault="004F461F" w:rsidP="0006322D">
            <w:pPr>
              <w:spacing w:after="0" w:line="240" w:lineRule="auto"/>
              <w:rPr>
                <w:rFonts w:ascii="Calibri" w:eastAsia="Times New Roman" w:hAnsi="Calibri" w:cs="Times New Roman"/>
                <w:color w:val="000000"/>
              </w:rPr>
            </w:pPr>
            <w:r w:rsidRPr="00960D30">
              <w:rPr>
                <w:rFonts w:ascii="Calibri" w:eastAsia="Times New Roman" w:hAnsi="Calibri" w:cs="Times New Roman"/>
                <w:color w:val="000000"/>
              </w:rPr>
              <w:t>N</w:t>
            </w:r>
          </w:p>
        </w:tc>
        <w:tc>
          <w:tcPr>
            <w:tcW w:w="1240" w:type="dxa"/>
            <w:tcBorders>
              <w:top w:val="single" w:sz="8" w:space="0" w:color="auto"/>
              <w:left w:val="nil"/>
              <w:bottom w:val="single" w:sz="8" w:space="0" w:color="auto"/>
              <w:right w:val="nil"/>
            </w:tcBorders>
            <w:shd w:val="clear" w:color="auto" w:fill="auto"/>
            <w:noWrap/>
            <w:vAlign w:val="bottom"/>
            <w:hideMark/>
          </w:tcPr>
          <w:p w14:paraId="57391829"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314,784 </w:t>
            </w:r>
          </w:p>
        </w:tc>
        <w:tc>
          <w:tcPr>
            <w:tcW w:w="1047" w:type="dxa"/>
            <w:tcBorders>
              <w:top w:val="single" w:sz="8" w:space="0" w:color="auto"/>
              <w:left w:val="nil"/>
              <w:bottom w:val="single" w:sz="8" w:space="0" w:color="auto"/>
              <w:right w:val="nil"/>
            </w:tcBorders>
            <w:shd w:val="clear" w:color="auto" w:fill="auto"/>
            <w:noWrap/>
            <w:vAlign w:val="bottom"/>
            <w:hideMark/>
          </w:tcPr>
          <w:p w14:paraId="4460C75E"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314,784 </w:t>
            </w:r>
          </w:p>
        </w:tc>
        <w:tc>
          <w:tcPr>
            <w:tcW w:w="1163" w:type="dxa"/>
            <w:tcBorders>
              <w:top w:val="single" w:sz="8" w:space="0" w:color="auto"/>
              <w:left w:val="nil"/>
              <w:bottom w:val="single" w:sz="8" w:space="0" w:color="auto"/>
              <w:right w:val="nil"/>
            </w:tcBorders>
            <w:shd w:val="clear" w:color="auto" w:fill="auto"/>
            <w:noWrap/>
            <w:vAlign w:val="bottom"/>
            <w:hideMark/>
          </w:tcPr>
          <w:p w14:paraId="4FCD3F42"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314,784 </w:t>
            </w:r>
          </w:p>
        </w:tc>
        <w:tc>
          <w:tcPr>
            <w:tcW w:w="1320" w:type="dxa"/>
            <w:tcBorders>
              <w:top w:val="single" w:sz="8" w:space="0" w:color="auto"/>
              <w:left w:val="nil"/>
              <w:bottom w:val="single" w:sz="8" w:space="0" w:color="auto"/>
              <w:right w:val="nil"/>
            </w:tcBorders>
            <w:shd w:val="clear" w:color="auto" w:fill="auto"/>
            <w:noWrap/>
            <w:vAlign w:val="bottom"/>
            <w:hideMark/>
          </w:tcPr>
          <w:p w14:paraId="1000A637"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314,677 </w:t>
            </w:r>
          </w:p>
        </w:tc>
        <w:tc>
          <w:tcPr>
            <w:tcW w:w="1259" w:type="dxa"/>
            <w:tcBorders>
              <w:top w:val="single" w:sz="8" w:space="0" w:color="auto"/>
              <w:left w:val="nil"/>
              <w:bottom w:val="single" w:sz="8" w:space="0" w:color="auto"/>
              <w:right w:val="nil"/>
            </w:tcBorders>
            <w:shd w:val="clear" w:color="auto" w:fill="auto"/>
            <w:noWrap/>
            <w:vAlign w:val="bottom"/>
            <w:hideMark/>
          </w:tcPr>
          <w:p w14:paraId="03F53A4A"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314,663 </w:t>
            </w:r>
          </w:p>
        </w:tc>
        <w:tc>
          <w:tcPr>
            <w:tcW w:w="1025" w:type="dxa"/>
            <w:tcBorders>
              <w:top w:val="single" w:sz="8" w:space="0" w:color="auto"/>
              <w:left w:val="nil"/>
              <w:bottom w:val="single" w:sz="8" w:space="0" w:color="auto"/>
              <w:right w:val="nil"/>
            </w:tcBorders>
            <w:shd w:val="clear" w:color="auto" w:fill="auto"/>
            <w:noWrap/>
            <w:vAlign w:val="bottom"/>
            <w:hideMark/>
          </w:tcPr>
          <w:p w14:paraId="71C9E619" w14:textId="77777777" w:rsidR="004F461F" w:rsidRDefault="004F461F" w:rsidP="0006322D">
            <w:pPr>
              <w:spacing w:after="0" w:line="240" w:lineRule="auto"/>
              <w:jc w:val="right"/>
              <w:rPr>
                <w:rFonts w:ascii="Calibri" w:hAnsi="Calibri"/>
                <w:color w:val="000000"/>
              </w:rPr>
            </w:pPr>
            <w:r>
              <w:rPr>
                <w:rFonts w:ascii="Calibri" w:hAnsi="Calibri"/>
                <w:color w:val="000000"/>
              </w:rPr>
              <w:t xml:space="preserve">314,784 </w:t>
            </w:r>
          </w:p>
        </w:tc>
      </w:tr>
    </w:tbl>
    <w:p w14:paraId="13EC6282" w14:textId="6353AE1E" w:rsidR="00D60A6C" w:rsidRPr="000F7365" w:rsidRDefault="004F461F" w:rsidP="000F7365">
      <w:pPr>
        <w:spacing w:after="0"/>
        <w:rPr>
          <w:i/>
          <w:sz w:val="20"/>
        </w:rPr>
      </w:pPr>
      <w:r w:rsidRPr="00FF0373">
        <w:rPr>
          <w:i/>
          <w:sz w:val="20"/>
        </w:rPr>
        <w:t>* p&lt;0.05, ** p&lt;0.01, *** p&lt;0.001</w:t>
      </w:r>
    </w:p>
    <w:sectPr w:rsidR="00D60A6C" w:rsidRPr="000F7365" w:rsidSect="002640E3">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3A9B4" w14:textId="77777777" w:rsidR="00673600" w:rsidRDefault="00673600" w:rsidP="0061404A">
      <w:pPr>
        <w:spacing w:after="0" w:line="240" w:lineRule="auto"/>
      </w:pPr>
      <w:r>
        <w:separator/>
      </w:r>
    </w:p>
  </w:endnote>
  <w:endnote w:type="continuationSeparator" w:id="0">
    <w:p w14:paraId="2F688C07" w14:textId="77777777" w:rsidR="00673600" w:rsidRDefault="00673600" w:rsidP="0061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21194"/>
      <w:docPartObj>
        <w:docPartGallery w:val="Page Numbers (Bottom of Page)"/>
        <w:docPartUnique/>
      </w:docPartObj>
    </w:sdtPr>
    <w:sdtEndPr>
      <w:rPr>
        <w:noProof/>
      </w:rPr>
    </w:sdtEndPr>
    <w:sdtContent>
      <w:p w14:paraId="36BFE745" w14:textId="46E27448" w:rsidR="0006322D" w:rsidRDefault="0006322D">
        <w:pPr>
          <w:pStyle w:val="Footer"/>
          <w:jc w:val="right"/>
        </w:pPr>
        <w:r>
          <w:fldChar w:fldCharType="begin"/>
        </w:r>
        <w:r>
          <w:instrText xml:space="preserve"> PAGE   \* MERGEFORMAT </w:instrText>
        </w:r>
        <w:r>
          <w:fldChar w:fldCharType="separate"/>
        </w:r>
        <w:r w:rsidR="008F43D5">
          <w:rPr>
            <w:noProof/>
          </w:rPr>
          <w:t>16</w:t>
        </w:r>
        <w:r>
          <w:rPr>
            <w:noProof/>
          </w:rPr>
          <w:fldChar w:fldCharType="end"/>
        </w:r>
      </w:p>
    </w:sdtContent>
  </w:sdt>
  <w:p w14:paraId="2714345B" w14:textId="77777777" w:rsidR="0006322D" w:rsidRDefault="00063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0DC7E" w14:textId="77777777" w:rsidR="00673600" w:rsidRDefault="00673600" w:rsidP="0061404A">
      <w:pPr>
        <w:spacing w:after="0" w:line="240" w:lineRule="auto"/>
      </w:pPr>
      <w:r>
        <w:separator/>
      </w:r>
    </w:p>
  </w:footnote>
  <w:footnote w:type="continuationSeparator" w:id="0">
    <w:p w14:paraId="71EFD823" w14:textId="77777777" w:rsidR="00673600" w:rsidRDefault="00673600" w:rsidP="00614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553F3"/>
    <w:multiLevelType w:val="hybridMultilevel"/>
    <w:tmpl w:val="304E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450DF"/>
    <w:multiLevelType w:val="hybridMultilevel"/>
    <w:tmpl w:val="78E42420"/>
    <w:lvl w:ilvl="0" w:tplc="C80E4FD0">
      <w:numFmt w:val="bullet"/>
      <w:lvlText w:val=""/>
      <w:lvlJc w:val="left"/>
      <w:pPr>
        <w:ind w:left="720" w:hanging="360"/>
      </w:pPr>
      <w:rPr>
        <w:rFonts w:ascii="Symbol" w:eastAsiaTheme="minorHAnsi" w:hAnsi="Symbol" w:cstheme="minorBidi" w:hint="default"/>
        <w:sz w:val="24"/>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53984"/>
    <w:multiLevelType w:val="hybridMultilevel"/>
    <w:tmpl w:val="662C4442"/>
    <w:lvl w:ilvl="0" w:tplc="C80E4FD0">
      <w:numFmt w:val="bullet"/>
      <w:lvlText w:val=""/>
      <w:lvlJc w:val="left"/>
      <w:pPr>
        <w:ind w:left="720" w:hanging="360"/>
      </w:pPr>
      <w:rPr>
        <w:rFonts w:ascii="Symbol" w:eastAsiaTheme="minorHAnsi" w:hAnsi="Symbol" w:cstheme="minorBidi" w:hint="default"/>
        <w:sz w:val="24"/>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E3148C"/>
    <w:multiLevelType w:val="hybridMultilevel"/>
    <w:tmpl w:val="4946873C"/>
    <w:lvl w:ilvl="0" w:tplc="BC74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9F42DE"/>
    <w:multiLevelType w:val="hybridMultilevel"/>
    <w:tmpl w:val="A93C12A6"/>
    <w:lvl w:ilvl="0" w:tplc="7DD85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28"/>
    <w:rsid w:val="000048F5"/>
    <w:rsid w:val="00004E2B"/>
    <w:rsid w:val="000056B8"/>
    <w:rsid w:val="00010220"/>
    <w:rsid w:val="000178DD"/>
    <w:rsid w:val="00020CAF"/>
    <w:rsid w:val="00026473"/>
    <w:rsid w:val="00031264"/>
    <w:rsid w:val="00042D7F"/>
    <w:rsid w:val="00045A80"/>
    <w:rsid w:val="00054642"/>
    <w:rsid w:val="000559D8"/>
    <w:rsid w:val="000564B4"/>
    <w:rsid w:val="0006157D"/>
    <w:rsid w:val="00062CBD"/>
    <w:rsid w:val="0006322D"/>
    <w:rsid w:val="00065F98"/>
    <w:rsid w:val="00067638"/>
    <w:rsid w:val="00067C49"/>
    <w:rsid w:val="00072366"/>
    <w:rsid w:val="00072534"/>
    <w:rsid w:val="000746A5"/>
    <w:rsid w:val="00077D70"/>
    <w:rsid w:val="000811A1"/>
    <w:rsid w:val="000820C9"/>
    <w:rsid w:val="00083E8B"/>
    <w:rsid w:val="00086C28"/>
    <w:rsid w:val="00096944"/>
    <w:rsid w:val="000A3962"/>
    <w:rsid w:val="000A5503"/>
    <w:rsid w:val="000A5A73"/>
    <w:rsid w:val="000B1B32"/>
    <w:rsid w:val="000B3CB4"/>
    <w:rsid w:val="000B3DD7"/>
    <w:rsid w:val="000B62DE"/>
    <w:rsid w:val="000B7A5E"/>
    <w:rsid w:val="000C1117"/>
    <w:rsid w:val="000C4D2F"/>
    <w:rsid w:val="000C75A3"/>
    <w:rsid w:val="000D081A"/>
    <w:rsid w:val="000D0F5C"/>
    <w:rsid w:val="000D3209"/>
    <w:rsid w:val="000E2B7C"/>
    <w:rsid w:val="000E3F18"/>
    <w:rsid w:val="000F183F"/>
    <w:rsid w:val="000F7365"/>
    <w:rsid w:val="00102C7E"/>
    <w:rsid w:val="0010484A"/>
    <w:rsid w:val="001055E2"/>
    <w:rsid w:val="00112CD2"/>
    <w:rsid w:val="00116131"/>
    <w:rsid w:val="0011750C"/>
    <w:rsid w:val="00122BEB"/>
    <w:rsid w:val="001239A0"/>
    <w:rsid w:val="0012532E"/>
    <w:rsid w:val="00127191"/>
    <w:rsid w:val="00134419"/>
    <w:rsid w:val="0013739A"/>
    <w:rsid w:val="001427B1"/>
    <w:rsid w:val="00146FBD"/>
    <w:rsid w:val="00147D68"/>
    <w:rsid w:val="00156F2C"/>
    <w:rsid w:val="00166B9B"/>
    <w:rsid w:val="00166E5A"/>
    <w:rsid w:val="00171CCD"/>
    <w:rsid w:val="001728FC"/>
    <w:rsid w:val="001732DF"/>
    <w:rsid w:val="0017688C"/>
    <w:rsid w:val="00180918"/>
    <w:rsid w:val="00181DB8"/>
    <w:rsid w:val="00185B64"/>
    <w:rsid w:val="00190B0A"/>
    <w:rsid w:val="001931AB"/>
    <w:rsid w:val="00195720"/>
    <w:rsid w:val="001A0159"/>
    <w:rsid w:val="001A2A48"/>
    <w:rsid w:val="001A5DFF"/>
    <w:rsid w:val="001A7874"/>
    <w:rsid w:val="001B12AF"/>
    <w:rsid w:val="001D73A7"/>
    <w:rsid w:val="001E04DA"/>
    <w:rsid w:val="001E085C"/>
    <w:rsid w:val="001E1F16"/>
    <w:rsid w:val="001E3F65"/>
    <w:rsid w:val="001E767A"/>
    <w:rsid w:val="001F1224"/>
    <w:rsid w:val="001F1DB7"/>
    <w:rsid w:val="001F33FA"/>
    <w:rsid w:val="001F6695"/>
    <w:rsid w:val="00203F38"/>
    <w:rsid w:val="00205199"/>
    <w:rsid w:val="00205C72"/>
    <w:rsid w:val="002072E5"/>
    <w:rsid w:val="00207D99"/>
    <w:rsid w:val="00210C3C"/>
    <w:rsid w:val="00216A71"/>
    <w:rsid w:val="00216EA4"/>
    <w:rsid w:val="00221738"/>
    <w:rsid w:val="00221D2E"/>
    <w:rsid w:val="00221E7B"/>
    <w:rsid w:val="00225EAC"/>
    <w:rsid w:val="002314C1"/>
    <w:rsid w:val="0023205F"/>
    <w:rsid w:val="0023268A"/>
    <w:rsid w:val="00233785"/>
    <w:rsid w:val="002403D2"/>
    <w:rsid w:val="00240CAB"/>
    <w:rsid w:val="00246DC5"/>
    <w:rsid w:val="0025116D"/>
    <w:rsid w:val="002640E3"/>
    <w:rsid w:val="00275467"/>
    <w:rsid w:val="0028671C"/>
    <w:rsid w:val="002A2259"/>
    <w:rsid w:val="002A4B5A"/>
    <w:rsid w:val="002A679E"/>
    <w:rsid w:val="002B01B4"/>
    <w:rsid w:val="002C7D0A"/>
    <w:rsid w:val="002D125B"/>
    <w:rsid w:val="002D1A27"/>
    <w:rsid w:val="002D2F7F"/>
    <w:rsid w:val="002E1039"/>
    <w:rsid w:val="002E1AC5"/>
    <w:rsid w:val="002E2CA2"/>
    <w:rsid w:val="002F5AF9"/>
    <w:rsid w:val="002F5EE9"/>
    <w:rsid w:val="002F6C31"/>
    <w:rsid w:val="00304B9C"/>
    <w:rsid w:val="003067D9"/>
    <w:rsid w:val="00310030"/>
    <w:rsid w:val="00311ACA"/>
    <w:rsid w:val="003122D4"/>
    <w:rsid w:val="0031705A"/>
    <w:rsid w:val="00322A63"/>
    <w:rsid w:val="003250A0"/>
    <w:rsid w:val="00334C42"/>
    <w:rsid w:val="00340E90"/>
    <w:rsid w:val="0034275B"/>
    <w:rsid w:val="00350C55"/>
    <w:rsid w:val="00351C32"/>
    <w:rsid w:val="003529C1"/>
    <w:rsid w:val="003546FA"/>
    <w:rsid w:val="00354AD1"/>
    <w:rsid w:val="00364B1A"/>
    <w:rsid w:val="003678C0"/>
    <w:rsid w:val="00382DD1"/>
    <w:rsid w:val="00384B54"/>
    <w:rsid w:val="0038601D"/>
    <w:rsid w:val="00387154"/>
    <w:rsid w:val="0039790B"/>
    <w:rsid w:val="003A3552"/>
    <w:rsid w:val="003A48D6"/>
    <w:rsid w:val="003A5672"/>
    <w:rsid w:val="003B5639"/>
    <w:rsid w:val="003C7864"/>
    <w:rsid w:val="003D018B"/>
    <w:rsid w:val="003D04AB"/>
    <w:rsid w:val="003D3143"/>
    <w:rsid w:val="003F1F81"/>
    <w:rsid w:val="003F3FD1"/>
    <w:rsid w:val="003F6079"/>
    <w:rsid w:val="003F6BAA"/>
    <w:rsid w:val="004017DF"/>
    <w:rsid w:val="004051ED"/>
    <w:rsid w:val="0040620C"/>
    <w:rsid w:val="004066F9"/>
    <w:rsid w:val="00411029"/>
    <w:rsid w:val="00416277"/>
    <w:rsid w:val="004209BD"/>
    <w:rsid w:val="00423254"/>
    <w:rsid w:val="004271A0"/>
    <w:rsid w:val="00444099"/>
    <w:rsid w:val="004464A3"/>
    <w:rsid w:val="0044656D"/>
    <w:rsid w:val="00447EE6"/>
    <w:rsid w:val="0046466E"/>
    <w:rsid w:val="004669DA"/>
    <w:rsid w:val="00466DC2"/>
    <w:rsid w:val="004674A4"/>
    <w:rsid w:val="0047118B"/>
    <w:rsid w:val="0047149D"/>
    <w:rsid w:val="00481880"/>
    <w:rsid w:val="00481E09"/>
    <w:rsid w:val="00482B40"/>
    <w:rsid w:val="00486CCC"/>
    <w:rsid w:val="004874E7"/>
    <w:rsid w:val="00487C52"/>
    <w:rsid w:val="00494EFF"/>
    <w:rsid w:val="00495DB9"/>
    <w:rsid w:val="004A363A"/>
    <w:rsid w:val="004A7041"/>
    <w:rsid w:val="004B19D4"/>
    <w:rsid w:val="004B45E9"/>
    <w:rsid w:val="004C5ABF"/>
    <w:rsid w:val="004C7380"/>
    <w:rsid w:val="004D035E"/>
    <w:rsid w:val="004D2961"/>
    <w:rsid w:val="004D2EB0"/>
    <w:rsid w:val="004D4E25"/>
    <w:rsid w:val="004E089A"/>
    <w:rsid w:val="004F0C89"/>
    <w:rsid w:val="004F1465"/>
    <w:rsid w:val="004F177E"/>
    <w:rsid w:val="004F19C8"/>
    <w:rsid w:val="004F445E"/>
    <w:rsid w:val="004F461F"/>
    <w:rsid w:val="004F4A9E"/>
    <w:rsid w:val="004F6109"/>
    <w:rsid w:val="005108EF"/>
    <w:rsid w:val="00514B3E"/>
    <w:rsid w:val="00516928"/>
    <w:rsid w:val="00523E73"/>
    <w:rsid w:val="00526882"/>
    <w:rsid w:val="00530708"/>
    <w:rsid w:val="00532C24"/>
    <w:rsid w:val="005376E4"/>
    <w:rsid w:val="005453D0"/>
    <w:rsid w:val="005461D5"/>
    <w:rsid w:val="005472BC"/>
    <w:rsid w:val="005531C5"/>
    <w:rsid w:val="00555CF2"/>
    <w:rsid w:val="0055619D"/>
    <w:rsid w:val="0056014A"/>
    <w:rsid w:val="00560CE4"/>
    <w:rsid w:val="005746F4"/>
    <w:rsid w:val="005763AA"/>
    <w:rsid w:val="00581AEA"/>
    <w:rsid w:val="0058271E"/>
    <w:rsid w:val="00583908"/>
    <w:rsid w:val="00584ADF"/>
    <w:rsid w:val="005858BA"/>
    <w:rsid w:val="00585A38"/>
    <w:rsid w:val="005A7651"/>
    <w:rsid w:val="005B261C"/>
    <w:rsid w:val="005C3914"/>
    <w:rsid w:val="005C4C9E"/>
    <w:rsid w:val="005C6AC5"/>
    <w:rsid w:val="005D06D5"/>
    <w:rsid w:val="005D3A8C"/>
    <w:rsid w:val="005D66D2"/>
    <w:rsid w:val="005D684D"/>
    <w:rsid w:val="005E1582"/>
    <w:rsid w:val="005E4EC9"/>
    <w:rsid w:val="005E53C7"/>
    <w:rsid w:val="005F2390"/>
    <w:rsid w:val="006043DA"/>
    <w:rsid w:val="00613682"/>
    <w:rsid w:val="0061404A"/>
    <w:rsid w:val="00614426"/>
    <w:rsid w:val="00620BC5"/>
    <w:rsid w:val="00623CEA"/>
    <w:rsid w:val="006243BE"/>
    <w:rsid w:val="00630927"/>
    <w:rsid w:val="00633258"/>
    <w:rsid w:val="00635D12"/>
    <w:rsid w:val="006407E5"/>
    <w:rsid w:val="00641658"/>
    <w:rsid w:val="00644FEB"/>
    <w:rsid w:val="00650E9F"/>
    <w:rsid w:val="00651076"/>
    <w:rsid w:val="00652884"/>
    <w:rsid w:val="0065761F"/>
    <w:rsid w:val="00660313"/>
    <w:rsid w:val="006611B9"/>
    <w:rsid w:val="006635EB"/>
    <w:rsid w:val="00667EB3"/>
    <w:rsid w:val="00671237"/>
    <w:rsid w:val="00673600"/>
    <w:rsid w:val="006749DD"/>
    <w:rsid w:val="00682964"/>
    <w:rsid w:val="006844CA"/>
    <w:rsid w:val="00685A34"/>
    <w:rsid w:val="006A2E91"/>
    <w:rsid w:val="006B4A90"/>
    <w:rsid w:val="006B5192"/>
    <w:rsid w:val="006B661B"/>
    <w:rsid w:val="006B79BA"/>
    <w:rsid w:val="006B7BF5"/>
    <w:rsid w:val="006D6A2D"/>
    <w:rsid w:val="006D6DE0"/>
    <w:rsid w:val="006E07C3"/>
    <w:rsid w:val="006E5E3B"/>
    <w:rsid w:val="006F229C"/>
    <w:rsid w:val="006F7E4A"/>
    <w:rsid w:val="0070086A"/>
    <w:rsid w:val="0071718C"/>
    <w:rsid w:val="00721C6E"/>
    <w:rsid w:val="0072401D"/>
    <w:rsid w:val="007333C1"/>
    <w:rsid w:val="00733E73"/>
    <w:rsid w:val="0073493F"/>
    <w:rsid w:val="007366A6"/>
    <w:rsid w:val="00736BB2"/>
    <w:rsid w:val="0074607E"/>
    <w:rsid w:val="00750CA4"/>
    <w:rsid w:val="00751BB5"/>
    <w:rsid w:val="007557AD"/>
    <w:rsid w:val="007625A5"/>
    <w:rsid w:val="00762CF2"/>
    <w:rsid w:val="00762EF3"/>
    <w:rsid w:val="0077092C"/>
    <w:rsid w:val="00773C77"/>
    <w:rsid w:val="0077570C"/>
    <w:rsid w:val="00777C04"/>
    <w:rsid w:val="00792899"/>
    <w:rsid w:val="00794279"/>
    <w:rsid w:val="00797059"/>
    <w:rsid w:val="007A6EA8"/>
    <w:rsid w:val="007B3EA0"/>
    <w:rsid w:val="007B7E22"/>
    <w:rsid w:val="007C1DC2"/>
    <w:rsid w:val="007C423D"/>
    <w:rsid w:val="007C7803"/>
    <w:rsid w:val="007C7FFE"/>
    <w:rsid w:val="007D1CA0"/>
    <w:rsid w:val="007D35B8"/>
    <w:rsid w:val="007D581D"/>
    <w:rsid w:val="007E442E"/>
    <w:rsid w:val="007E5425"/>
    <w:rsid w:val="007E5471"/>
    <w:rsid w:val="00814828"/>
    <w:rsid w:val="00814F85"/>
    <w:rsid w:val="00822650"/>
    <w:rsid w:val="008249F7"/>
    <w:rsid w:val="008262DE"/>
    <w:rsid w:val="00830AE4"/>
    <w:rsid w:val="00832175"/>
    <w:rsid w:val="00837276"/>
    <w:rsid w:val="00841DB3"/>
    <w:rsid w:val="00845C76"/>
    <w:rsid w:val="00856355"/>
    <w:rsid w:val="008660C5"/>
    <w:rsid w:val="0086720C"/>
    <w:rsid w:val="00871C04"/>
    <w:rsid w:val="00877072"/>
    <w:rsid w:val="00884069"/>
    <w:rsid w:val="0088446B"/>
    <w:rsid w:val="00897936"/>
    <w:rsid w:val="008A4404"/>
    <w:rsid w:val="008A5F3E"/>
    <w:rsid w:val="008A6E25"/>
    <w:rsid w:val="008B4489"/>
    <w:rsid w:val="008C3F41"/>
    <w:rsid w:val="008D1137"/>
    <w:rsid w:val="008D22E2"/>
    <w:rsid w:val="008D2322"/>
    <w:rsid w:val="008D3160"/>
    <w:rsid w:val="008D447E"/>
    <w:rsid w:val="008D7B89"/>
    <w:rsid w:val="008E176C"/>
    <w:rsid w:val="008E209A"/>
    <w:rsid w:val="008F1E48"/>
    <w:rsid w:val="008F43D5"/>
    <w:rsid w:val="008F7C9D"/>
    <w:rsid w:val="009046ED"/>
    <w:rsid w:val="0090741B"/>
    <w:rsid w:val="00910119"/>
    <w:rsid w:val="00911163"/>
    <w:rsid w:val="0091133E"/>
    <w:rsid w:val="0091279A"/>
    <w:rsid w:val="009163CF"/>
    <w:rsid w:val="00916DB4"/>
    <w:rsid w:val="00920458"/>
    <w:rsid w:val="00922352"/>
    <w:rsid w:val="0093489B"/>
    <w:rsid w:val="00935279"/>
    <w:rsid w:val="00936078"/>
    <w:rsid w:val="00941D56"/>
    <w:rsid w:val="009463DD"/>
    <w:rsid w:val="009467CC"/>
    <w:rsid w:val="00946F53"/>
    <w:rsid w:val="00947866"/>
    <w:rsid w:val="00951041"/>
    <w:rsid w:val="00953299"/>
    <w:rsid w:val="0095519C"/>
    <w:rsid w:val="00955BAD"/>
    <w:rsid w:val="0096426A"/>
    <w:rsid w:val="00967139"/>
    <w:rsid w:val="00976B8A"/>
    <w:rsid w:val="0098170B"/>
    <w:rsid w:val="00985D63"/>
    <w:rsid w:val="00986C6B"/>
    <w:rsid w:val="0098740C"/>
    <w:rsid w:val="00992E99"/>
    <w:rsid w:val="009942F2"/>
    <w:rsid w:val="00994310"/>
    <w:rsid w:val="0099602D"/>
    <w:rsid w:val="009A023E"/>
    <w:rsid w:val="009A37A1"/>
    <w:rsid w:val="009A68B4"/>
    <w:rsid w:val="009B1CA3"/>
    <w:rsid w:val="009B2CEE"/>
    <w:rsid w:val="009B4C5A"/>
    <w:rsid w:val="009B605B"/>
    <w:rsid w:val="009C166E"/>
    <w:rsid w:val="009C4FCD"/>
    <w:rsid w:val="009C7A23"/>
    <w:rsid w:val="009D2D41"/>
    <w:rsid w:val="009D37D4"/>
    <w:rsid w:val="009D42A8"/>
    <w:rsid w:val="009D5BCE"/>
    <w:rsid w:val="009E5081"/>
    <w:rsid w:val="00A01589"/>
    <w:rsid w:val="00A053DC"/>
    <w:rsid w:val="00A0681E"/>
    <w:rsid w:val="00A109C8"/>
    <w:rsid w:val="00A2319E"/>
    <w:rsid w:val="00A2355F"/>
    <w:rsid w:val="00A23E73"/>
    <w:rsid w:val="00A31E57"/>
    <w:rsid w:val="00A3316C"/>
    <w:rsid w:val="00A33B50"/>
    <w:rsid w:val="00A33DCB"/>
    <w:rsid w:val="00A34160"/>
    <w:rsid w:val="00A34B7D"/>
    <w:rsid w:val="00A421EB"/>
    <w:rsid w:val="00A438AD"/>
    <w:rsid w:val="00A46F4F"/>
    <w:rsid w:val="00A47443"/>
    <w:rsid w:val="00A5129D"/>
    <w:rsid w:val="00A57117"/>
    <w:rsid w:val="00A62264"/>
    <w:rsid w:val="00A71058"/>
    <w:rsid w:val="00A72CA9"/>
    <w:rsid w:val="00A75845"/>
    <w:rsid w:val="00A773E3"/>
    <w:rsid w:val="00A8162B"/>
    <w:rsid w:val="00A84DA3"/>
    <w:rsid w:val="00A85F8C"/>
    <w:rsid w:val="00A867C6"/>
    <w:rsid w:val="00A86826"/>
    <w:rsid w:val="00A8693D"/>
    <w:rsid w:val="00A86B1B"/>
    <w:rsid w:val="00A86D73"/>
    <w:rsid w:val="00A86EA2"/>
    <w:rsid w:val="00A87068"/>
    <w:rsid w:val="00A91E2E"/>
    <w:rsid w:val="00A92328"/>
    <w:rsid w:val="00AA51B6"/>
    <w:rsid w:val="00AA5EF2"/>
    <w:rsid w:val="00AB3E98"/>
    <w:rsid w:val="00AB65C6"/>
    <w:rsid w:val="00AB7045"/>
    <w:rsid w:val="00AC0D89"/>
    <w:rsid w:val="00AD7F67"/>
    <w:rsid w:val="00AE3BE4"/>
    <w:rsid w:val="00AE77B5"/>
    <w:rsid w:val="00AF2D27"/>
    <w:rsid w:val="00AF598C"/>
    <w:rsid w:val="00B0092C"/>
    <w:rsid w:val="00B016C5"/>
    <w:rsid w:val="00B040E2"/>
    <w:rsid w:val="00B04837"/>
    <w:rsid w:val="00B07011"/>
    <w:rsid w:val="00B14003"/>
    <w:rsid w:val="00B16047"/>
    <w:rsid w:val="00B17332"/>
    <w:rsid w:val="00B251B3"/>
    <w:rsid w:val="00B27E37"/>
    <w:rsid w:val="00B27FE7"/>
    <w:rsid w:val="00B32C1C"/>
    <w:rsid w:val="00B32D94"/>
    <w:rsid w:val="00B33C6F"/>
    <w:rsid w:val="00B47893"/>
    <w:rsid w:val="00B52105"/>
    <w:rsid w:val="00B5798A"/>
    <w:rsid w:val="00B64A08"/>
    <w:rsid w:val="00B72A4D"/>
    <w:rsid w:val="00B9475F"/>
    <w:rsid w:val="00B961DC"/>
    <w:rsid w:val="00BA4BAA"/>
    <w:rsid w:val="00BA5436"/>
    <w:rsid w:val="00BA7B9F"/>
    <w:rsid w:val="00BB43BA"/>
    <w:rsid w:val="00BB5DB2"/>
    <w:rsid w:val="00BB6631"/>
    <w:rsid w:val="00BC0FFC"/>
    <w:rsid w:val="00BC2F47"/>
    <w:rsid w:val="00BC32BF"/>
    <w:rsid w:val="00BC4822"/>
    <w:rsid w:val="00BC6B10"/>
    <w:rsid w:val="00BC7613"/>
    <w:rsid w:val="00BD5AD4"/>
    <w:rsid w:val="00BD6760"/>
    <w:rsid w:val="00BD67C2"/>
    <w:rsid w:val="00BE08FD"/>
    <w:rsid w:val="00BE2B15"/>
    <w:rsid w:val="00BE39F2"/>
    <w:rsid w:val="00BE46C3"/>
    <w:rsid w:val="00BE58E3"/>
    <w:rsid w:val="00BF3352"/>
    <w:rsid w:val="00BF569E"/>
    <w:rsid w:val="00BF6A0F"/>
    <w:rsid w:val="00C00528"/>
    <w:rsid w:val="00C031E4"/>
    <w:rsid w:val="00C04ADE"/>
    <w:rsid w:val="00C04D92"/>
    <w:rsid w:val="00C0526F"/>
    <w:rsid w:val="00C1180D"/>
    <w:rsid w:val="00C128C2"/>
    <w:rsid w:val="00C211E5"/>
    <w:rsid w:val="00C249BD"/>
    <w:rsid w:val="00C3197A"/>
    <w:rsid w:val="00C322B3"/>
    <w:rsid w:val="00C33AFF"/>
    <w:rsid w:val="00C33CC1"/>
    <w:rsid w:val="00C44201"/>
    <w:rsid w:val="00C47528"/>
    <w:rsid w:val="00C5182F"/>
    <w:rsid w:val="00C53A3E"/>
    <w:rsid w:val="00C55513"/>
    <w:rsid w:val="00C55D23"/>
    <w:rsid w:val="00C7037C"/>
    <w:rsid w:val="00C7145F"/>
    <w:rsid w:val="00C71552"/>
    <w:rsid w:val="00C734FF"/>
    <w:rsid w:val="00C7438F"/>
    <w:rsid w:val="00C80A40"/>
    <w:rsid w:val="00C81164"/>
    <w:rsid w:val="00C81E8B"/>
    <w:rsid w:val="00C828A5"/>
    <w:rsid w:val="00C84503"/>
    <w:rsid w:val="00C91674"/>
    <w:rsid w:val="00C92720"/>
    <w:rsid w:val="00C9497B"/>
    <w:rsid w:val="00C967B0"/>
    <w:rsid w:val="00CA4408"/>
    <w:rsid w:val="00CA5766"/>
    <w:rsid w:val="00CB2173"/>
    <w:rsid w:val="00CB4933"/>
    <w:rsid w:val="00CB5A39"/>
    <w:rsid w:val="00CB7B50"/>
    <w:rsid w:val="00CC0231"/>
    <w:rsid w:val="00CC0935"/>
    <w:rsid w:val="00CC3D25"/>
    <w:rsid w:val="00CC6047"/>
    <w:rsid w:val="00CC7999"/>
    <w:rsid w:val="00CD046E"/>
    <w:rsid w:val="00CD0BE8"/>
    <w:rsid w:val="00CD7123"/>
    <w:rsid w:val="00CE531C"/>
    <w:rsid w:val="00CE630C"/>
    <w:rsid w:val="00CF043B"/>
    <w:rsid w:val="00CF4806"/>
    <w:rsid w:val="00D0394D"/>
    <w:rsid w:val="00D06DFC"/>
    <w:rsid w:val="00D110B1"/>
    <w:rsid w:val="00D11107"/>
    <w:rsid w:val="00D13308"/>
    <w:rsid w:val="00D14503"/>
    <w:rsid w:val="00D14751"/>
    <w:rsid w:val="00D176E5"/>
    <w:rsid w:val="00D26449"/>
    <w:rsid w:val="00D31A1D"/>
    <w:rsid w:val="00D42F60"/>
    <w:rsid w:val="00D50DD1"/>
    <w:rsid w:val="00D5417C"/>
    <w:rsid w:val="00D55CAD"/>
    <w:rsid w:val="00D579DF"/>
    <w:rsid w:val="00D60A6C"/>
    <w:rsid w:val="00D63F5D"/>
    <w:rsid w:val="00D67531"/>
    <w:rsid w:val="00D75822"/>
    <w:rsid w:val="00D9219C"/>
    <w:rsid w:val="00D93516"/>
    <w:rsid w:val="00D93766"/>
    <w:rsid w:val="00D94C12"/>
    <w:rsid w:val="00DA0996"/>
    <w:rsid w:val="00DA6552"/>
    <w:rsid w:val="00DA72B6"/>
    <w:rsid w:val="00DC2B38"/>
    <w:rsid w:val="00DC40A7"/>
    <w:rsid w:val="00DC4E10"/>
    <w:rsid w:val="00DD22EF"/>
    <w:rsid w:val="00DD35DC"/>
    <w:rsid w:val="00DD511E"/>
    <w:rsid w:val="00DD6C23"/>
    <w:rsid w:val="00DD6E4F"/>
    <w:rsid w:val="00DE10F4"/>
    <w:rsid w:val="00DE1B94"/>
    <w:rsid w:val="00DE3910"/>
    <w:rsid w:val="00DE3CB2"/>
    <w:rsid w:val="00DF0C24"/>
    <w:rsid w:val="00DF2CF2"/>
    <w:rsid w:val="00DF64C3"/>
    <w:rsid w:val="00DF7011"/>
    <w:rsid w:val="00E01F01"/>
    <w:rsid w:val="00E02F16"/>
    <w:rsid w:val="00E06ADB"/>
    <w:rsid w:val="00E114BF"/>
    <w:rsid w:val="00E11857"/>
    <w:rsid w:val="00E12A51"/>
    <w:rsid w:val="00E1522B"/>
    <w:rsid w:val="00E224FB"/>
    <w:rsid w:val="00E24F19"/>
    <w:rsid w:val="00E2661E"/>
    <w:rsid w:val="00E26B44"/>
    <w:rsid w:val="00E27DEE"/>
    <w:rsid w:val="00E35FD3"/>
    <w:rsid w:val="00E42D14"/>
    <w:rsid w:val="00E46394"/>
    <w:rsid w:val="00E50CB7"/>
    <w:rsid w:val="00E54A2C"/>
    <w:rsid w:val="00E57191"/>
    <w:rsid w:val="00E70EF0"/>
    <w:rsid w:val="00E719DE"/>
    <w:rsid w:val="00E71C28"/>
    <w:rsid w:val="00E8052B"/>
    <w:rsid w:val="00E82D20"/>
    <w:rsid w:val="00EA1BEE"/>
    <w:rsid w:val="00EB2548"/>
    <w:rsid w:val="00EB6100"/>
    <w:rsid w:val="00EB70D7"/>
    <w:rsid w:val="00EC1207"/>
    <w:rsid w:val="00EC2D52"/>
    <w:rsid w:val="00EC3BF9"/>
    <w:rsid w:val="00EC58D7"/>
    <w:rsid w:val="00ED4152"/>
    <w:rsid w:val="00ED4A8D"/>
    <w:rsid w:val="00ED50D6"/>
    <w:rsid w:val="00ED5CAC"/>
    <w:rsid w:val="00ED6755"/>
    <w:rsid w:val="00EF7A54"/>
    <w:rsid w:val="00F046B6"/>
    <w:rsid w:val="00F10D6F"/>
    <w:rsid w:val="00F11A1D"/>
    <w:rsid w:val="00F11E3E"/>
    <w:rsid w:val="00F16940"/>
    <w:rsid w:val="00F24F2A"/>
    <w:rsid w:val="00F25BA1"/>
    <w:rsid w:val="00F336F5"/>
    <w:rsid w:val="00F35072"/>
    <w:rsid w:val="00F4002E"/>
    <w:rsid w:val="00F4111E"/>
    <w:rsid w:val="00F426C1"/>
    <w:rsid w:val="00F468F0"/>
    <w:rsid w:val="00F50B51"/>
    <w:rsid w:val="00F50E4C"/>
    <w:rsid w:val="00F55595"/>
    <w:rsid w:val="00F5598D"/>
    <w:rsid w:val="00F56388"/>
    <w:rsid w:val="00F5749E"/>
    <w:rsid w:val="00F618D1"/>
    <w:rsid w:val="00F65BA2"/>
    <w:rsid w:val="00F664A3"/>
    <w:rsid w:val="00F66EB1"/>
    <w:rsid w:val="00F72620"/>
    <w:rsid w:val="00F8305D"/>
    <w:rsid w:val="00F8393C"/>
    <w:rsid w:val="00F86D52"/>
    <w:rsid w:val="00F87ECF"/>
    <w:rsid w:val="00F927CE"/>
    <w:rsid w:val="00F97601"/>
    <w:rsid w:val="00FA1F74"/>
    <w:rsid w:val="00FA3D04"/>
    <w:rsid w:val="00FA4D16"/>
    <w:rsid w:val="00FA716E"/>
    <w:rsid w:val="00FB4F4B"/>
    <w:rsid w:val="00FB66DC"/>
    <w:rsid w:val="00FB7001"/>
    <w:rsid w:val="00FC10EC"/>
    <w:rsid w:val="00FC3653"/>
    <w:rsid w:val="00FC3EFA"/>
    <w:rsid w:val="00FC4C5C"/>
    <w:rsid w:val="00FC59E6"/>
    <w:rsid w:val="00FD38F2"/>
    <w:rsid w:val="00FE497E"/>
    <w:rsid w:val="00FE79C9"/>
    <w:rsid w:val="00FF03E8"/>
    <w:rsid w:val="00FF4538"/>
    <w:rsid w:val="00FF4C8D"/>
    <w:rsid w:val="00FF5043"/>
    <w:rsid w:val="00FF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00F0"/>
  <w15:chartTrackingRefBased/>
  <w15:docId w15:val="{BF704C70-CDE2-46C5-9177-CA076E47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ing1">
    <w:name w:val="Paper - Heading 1"/>
    <w:basedOn w:val="Heading1"/>
    <w:link w:val="Paper-Heading1Char"/>
    <w:qFormat/>
    <w:rsid w:val="00614426"/>
    <w:pPr>
      <w:spacing w:after="240"/>
    </w:pPr>
    <w:rPr>
      <w:b/>
      <w:u w:val="single"/>
    </w:rPr>
  </w:style>
  <w:style w:type="character" w:customStyle="1" w:styleId="Paper-Heading1Char">
    <w:name w:val="Paper - Heading 1 Char"/>
    <w:basedOn w:val="Heading1Char"/>
    <w:link w:val="Paper-Heading1"/>
    <w:rsid w:val="00614426"/>
    <w:rPr>
      <w:rFonts w:asciiTheme="majorHAnsi" w:eastAsiaTheme="majorEastAsia" w:hAnsiTheme="majorHAnsi" w:cstheme="majorBidi"/>
      <w:b/>
      <w:color w:val="2E74B5" w:themeColor="accent1" w:themeShade="BF"/>
      <w:sz w:val="32"/>
      <w:szCs w:val="32"/>
      <w:u w:val="single"/>
    </w:rPr>
  </w:style>
  <w:style w:type="character" w:customStyle="1" w:styleId="Heading1Char">
    <w:name w:val="Heading 1 Char"/>
    <w:basedOn w:val="DefaultParagraphFont"/>
    <w:link w:val="Heading1"/>
    <w:uiPriority w:val="9"/>
    <w:rsid w:val="006144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4426"/>
    <w:pPr>
      <w:ind w:left="720"/>
      <w:contextualSpacing/>
    </w:pPr>
  </w:style>
  <w:style w:type="paragraph" w:styleId="BalloonText">
    <w:name w:val="Balloon Text"/>
    <w:basedOn w:val="Normal"/>
    <w:link w:val="BalloonTextChar"/>
    <w:uiPriority w:val="99"/>
    <w:semiHidden/>
    <w:unhideWhenUsed/>
    <w:rsid w:val="00CD04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046E"/>
    <w:rPr>
      <w:rFonts w:ascii="Times New Roman" w:hAnsi="Times New Roman" w:cs="Times New Roman"/>
      <w:sz w:val="18"/>
      <w:szCs w:val="18"/>
    </w:rPr>
  </w:style>
  <w:style w:type="character" w:styleId="Hyperlink">
    <w:name w:val="Hyperlink"/>
    <w:basedOn w:val="DefaultParagraphFont"/>
    <w:uiPriority w:val="99"/>
    <w:unhideWhenUsed/>
    <w:rsid w:val="009C4FCD"/>
    <w:rPr>
      <w:color w:val="0563C1" w:themeColor="hyperlink"/>
      <w:u w:val="single"/>
    </w:rPr>
  </w:style>
  <w:style w:type="table" w:styleId="PlainTable2">
    <w:name w:val="Plain Table 2"/>
    <w:basedOn w:val="TableNormal"/>
    <w:uiPriority w:val="42"/>
    <w:rsid w:val="006F229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911163"/>
    <w:rPr>
      <w:sz w:val="16"/>
      <w:szCs w:val="16"/>
    </w:rPr>
  </w:style>
  <w:style w:type="paragraph" w:styleId="CommentText">
    <w:name w:val="annotation text"/>
    <w:basedOn w:val="Normal"/>
    <w:link w:val="CommentTextChar"/>
    <w:uiPriority w:val="99"/>
    <w:semiHidden/>
    <w:unhideWhenUsed/>
    <w:rsid w:val="00911163"/>
    <w:pPr>
      <w:spacing w:line="240" w:lineRule="auto"/>
    </w:pPr>
    <w:rPr>
      <w:sz w:val="20"/>
      <w:szCs w:val="20"/>
    </w:rPr>
  </w:style>
  <w:style w:type="character" w:customStyle="1" w:styleId="CommentTextChar">
    <w:name w:val="Comment Text Char"/>
    <w:basedOn w:val="DefaultParagraphFont"/>
    <w:link w:val="CommentText"/>
    <w:uiPriority w:val="99"/>
    <w:semiHidden/>
    <w:rsid w:val="00911163"/>
    <w:rPr>
      <w:sz w:val="20"/>
      <w:szCs w:val="20"/>
    </w:rPr>
  </w:style>
  <w:style w:type="paragraph" w:styleId="CommentSubject">
    <w:name w:val="annotation subject"/>
    <w:basedOn w:val="CommentText"/>
    <w:next w:val="CommentText"/>
    <w:link w:val="CommentSubjectChar"/>
    <w:uiPriority w:val="99"/>
    <w:semiHidden/>
    <w:unhideWhenUsed/>
    <w:rsid w:val="00911163"/>
    <w:rPr>
      <w:b/>
      <w:bCs/>
    </w:rPr>
  </w:style>
  <w:style w:type="character" w:customStyle="1" w:styleId="CommentSubjectChar">
    <w:name w:val="Comment Subject Char"/>
    <w:basedOn w:val="CommentTextChar"/>
    <w:link w:val="CommentSubject"/>
    <w:uiPriority w:val="99"/>
    <w:semiHidden/>
    <w:rsid w:val="00911163"/>
    <w:rPr>
      <w:b/>
      <w:bCs/>
      <w:sz w:val="20"/>
      <w:szCs w:val="20"/>
    </w:rPr>
  </w:style>
  <w:style w:type="paragraph" w:styleId="NoSpacing">
    <w:name w:val="No Spacing"/>
    <w:link w:val="NoSpacingChar"/>
    <w:uiPriority w:val="1"/>
    <w:qFormat/>
    <w:rsid w:val="002640E3"/>
    <w:pPr>
      <w:spacing w:after="0" w:line="240" w:lineRule="auto"/>
    </w:pPr>
    <w:rPr>
      <w:rFonts w:eastAsiaTheme="minorEastAsia"/>
    </w:rPr>
  </w:style>
  <w:style w:type="character" w:customStyle="1" w:styleId="NoSpacingChar">
    <w:name w:val="No Spacing Char"/>
    <w:basedOn w:val="DefaultParagraphFont"/>
    <w:link w:val="NoSpacing"/>
    <w:uiPriority w:val="1"/>
    <w:rsid w:val="002640E3"/>
    <w:rPr>
      <w:rFonts w:eastAsiaTheme="minorEastAsia"/>
    </w:rPr>
  </w:style>
  <w:style w:type="character" w:styleId="PlaceholderText">
    <w:name w:val="Placeholder Text"/>
    <w:basedOn w:val="DefaultParagraphFont"/>
    <w:uiPriority w:val="99"/>
    <w:semiHidden/>
    <w:rsid w:val="008D7B89"/>
    <w:rPr>
      <w:color w:val="808080"/>
    </w:rPr>
  </w:style>
  <w:style w:type="paragraph" w:styleId="Header">
    <w:name w:val="header"/>
    <w:basedOn w:val="Normal"/>
    <w:link w:val="HeaderChar"/>
    <w:uiPriority w:val="99"/>
    <w:unhideWhenUsed/>
    <w:rsid w:val="0061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04A"/>
  </w:style>
  <w:style w:type="paragraph" w:styleId="Footer">
    <w:name w:val="footer"/>
    <w:basedOn w:val="Normal"/>
    <w:link w:val="FooterChar"/>
    <w:uiPriority w:val="99"/>
    <w:unhideWhenUsed/>
    <w:rsid w:val="0061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50495">
      <w:bodyDiv w:val="1"/>
      <w:marLeft w:val="0"/>
      <w:marRight w:val="0"/>
      <w:marTop w:val="0"/>
      <w:marBottom w:val="0"/>
      <w:divBdr>
        <w:top w:val="none" w:sz="0" w:space="0" w:color="auto"/>
        <w:left w:val="none" w:sz="0" w:space="0" w:color="auto"/>
        <w:bottom w:val="none" w:sz="0" w:space="0" w:color="auto"/>
        <w:right w:val="none" w:sz="0" w:space="0" w:color="auto"/>
      </w:divBdr>
    </w:div>
    <w:div w:id="814105687">
      <w:bodyDiv w:val="1"/>
      <w:marLeft w:val="0"/>
      <w:marRight w:val="0"/>
      <w:marTop w:val="0"/>
      <w:marBottom w:val="0"/>
      <w:divBdr>
        <w:top w:val="none" w:sz="0" w:space="0" w:color="auto"/>
        <w:left w:val="none" w:sz="0" w:space="0" w:color="auto"/>
        <w:bottom w:val="none" w:sz="0" w:space="0" w:color="auto"/>
        <w:right w:val="none" w:sz="0" w:space="0" w:color="auto"/>
      </w:divBdr>
    </w:div>
    <w:div w:id="9529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Natalie Le is an MSPH (Master of Science in Public Health) graduate from University of North Carolina at Chapel Hill
Sally C. Stearns is a professor in the Health and Policy Department at University of North Carolina at Chapel Hill </Abstract>
  <CompanyAddress/>
  <CompanyPhone/>
  <CompanyFax/>
  <CompanyEmail>We thank our colleague Justin Trogdon for his constructive comments and suggestions on the article.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B3564-9337-4113-9E5E-DE0405FE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datawatch:
REDUCTION IN UNINSURED RATE FOR SMALL-GROUP VERSUS LARGE-GROUP EMMPLOYEES post ACA</vt:lpstr>
    </vt:vector>
  </TitlesOfParts>
  <Company/>
  <LinksUpToDate>false</LinksUpToDate>
  <CharactersWithSpaces>25498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datawatch:
REDUCTION IN UNINSURED RATE FOR SMALL-GROUP VERSUS LARGE-GROUP EMMPLOYEES post ACA</dc:title>
  <dc:subject>Authors: Natalie Chan-Phuong Le, Sally C. Stearns</dc:subject>
  <dc:creator>Acknowledgement</dc:creator>
  <cp:keywords/>
  <dc:description/>
  <cp:lastModifiedBy>Natalie Le</cp:lastModifiedBy>
  <cp:revision>8</cp:revision>
  <dcterms:created xsi:type="dcterms:W3CDTF">2018-05-11T18:45:00Z</dcterms:created>
  <dcterms:modified xsi:type="dcterms:W3CDTF">2018-05-12T13:44:00Z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248454</vt:lpwstr>
  </property>
  <property fmtid="{D5CDD505-2E9C-101B-9397-08002B2CF9AE}" pid="3" name="ProjectId">
    <vt:lpwstr>-1</vt:lpwstr>
  </property>
  <property fmtid="{D5CDD505-2E9C-101B-9397-08002B2CF9AE}" pid="4" name="StyleId">
    <vt:lpwstr>http://www.zotero.org/styles/vancouver</vt:lpwstr>
  </property>
</Properties>
</file>