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4906517D" w14:textId="77777777" w:rsidR="00D93BDE" w:rsidRPr="002C06D7" w:rsidRDefault="00D93BDE" w:rsidP="002C06D7">
      <w:pPr>
        <w:keepNext/>
        <w:keepLines/>
        <w:spacing w:line="360" w:lineRule="auto"/>
        <w:contextualSpacing/>
        <w:jc w:val="both"/>
        <w:outlineLvl w:val="0"/>
        <w:rPr>
          <w:rFonts w:cs="Times New Roman"/>
          <w:b/>
          <w:szCs w:val="24"/>
        </w:rPr>
      </w:pPr>
      <w:r w:rsidRPr="000D11D6">
        <w:rPr>
          <w:rFonts w:cs="Times New Roman"/>
          <w:b/>
          <w:szCs w:val="24"/>
        </w:rPr>
        <w:t>1. I</w:t>
      </w:r>
      <w:r w:rsidRPr="002C06D7">
        <w:rPr>
          <w:rFonts w:cs="Times New Roman"/>
          <w:b/>
          <w:szCs w:val="24"/>
        </w:rPr>
        <w:t xml:space="preserve">ntroduction </w:t>
      </w:r>
    </w:p>
    <w:p w14:paraId="1271056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Although forensic practice and the results of numerous studies (e.g., Brewer &amp; Wells, 2011; </w:t>
      </w:r>
      <w:proofErr w:type="spellStart"/>
      <w:r w:rsidRPr="002C06D7">
        <w:rPr>
          <w:rFonts w:cs="Times New Roman"/>
          <w:szCs w:val="24"/>
        </w:rPr>
        <w:t>Lavis</w:t>
      </w:r>
      <w:proofErr w:type="spellEnd"/>
      <w:r w:rsidRPr="002C06D7">
        <w:rPr>
          <w:rFonts w:cs="Times New Roman"/>
          <w:szCs w:val="24"/>
        </w:rPr>
        <w:t xml:space="preserve"> &amp; Brewer, 2017; Luna &amp; Martín-</w:t>
      </w:r>
      <w:proofErr w:type="spellStart"/>
      <w:r w:rsidRPr="002C06D7">
        <w:rPr>
          <w:rFonts w:cs="Times New Roman"/>
          <w:szCs w:val="24"/>
        </w:rPr>
        <w:t>Luengo</w:t>
      </w:r>
      <w:proofErr w:type="spellEnd"/>
      <w:r w:rsidRPr="002C06D7">
        <w:rPr>
          <w:rFonts w:cs="Times New Roman"/>
          <w:szCs w:val="24"/>
        </w:rPr>
        <w:t>, 2012) show that the memory of eyewitnesses can be fallible, erroneous testimonies continue to be the leading cause of incorrect court judgments (Smith &amp; Cutler, 2013). Even witnesses convinced of the correctness of their own memories may misdescribe events they have observed (Wells &amp; Olson, 2003).</w:t>
      </w:r>
    </w:p>
    <w:p w14:paraId="14E8DD7E"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One source of such errors may be misinformation, i.e., incorrect information about an observed event that stems from various sources and reaches the witness before they testify about the event. The paradigm within which such phenomena are studied is called the misinformation effect (Loftus, Miller, &amp; Burns, 1978). In this paradigm, participants first are familarised with some original material e.g., a video clip. Then, after some time, they are presented with post-event material, such as a description of the original material that contains details that are inconsistent with the original material. After another time delay, the participants complete a final memory test concerning the original material. It is now well established that memory reports of misled participants are of lower quality than those of non-misled ones (for review, see Loftus, 2005).</w:t>
      </w:r>
    </w:p>
    <w:p w14:paraId="4485F088" w14:textId="0D37B8A8"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An important special case of the misinformation effect is memory conformity. In the context of eyewitness testimony, memory conformity can be defined as a situation in which the accuracy of a witness’s event testimony is reduced as a result of receiving misinformation from another witness watching the same event (Wright, Self, &amp; Justice, 2000). For instance, a witness, despite seeing a thief wearing a grey coat, testifies that the coat was brown as this was the information heard from a co-witness. In a typical experimental procedure in memory conformity studies, a pair of participants is acquainted with some original material, e.g.</w:t>
      </w:r>
      <w:r w:rsidR="00E939DE">
        <w:rPr>
          <w:rFonts w:cs="Times New Roman"/>
          <w:szCs w:val="24"/>
        </w:rPr>
        <w:t>,</w:t>
      </w:r>
      <w:r w:rsidRPr="002C06D7">
        <w:rPr>
          <w:rFonts w:cs="Times New Roman"/>
          <w:szCs w:val="24"/>
        </w:rPr>
        <w:t xml:space="preserve"> a movie depicting a crime. The material is identical for both participants except for certain details, which are termed original information (e.g.</w:t>
      </w:r>
      <w:r w:rsidR="00E939DE">
        <w:rPr>
          <w:rFonts w:cs="Times New Roman"/>
          <w:szCs w:val="24"/>
        </w:rPr>
        <w:t>,</w:t>
      </w:r>
      <w:r w:rsidRPr="002C06D7">
        <w:rPr>
          <w:rFonts w:cs="Times New Roman"/>
          <w:szCs w:val="24"/>
        </w:rPr>
        <w:t xml:space="preserve"> one person sees that the perpetrator flees in a silver car but the other sees a black car). Next, the pair discusses some of the dissimilar details. Such a discussion results in the co-witnesses providing misinformation to each other. Thus, misinformation is delivered during a social interaction. Ultimately, the participants undergo an individual </w:t>
      </w:r>
      <w:r w:rsidR="008238CD">
        <w:rPr>
          <w:rFonts w:cs="Times New Roman"/>
          <w:szCs w:val="24"/>
        </w:rPr>
        <w:t>memory</w:t>
      </w:r>
      <w:r w:rsidRPr="002C06D7">
        <w:rPr>
          <w:rFonts w:cs="Times New Roman"/>
          <w:szCs w:val="24"/>
        </w:rPr>
        <w:t xml:space="preserve"> test concerning all dissimilar details, both discussed and non-discussed. The findings of numerous pieces of research (e.g.</w:t>
      </w:r>
      <w:r w:rsidR="00E939DE">
        <w:rPr>
          <w:rFonts w:cs="Times New Roman"/>
          <w:szCs w:val="24"/>
        </w:rPr>
        <w:t>,</w:t>
      </w:r>
      <w:r w:rsidRPr="002C06D7">
        <w:rPr>
          <w:rFonts w:cs="Times New Roman"/>
          <w:szCs w:val="24"/>
        </w:rPr>
        <w:t xml:space="preserve"> French, Garry, &amp; Mori, 2008, 2011; Ito </w:t>
      </w:r>
      <w:r w:rsidRPr="002C06D7">
        <w:rPr>
          <w:rFonts w:cs="Times New Roman"/>
          <w:i/>
          <w:szCs w:val="24"/>
        </w:rPr>
        <w:t>et al</w:t>
      </w:r>
      <w:r w:rsidRPr="002C06D7">
        <w:rPr>
          <w:rFonts w:cs="Times New Roman"/>
          <w:szCs w:val="24"/>
        </w:rPr>
        <w:t>., 2019; Wright, Memon, Skagerberg, &amp; Gabbert, 2009) indicate that as a result of the discussion the participants’ responses often contain misinformation provided by the interlocutor instead of the observed original information.</w:t>
      </w:r>
    </w:p>
    <w:p w14:paraId="61696F5D"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lastRenderedPageBreak/>
        <w:t>Due to the serious consequences of inaccurate testimonies, research on methods of reducing the memory conformity effect is extremely important for the proper functioning of justice systems. The present research concerns such a problem: reducing susceptibility to memory conformity.</w:t>
      </w:r>
    </w:p>
    <w:p w14:paraId="24E23A73"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Research conducted so far in this area has not been very extensive. Three techniques that aim to reduce the memory conformity effect have been explored: (1) post-warning against misinformation (applied after the introduction of misinformation; Bodner, </w:t>
      </w:r>
      <w:proofErr w:type="spellStart"/>
      <w:r w:rsidRPr="002C06D7">
        <w:rPr>
          <w:rFonts w:cs="Times New Roman"/>
          <w:szCs w:val="24"/>
        </w:rPr>
        <w:t>Musch</w:t>
      </w:r>
      <w:proofErr w:type="spellEnd"/>
      <w:r w:rsidRPr="002C06D7">
        <w:rPr>
          <w:rFonts w:cs="Times New Roman"/>
          <w:szCs w:val="24"/>
        </w:rPr>
        <w:t xml:space="preserve">, &amp; Azad, 2009; Cadavid &amp; Luna, 2021; Meade &amp; Roediger, 2002; Paterson, Kemp, &amp; McIntyre, 2012; Paterson, Kemp, &amp; Ng, 2011); (2) reinforced self-affirmation (Kękuś </w:t>
      </w:r>
      <w:r w:rsidRPr="002C06D7">
        <w:rPr>
          <w:rFonts w:cs="Times New Roman"/>
          <w:i/>
          <w:szCs w:val="24"/>
        </w:rPr>
        <w:t>et al.</w:t>
      </w:r>
      <w:r w:rsidRPr="002C06D7">
        <w:rPr>
          <w:rFonts w:cs="Times New Roman"/>
          <w:szCs w:val="24"/>
        </w:rPr>
        <w:t>, 2020) and (3) cognitive interview (</w:t>
      </w:r>
      <w:proofErr w:type="spellStart"/>
      <w:r w:rsidRPr="002C06D7">
        <w:rPr>
          <w:rFonts w:cs="Times New Roman"/>
          <w:szCs w:val="24"/>
        </w:rPr>
        <w:t>Ginet</w:t>
      </w:r>
      <w:proofErr w:type="spellEnd"/>
      <w:r w:rsidRPr="002C06D7">
        <w:rPr>
          <w:rFonts w:cs="Times New Roman"/>
          <w:szCs w:val="24"/>
        </w:rPr>
        <w:t xml:space="preserve">, </w:t>
      </w:r>
      <w:proofErr w:type="spellStart"/>
      <w:r w:rsidRPr="002C06D7">
        <w:rPr>
          <w:rFonts w:cs="Times New Roman"/>
          <w:szCs w:val="24"/>
        </w:rPr>
        <w:t>Chakroun</w:t>
      </w:r>
      <w:proofErr w:type="spellEnd"/>
      <w:r w:rsidRPr="002C06D7">
        <w:rPr>
          <w:rFonts w:cs="Times New Roman"/>
          <w:szCs w:val="24"/>
        </w:rPr>
        <w:t xml:space="preserve">, </w:t>
      </w:r>
      <w:proofErr w:type="spellStart"/>
      <w:r w:rsidRPr="002C06D7">
        <w:rPr>
          <w:rFonts w:cs="Times New Roman"/>
          <w:szCs w:val="24"/>
        </w:rPr>
        <w:t>Colomb</w:t>
      </w:r>
      <w:proofErr w:type="spellEnd"/>
      <w:r w:rsidRPr="002C06D7">
        <w:rPr>
          <w:rFonts w:cs="Times New Roman"/>
          <w:szCs w:val="24"/>
        </w:rPr>
        <w:t xml:space="preserve">, &amp; </w:t>
      </w:r>
      <w:proofErr w:type="spellStart"/>
      <w:r w:rsidRPr="002C06D7">
        <w:rPr>
          <w:rFonts w:cs="Times New Roman"/>
          <w:szCs w:val="24"/>
        </w:rPr>
        <w:t>Verkampt</w:t>
      </w:r>
      <w:proofErr w:type="spellEnd"/>
      <w:r w:rsidRPr="002C06D7">
        <w:rPr>
          <w:rFonts w:cs="Times New Roman"/>
          <w:szCs w:val="24"/>
        </w:rPr>
        <w:t>, 2019). In order to present the state of the art research, the results of these studies will be briefly discussed.</w:t>
      </w:r>
    </w:p>
    <w:p w14:paraId="15E90454"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A series of studies conducted by Paterson </w:t>
      </w:r>
      <w:r w:rsidRPr="002C06D7">
        <w:rPr>
          <w:rFonts w:cs="Times New Roman"/>
          <w:i/>
          <w:szCs w:val="24"/>
        </w:rPr>
        <w:t>et al.</w:t>
      </w:r>
      <w:r w:rsidRPr="002C06D7">
        <w:rPr>
          <w:rFonts w:cs="Times New Roman"/>
          <w:szCs w:val="24"/>
        </w:rPr>
        <w:t xml:space="preserve"> (2011) and Paterson </w:t>
      </w:r>
      <w:r w:rsidRPr="002C06D7">
        <w:rPr>
          <w:rFonts w:cs="Times New Roman"/>
          <w:i/>
          <w:szCs w:val="24"/>
        </w:rPr>
        <w:t>et al</w:t>
      </w:r>
      <w:r w:rsidRPr="002C06D7">
        <w:rPr>
          <w:rFonts w:cs="Times New Roman"/>
          <w:szCs w:val="24"/>
        </w:rPr>
        <w:t xml:space="preserve">. (2012) found that warning a witness that an interlocutor may be misleading them did not protect against memory conformity. However, in other studies (Bodner </w:t>
      </w:r>
      <w:r w:rsidRPr="002C06D7">
        <w:rPr>
          <w:rFonts w:cs="Times New Roman"/>
          <w:i/>
          <w:szCs w:val="24"/>
        </w:rPr>
        <w:t>et al</w:t>
      </w:r>
      <w:r w:rsidRPr="002C06D7">
        <w:rPr>
          <w:rFonts w:cs="Times New Roman"/>
          <w:szCs w:val="24"/>
        </w:rPr>
        <w:t xml:space="preserve">., 2009; Meade &amp; Roediger, 2002), it was demonstrated that warning can significantly decrease, but not completely eliminate, the number of mistakes. Similarly, Cadavid and Luna (2021) found that an extensive warning reduced the memory conformity effect. There are also two studies of this kind involving children; in the first (Price &amp; Connolly, 2004), children were engaged in play sessions and afterwards they were given a biasing interview. ‘Logic of opposition’ instructions, i.e., informing the children that “the reviewer from yesterday accidentally said some things that were wrong”, were applied. A warning of this kind did not prevent the children from reporting the misinformation. In another study (Principe, Haines, Adkins, &amp; </w:t>
      </w:r>
      <w:proofErr w:type="spellStart"/>
      <w:r w:rsidRPr="002C06D7">
        <w:rPr>
          <w:rFonts w:cs="Times New Roman"/>
          <w:szCs w:val="24"/>
        </w:rPr>
        <w:t>Guiliano</w:t>
      </w:r>
      <w:proofErr w:type="spellEnd"/>
      <w:r w:rsidRPr="002C06D7">
        <w:rPr>
          <w:rFonts w:cs="Times New Roman"/>
          <w:szCs w:val="24"/>
        </w:rPr>
        <w:t xml:space="preserve">, 2010), a warning against co-witness misinformation reduced suggestibility in children, at least in some experimental conditions. </w:t>
      </w:r>
    </w:p>
    <w:p w14:paraId="2757C6FC"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discrepancy of results concerning warning in the context of memory conformity is quite similar to the respective discrepancy in research concerning the classic misinformation effect, in which misinformation is delivered impersonally. Blank and Launay (2014) presented a meta-analysis of the effects of post-warning on various forms of the misinformation effect and concluded that although warning was effective in general, its efficacy differed substantially among experiments. Blank and Launay (2014) proposed that such discrepancies may be due to the fact that different warnings were actually applied. Blank and Launay (2014) claimed that warnings can be distinguished along three dimensions: their specificity, the use (or not) of education, and the presence of social discrediting of the misinformation source. The first dimension relates to the level of specificity of the incidence and the source and nature of the </w:t>
      </w:r>
      <w:r w:rsidRPr="002C06D7">
        <w:rPr>
          <w:rFonts w:cs="Times New Roman"/>
          <w:szCs w:val="24"/>
        </w:rPr>
        <w:lastRenderedPageBreak/>
        <w:t>post-event misinformation conveyed by the warning. Education consists in specifying that misinformation was present and explaining why it was introduced. For example, in some experiments, warning in the form of ‘enlightenment’ was applied where the participants were fully informed why a deception was applied (</w:t>
      </w:r>
      <w:r w:rsidRPr="002C06D7">
        <w:rPr>
          <w:rFonts w:eastAsia="Times New Roman" w:cs="Times New Roman"/>
          <w:szCs w:val="24"/>
        </w:rPr>
        <w:t xml:space="preserve">Blank, 1998; </w:t>
      </w:r>
      <w:r w:rsidRPr="002C06D7">
        <w:rPr>
          <w:rFonts w:cs="Times New Roman"/>
          <w:szCs w:val="24"/>
        </w:rPr>
        <w:t xml:space="preserve">Oeberst and Blank, 2012). Also, social discrediting occurs when the credibility of the source that provided the post-event information is questioned by challenging the source’s competence and/or neutrality. Thus, not all warnings are ‘created equal’. The same may apply in the context of memory conformity. </w:t>
      </w:r>
    </w:p>
    <w:p w14:paraId="6D797B6C" w14:textId="2DB3C565"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all the aforementioned studies the warning was placed </w:t>
      </w:r>
      <w:r w:rsidRPr="002C06D7">
        <w:rPr>
          <w:rFonts w:cs="Times New Roman"/>
          <w:i/>
          <w:szCs w:val="24"/>
        </w:rPr>
        <w:t>after</w:t>
      </w:r>
      <w:r w:rsidRPr="002C06D7">
        <w:rPr>
          <w:rFonts w:cs="Times New Roman"/>
          <w:szCs w:val="24"/>
        </w:rPr>
        <w:t xml:space="preserve"> the collaborative recall (or after other means of introducing misinformation, in the meta-analysis by Blank and Launay, 2014). In some other studies concerning the misinformation effect (but not memory conformity) the warning was placed between exposing the original material and the post-event information, or even before the original information (e.g.</w:t>
      </w:r>
      <w:r w:rsidR="00E939DE">
        <w:rPr>
          <w:rFonts w:cs="Times New Roman"/>
          <w:szCs w:val="24"/>
        </w:rPr>
        <w:t>,</w:t>
      </w:r>
      <w:r w:rsidRPr="002C06D7">
        <w:rPr>
          <w:rFonts w:cs="Times New Roman"/>
          <w:szCs w:val="24"/>
        </w:rPr>
        <w:t xml:space="preserve"> Greene, Flynn, &amp; Loftus, 1982). In the present study we decided to place the warning after the collaborative recall (see the rationale for the research below).</w:t>
      </w:r>
    </w:p>
    <w:p w14:paraId="6880E22E"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second method studied in the context of reducing memory conformity is reinforced self-affirmation. This is a technique that enhances self-confidence, which has been repeatedly proven to be effective in reducing vulnerability to the classic misinformation effect (Szpitalak, 2012, 2015; Szpitalak, </w:t>
      </w:r>
      <w:proofErr w:type="spellStart"/>
      <w:r w:rsidRPr="002C06D7">
        <w:rPr>
          <w:rFonts w:cs="Times New Roman"/>
          <w:szCs w:val="24"/>
        </w:rPr>
        <w:t>Dukała</w:t>
      </w:r>
      <w:proofErr w:type="spellEnd"/>
      <w:r w:rsidRPr="002C06D7">
        <w:rPr>
          <w:rFonts w:cs="Times New Roman"/>
          <w:szCs w:val="24"/>
        </w:rPr>
        <w:t xml:space="preserve">, &amp; Polczyk, 2013; Szpitalak &amp; Polczyk, 2013, 2015, 2016, 2019a, b; Szpitalak &amp; Polczyk, 2021). However, in one experiment this technique did not statistically significantly reduce memory conformity (research connected with a registered report by Kękuś </w:t>
      </w:r>
      <w:r w:rsidRPr="002C06D7">
        <w:rPr>
          <w:rFonts w:cs="Times New Roman"/>
          <w:i/>
          <w:szCs w:val="24"/>
        </w:rPr>
        <w:t>et al.,</w:t>
      </w:r>
      <w:r w:rsidRPr="002C06D7">
        <w:rPr>
          <w:rFonts w:cs="Times New Roman"/>
          <w:szCs w:val="24"/>
        </w:rPr>
        <w:t xml:space="preserve"> 2020). </w:t>
      </w:r>
    </w:p>
    <w:p w14:paraId="3371F9F8"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The third technique that has been analyzed in the context of memory conformity is cognitive interview (</w:t>
      </w:r>
      <w:proofErr w:type="spellStart"/>
      <w:r w:rsidRPr="002C06D7">
        <w:rPr>
          <w:rFonts w:cs="Times New Roman"/>
          <w:szCs w:val="24"/>
        </w:rPr>
        <w:t>Geiselman</w:t>
      </w:r>
      <w:proofErr w:type="spellEnd"/>
      <w:r w:rsidRPr="002C06D7">
        <w:rPr>
          <w:rFonts w:cs="Times New Roman"/>
          <w:szCs w:val="24"/>
        </w:rPr>
        <w:t xml:space="preserve">, 1984; </w:t>
      </w:r>
      <w:proofErr w:type="spellStart"/>
      <w:r w:rsidRPr="002C06D7">
        <w:rPr>
          <w:rFonts w:cs="Times New Roman"/>
          <w:szCs w:val="24"/>
        </w:rPr>
        <w:t>Ginet</w:t>
      </w:r>
      <w:proofErr w:type="spellEnd"/>
      <w:r w:rsidRPr="002C06D7">
        <w:rPr>
          <w:rFonts w:cs="Times New Roman"/>
          <w:szCs w:val="24"/>
        </w:rPr>
        <w:t xml:space="preserve"> </w:t>
      </w:r>
      <w:r w:rsidRPr="002C06D7">
        <w:rPr>
          <w:rFonts w:cs="Times New Roman"/>
          <w:i/>
          <w:szCs w:val="24"/>
        </w:rPr>
        <w:t>et al.</w:t>
      </w:r>
      <w:r w:rsidRPr="002C06D7">
        <w:rPr>
          <w:rFonts w:cs="Times New Roman"/>
          <w:szCs w:val="24"/>
        </w:rPr>
        <w:t>, 2019), but its effectiveness in eliminating the memory conformity effect has not been demonstrated. In the context of the classic misinformation effect, the results concerning cognitive interview and a related technique, Self-Administered Interview, have been quite inconsistent (</w:t>
      </w:r>
      <w:proofErr w:type="spellStart"/>
      <w:r w:rsidRPr="002C06D7">
        <w:rPr>
          <w:rFonts w:cs="Times New Roman"/>
          <w:szCs w:val="24"/>
        </w:rPr>
        <w:t>Centofanti</w:t>
      </w:r>
      <w:proofErr w:type="spellEnd"/>
      <w:r w:rsidRPr="002C06D7">
        <w:rPr>
          <w:rFonts w:cs="Times New Roman"/>
          <w:szCs w:val="24"/>
        </w:rPr>
        <w:t xml:space="preserve"> and Reece, 2006; Gabbert, Hope, Fisher, &amp; Jamieson, 2012; Holliday and </w:t>
      </w:r>
      <w:proofErr w:type="spellStart"/>
      <w:r w:rsidRPr="002C06D7">
        <w:rPr>
          <w:rFonts w:cs="Times New Roman"/>
          <w:szCs w:val="24"/>
        </w:rPr>
        <w:t>Albon</w:t>
      </w:r>
      <w:proofErr w:type="spellEnd"/>
      <w:r w:rsidRPr="002C06D7">
        <w:rPr>
          <w:rFonts w:cs="Times New Roman"/>
          <w:szCs w:val="24"/>
        </w:rPr>
        <w:t xml:space="preserve">, 2004; Holliday </w:t>
      </w:r>
      <w:r w:rsidRPr="002C06D7">
        <w:rPr>
          <w:rFonts w:cs="Times New Roman"/>
          <w:i/>
          <w:iCs/>
          <w:szCs w:val="24"/>
        </w:rPr>
        <w:t xml:space="preserve">et al., </w:t>
      </w:r>
      <w:r w:rsidRPr="002C06D7">
        <w:rPr>
          <w:rFonts w:cs="Times New Roman"/>
          <w:szCs w:val="24"/>
        </w:rPr>
        <w:t xml:space="preserve">2012; Paterson, </w:t>
      </w:r>
      <w:proofErr w:type="spellStart"/>
      <w:r w:rsidRPr="002C06D7">
        <w:rPr>
          <w:rFonts w:cs="Times New Roman"/>
          <w:szCs w:val="24"/>
        </w:rPr>
        <w:t>Eijkemans</w:t>
      </w:r>
      <w:proofErr w:type="spellEnd"/>
      <w:r w:rsidRPr="002C06D7">
        <w:rPr>
          <w:rFonts w:cs="Times New Roman"/>
          <w:szCs w:val="24"/>
        </w:rPr>
        <w:t xml:space="preserve">, &amp; Kemp, 2015; LaPaglia </w:t>
      </w:r>
      <w:r w:rsidRPr="002C06D7">
        <w:rPr>
          <w:rFonts w:cs="Times New Roman"/>
          <w:i/>
          <w:iCs/>
          <w:szCs w:val="24"/>
        </w:rPr>
        <w:t>et al.,</w:t>
      </w:r>
      <w:r w:rsidRPr="002C06D7">
        <w:rPr>
          <w:rFonts w:cs="Times New Roman"/>
          <w:szCs w:val="24"/>
        </w:rPr>
        <w:t xml:space="preserve"> 2014). </w:t>
      </w:r>
    </w:p>
    <w:p w14:paraId="368F7137" w14:textId="77777777" w:rsidR="00D93BDE" w:rsidRPr="002C06D7" w:rsidRDefault="00D93BDE" w:rsidP="002C06D7">
      <w:pPr>
        <w:spacing w:line="360" w:lineRule="auto"/>
        <w:ind w:left="57" w:right="6" w:firstLine="567"/>
        <w:contextualSpacing/>
        <w:jc w:val="both"/>
        <w:rPr>
          <w:rFonts w:cs="Times New Roman"/>
          <w:szCs w:val="24"/>
        </w:rPr>
      </w:pPr>
      <w:bookmarkStart w:id="0" w:name="_Hlk111848695"/>
      <w:r w:rsidRPr="002C06D7">
        <w:rPr>
          <w:rFonts w:cs="Times New Roman"/>
          <w:szCs w:val="24"/>
        </w:rPr>
        <w:t xml:space="preserve">In view of the aforementioned studies, it is impossible to unequivocally indicate a technique that is effective in reducing the memory conformity effect: warning produced inconsistent results, while cognitive interview and reinforced self-affirmation were not effective (although they were effective in the context of the classic misinformation effect). Therefore, in the present paper we decided to explore three new ways of reducing the memory conformity effect: (1) extended warning (which in intention is different from the warnings </w:t>
      </w:r>
      <w:r w:rsidRPr="002C06D7">
        <w:rPr>
          <w:rFonts w:cs="Times New Roman"/>
          <w:szCs w:val="24"/>
        </w:rPr>
        <w:lastRenderedPageBreak/>
        <w:t xml:space="preserve">usually applied in existing research as regards its length, detail and breadth); (2) providing detailed knowledge about the fallibility of memory; (3) demonstrating the vulnerability of memory and motivating participants to overcome it. </w:t>
      </w:r>
    </w:p>
    <w:bookmarkEnd w:id="0"/>
    <w:p w14:paraId="37F727D1" w14:textId="394A63CE"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planned techniques and the rationale for them are presented in detail in the next section. In general, our hypotheses can be justified by making some assumptions regarding the possible mechanisms of memory conformity. Wright et al. (2009) discussed three processes that may lead to the memory conformity effect: a) normative impact, which is yielding to someone in order to avoid social rejection; b) informational influence, which is yielding to someone in the belief that they are right; c) false memories, which involve actual changes and errors in memory per se. Given the fact that the individual memory test does not include any element of direct interpersonal pressure, we assumed that the normative impact explanation of the memory conformity effect is completely ruled out in this study: participants work on their own and do not compare their answers with anybody, therefore there is no cost of disagreeing. As for false memories, they are possible on the basis of the reasoning and data presented by Wright et al. (2009). In this case we do not expect that our proposed methods will make a memory report less contingent on false information provided by a co-witness. Our hypotheses are related mainly to informational influence, in the case of which a participant considers the relative likelihood of the other person being correct versus themselves being wrong (Wright et al., 2009). This, naturally, relates only to participants who are aware of the inconsistencies between the event and the content of the answers provided by the co-witness. In other words, we are speaking about participants who correctly monitor both the source of information and its content. Such participants may choose one of two options: answer in accordance with what they themselves remember about the event (this would be the correct answer) or base their answers on what their partner said (which happens to be the wrong answer). </w:t>
      </w:r>
      <w:r w:rsidRPr="002C06D7">
        <w:rPr>
          <w:rFonts w:cs="Times New Roman"/>
          <w:i/>
          <w:szCs w:val="24"/>
        </w:rPr>
      </w:r>
      <w:r w:rsidRPr="002C06D7">
        <w:rPr>
          <w:rFonts w:cs="Times New Roman"/>
          <w:szCs w:val="24"/>
        </w:rPr>
      </w:r>
      <w:r w:rsidRPr="002C06D7">
        <w:rPr>
          <w:rFonts w:cs="Times New Roman"/>
          <w:i/>
          <w:szCs w:val="24"/>
        </w:rPr>
      </w:r>
      <w:r w:rsidRPr="002C06D7">
        <w:rPr>
          <w:rFonts w:cs="Times New Roman"/>
          <w:szCs w:val="24"/>
        </w:rPr>
      </w:r>
      <w:r w:rsidR="008238CD">
        <w:rPr>
          <w:rFonts w:cs="Times New Roman"/>
          <w:szCs w:val="24"/>
        </w:rPr>
      </w:r>
      <w:r w:rsidR="008238CD" w:rsidRPr="002C06D7">
        <w:rPr>
          <w:rFonts w:cs="Times New Roman"/>
          <w:szCs w:val="24"/>
        </w:rPr>
      </w:r>
      <w:r w:rsidRPr="002C06D7">
        <w:rPr>
          <w:rFonts w:cs="Times New Roman"/>
          <w:szCs w:val="24"/>
        </w:rPr>
      </w:r>
      <w:r w:rsidRPr="002C06D7">
        <w:rPr>
          <w:rFonts w:cs="Times New Roman"/>
          <w:i/>
          <w:szCs w:val="24"/>
        </w:rPr>
      </w:r>
      <w:r w:rsidRPr="002C06D7">
        <w:rPr>
          <w:rFonts w:cs="Times New Roman"/>
          <w:szCs w:val="24"/>
        </w:rPr>
      </w:r>
      <w:r w:rsidRPr="002C06D7">
        <w:rPr>
          <w:rFonts w:cs="Times New Roman"/>
          <w:i/>
          <w:szCs w:val="24"/>
        </w:rPr>
      </w:r>
      <w:r w:rsidRPr="002C06D7">
        <w:rPr>
          <w:rFonts w:cs="Times New Roman"/>
          <w:szCs w:val="24"/>
        </w:rPr>
      </w:r>
      <w:r w:rsidRPr="002C06D7">
        <w:rPr>
          <w:rFonts w:cs="Times New Roman"/>
          <w:b/>
          <w:szCs w:val="24"/>
        </w:rPr>
      </w:r>
    </w:p>
    <w:p w14:paraId="1FBF58CA" w14:textId="77777777" w:rsidR="00D93BDE" w:rsidRPr="002C06D7" w:rsidRDefault="00D93BDE" w:rsidP="002C06D7">
      <w:pPr>
        <w:spacing w:line="360" w:lineRule="auto"/>
        <w:ind w:right="5"/>
        <w:contextualSpacing/>
        <w:jc w:val="both"/>
        <w:rPr>
          <w:rFonts w:cs="Times New Roman"/>
          <w:szCs w:val="24"/>
        </w:rPr>
      </w:pPr>
    </w:p>
    <w:p w14:paraId="0ABE0B63" w14:textId="77777777" w:rsidR="00D93BDE" w:rsidRPr="002C06D7" w:rsidRDefault="00D93BDE" w:rsidP="002C06D7">
      <w:pPr>
        <w:spacing w:line="360" w:lineRule="auto"/>
        <w:ind w:right="5"/>
        <w:contextualSpacing/>
        <w:jc w:val="both"/>
        <w:rPr>
          <w:rFonts w:cs="Times New Roman"/>
          <w:szCs w:val="24"/>
        </w:rPr>
      </w:pPr>
      <w:r w:rsidRPr="002C06D7">
        <w:rPr>
          <w:rFonts w:cs="Times New Roman"/>
          <w:b/>
          <w:szCs w:val="24"/>
        </w:rPr>
        <w:t xml:space="preserve">1.1. The present study </w:t>
      </w:r>
    </w:p>
    <w:p w14:paraId="37C78BD0" w14:textId="11EB5422"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the present experiment, the innovative MORI technique (Manipulation of Overlapping Rivalrous Images; Mori, 2003, 2007) will be used to examine memory conformity. The MORI technique enables the simultaneous projection of two movie versions on the same screen. Each of the versions differs in terms of certain details, e.g., in one version the criminal checks the time on a wristwatch while in the other does so on a wall clock. Thanks to polarized glasses (which resemble ordinary sunglasses) that are worn by the pair of participants, each of them </w:t>
      </w:r>
      <w:r w:rsidRPr="002C06D7">
        <w:rPr>
          <w:rFonts w:cs="Times New Roman"/>
          <w:szCs w:val="24"/>
        </w:rPr>
        <w:lastRenderedPageBreak/>
        <w:t xml:space="preserve">sees a different movie version while being convinced that they are actually watching the same movie clip. Thus, the participants sit beside each other, look at the same screen, and are not aware that the other person is watching a different version. After watching the movie, the participants discuss half of the dissimilar details they have seen, therefore they introduce mutual misinformation. Finally, the participants complete the individual </w:t>
      </w:r>
      <w:r w:rsidR="008238CD">
        <w:rPr>
          <w:rFonts w:cs="Times New Roman"/>
          <w:szCs w:val="24"/>
        </w:rPr>
        <w:t>memory</w:t>
      </w:r>
      <w:r w:rsidR="008238CD" w:rsidRPr="002C06D7">
        <w:rPr>
          <w:rFonts w:cs="Times New Roman"/>
          <w:szCs w:val="24"/>
        </w:rPr>
        <w:t xml:space="preserve"> </w:t>
      </w:r>
      <w:r w:rsidRPr="002C06D7">
        <w:rPr>
          <w:rFonts w:cs="Times New Roman"/>
          <w:szCs w:val="24"/>
        </w:rPr>
        <w:t xml:space="preserve">test to compare the correctness of the answers to the questions about the discussed details (related to misinformation) with the correctness of the answers to the questions about the non-discussed details. The MORI technique is often applied in research on memory conformity (e.g., French, Garry, &amp; Mori, 2008, 2011; Garry </w:t>
      </w:r>
      <w:r w:rsidRPr="002C06D7">
        <w:rPr>
          <w:rFonts w:cs="Times New Roman"/>
          <w:i/>
          <w:iCs/>
          <w:szCs w:val="24"/>
        </w:rPr>
        <w:t>et al.,</w:t>
      </w:r>
      <w:r w:rsidRPr="002C06D7">
        <w:rPr>
          <w:rFonts w:cs="Times New Roman"/>
          <w:szCs w:val="24"/>
        </w:rPr>
        <w:t xml:space="preserve"> 2008; Hirokawa, </w:t>
      </w:r>
      <w:proofErr w:type="spellStart"/>
      <w:r w:rsidRPr="002C06D7">
        <w:rPr>
          <w:rFonts w:cs="Times New Roman"/>
          <w:szCs w:val="24"/>
        </w:rPr>
        <w:t>Matsuno</w:t>
      </w:r>
      <w:proofErr w:type="spellEnd"/>
      <w:r w:rsidRPr="002C06D7">
        <w:rPr>
          <w:rFonts w:cs="Times New Roman"/>
          <w:szCs w:val="24"/>
        </w:rPr>
        <w:t xml:space="preserve">, Mori, &amp; </w:t>
      </w:r>
      <w:proofErr w:type="spellStart"/>
      <w:r w:rsidRPr="002C06D7">
        <w:rPr>
          <w:rFonts w:cs="Times New Roman"/>
          <w:szCs w:val="24"/>
        </w:rPr>
        <w:t>Ukita</w:t>
      </w:r>
      <w:proofErr w:type="spellEnd"/>
      <w:r w:rsidRPr="002C06D7">
        <w:rPr>
          <w:rFonts w:cs="Times New Roman"/>
          <w:szCs w:val="24"/>
        </w:rPr>
        <w:t xml:space="preserve">, 2006; Ito </w:t>
      </w:r>
      <w:r w:rsidRPr="002C06D7">
        <w:rPr>
          <w:rFonts w:cs="Times New Roman"/>
          <w:i/>
          <w:iCs/>
          <w:szCs w:val="24"/>
        </w:rPr>
        <w:t>et al.,</w:t>
      </w:r>
      <w:r w:rsidRPr="002C06D7">
        <w:rPr>
          <w:rFonts w:cs="Times New Roman"/>
          <w:szCs w:val="24"/>
        </w:rPr>
        <w:t xml:space="preserve"> 2019; Mori &amp; </w:t>
      </w:r>
      <w:proofErr w:type="spellStart"/>
      <w:r w:rsidRPr="002C06D7">
        <w:rPr>
          <w:rFonts w:cs="Times New Roman"/>
          <w:szCs w:val="24"/>
        </w:rPr>
        <w:t>Kitabayashi</w:t>
      </w:r>
      <w:proofErr w:type="spellEnd"/>
      <w:r w:rsidRPr="002C06D7">
        <w:rPr>
          <w:rFonts w:cs="Times New Roman"/>
          <w:szCs w:val="24"/>
        </w:rPr>
        <w:t xml:space="preserve">, 2009; Mori &amp; Mori, 2008; Mori &amp; Takahashi, 2012; </w:t>
      </w:r>
      <w:proofErr w:type="spellStart"/>
      <w:r w:rsidRPr="002C06D7">
        <w:rPr>
          <w:rFonts w:cs="Times New Roman"/>
          <w:szCs w:val="24"/>
        </w:rPr>
        <w:t>Tainaka</w:t>
      </w:r>
      <w:proofErr w:type="spellEnd"/>
      <w:r w:rsidRPr="002C06D7">
        <w:rPr>
          <w:rFonts w:cs="Times New Roman"/>
          <w:szCs w:val="24"/>
        </w:rPr>
        <w:t>, Miyoshi, &amp; Mori, 2014). The main reason for its popularity is the fact that the MORI technique brings laboratory conditions closer to the real-life situations in which witnesses discuss a crime and are then individually interviewed by law enforcement officers.</w:t>
      </w:r>
    </w:p>
    <w:p w14:paraId="7D4B82E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main goal of this proposal is to analyze the efficacy </w:t>
      </w:r>
      <w:bookmarkStart w:id="1" w:name="_Hlk125226828"/>
      <w:r w:rsidRPr="002C06D7">
        <w:rPr>
          <w:rFonts w:cs="Times New Roman"/>
          <w:szCs w:val="24"/>
        </w:rPr>
        <w:t>of three possible methods of reducing memory conformity. These are (1)</w:t>
      </w:r>
      <w:r w:rsidRPr="002C06D7">
        <w:rPr>
          <w:rFonts w:cs="Times New Roman"/>
          <w:i/>
          <w:szCs w:val="24"/>
        </w:rPr>
        <w:t xml:space="preserve"> Extended warning</w:t>
      </w:r>
      <w:r w:rsidRPr="002C06D7">
        <w:rPr>
          <w:rFonts w:cs="Times New Roman"/>
          <w:szCs w:val="24"/>
        </w:rPr>
        <w:t xml:space="preserve"> against misinformation, (2) providing detailed knowledge about the fallibility of memory (we called this method </w:t>
      </w:r>
      <w:r w:rsidRPr="002C06D7">
        <w:rPr>
          <w:rFonts w:cs="Times New Roman"/>
          <w:i/>
          <w:szCs w:val="24"/>
        </w:rPr>
        <w:t>Education about memory</w:t>
      </w:r>
      <w:r w:rsidRPr="002C06D7">
        <w:rPr>
          <w:rFonts w:cs="Times New Roman"/>
          <w:szCs w:val="24"/>
        </w:rPr>
        <w:t xml:space="preserve">), and (3) demonstrating the vulnerability of memory and motivating subjects to overcome it (called </w:t>
      </w:r>
      <w:r w:rsidRPr="002C06D7">
        <w:rPr>
          <w:rFonts w:cs="Times New Roman"/>
          <w:i/>
          <w:szCs w:val="24"/>
        </w:rPr>
        <w:t>Demonstration and motivation</w:t>
      </w:r>
      <w:r w:rsidRPr="002C06D7">
        <w:rPr>
          <w:rFonts w:cs="Times New Roman"/>
          <w:szCs w:val="24"/>
        </w:rPr>
        <w:t xml:space="preserve">). </w:t>
      </w:r>
      <w:bookmarkEnd w:id="1"/>
      <w:r w:rsidRPr="002C06D7">
        <w:rPr>
          <w:rFonts w:cs="Times New Roman"/>
          <w:szCs w:val="24"/>
        </w:rPr>
        <w:t xml:space="preserve">Each method will be applied in a different group of subjects; the fourth group will be the control. </w:t>
      </w:r>
    </w:p>
    <w:p w14:paraId="54E9B7AD" w14:textId="77777777" w:rsidR="00D93BDE" w:rsidRPr="002C06D7" w:rsidRDefault="00D93BDE" w:rsidP="002C06D7">
      <w:pPr>
        <w:spacing w:line="360" w:lineRule="auto"/>
        <w:ind w:right="6"/>
        <w:contextualSpacing/>
        <w:jc w:val="both"/>
        <w:rPr>
          <w:rFonts w:cs="Times New Roman"/>
          <w:szCs w:val="24"/>
        </w:rPr>
      </w:pPr>
    </w:p>
    <w:p w14:paraId="25384715" w14:textId="77777777" w:rsidR="00D93BDE" w:rsidRPr="002C06D7" w:rsidRDefault="00D93BDE" w:rsidP="002C06D7">
      <w:pPr>
        <w:spacing w:line="360" w:lineRule="auto"/>
        <w:ind w:right="6"/>
        <w:contextualSpacing/>
        <w:jc w:val="both"/>
        <w:rPr>
          <w:rFonts w:eastAsia="Times New Roman" w:cs="Times New Roman"/>
          <w:b/>
          <w:bCs/>
          <w:szCs w:val="24"/>
        </w:rPr>
      </w:pPr>
      <w:r w:rsidRPr="002C06D7">
        <w:rPr>
          <w:rFonts w:cs="Times New Roman"/>
          <w:b/>
          <w:szCs w:val="24"/>
        </w:rPr>
        <w:t xml:space="preserve">1.1.1. </w:t>
      </w:r>
      <w:r w:rsidRPr="002C06D7">
        <w:rPr>
          <w:rFonts w:eastAsia="Times New Roman" w:cs="Times New Roman"/>
          <w:b/>
          <w:bCs/>
          <w:szCs w:val="24"/>
        </w:rPr>
        <w:t>Theoretical framework</w:t>
      </w:r>
    </w:p>
    <w:p w14:paraId="7B0BC54B" w14:textId="624159DA" w:rsidR="00D93BDE" w:rsidRPr="002C06D7" w:rsidRDefault="00D93BDE" w:rsidP="002C06D7">
      <w:pPr>
        <w:spacing w:line="360" w:lineRule="auto"/>
        <w:ind w:left="57" w:right="6" w:firstLine="567"/>
        <w:contextualSpacing/>
        <w:jc w:val="both"/>
        <w:rPr>
          <w:rFonts w:eastAsia="Times New Roman" w:cs="Times New Roman"/>
          <w:szCs w:val="24"/>
        </w:rPr>
      </w:pPr>
      <w:bookmarkStart w:id="2" w:name="_Hlk123603947"/>
      <w:r w:rsidRPr="002C06D7">
        <w:rPr>
          <w:rFonts w:eastAsia="Times New Roman" w:cs="Times New Roman"/>
          <w:szCs w:val="24"/>
        </w:rPr>
        <w:t>The main theoretical framework for our hypotheses was the Integrative Framework for Memory and Performance (IMP) proposed by Blank (1998). One of its basic assumptions is that the participants in experiments on the misinformation effect, while answering the questions in the final memory test, face a problem-solving task. This is because they often encounter discrepancies between the original information and the post-event information</w:t>
      </w:r>
      <w:bookmarkStart w:id="3" w:name="_Hlk123606920"/>
      <w:r w:rsidRPr="002C06D7">
        <w:rPr>
          <w:rFonts w:eastAsia="Times New Roman" w:cs="Times New Roman"/>
          <w:szCs w:val="24"/>
        </w:rPr>
        <w:t xml:space="preserve">. While trying to find a solution, the participants may assume a cooperative attitude and a consistency assumption, which means that participants are convinced of not being deliberately misled. </w:t>
      </w:r>
      <w:bookmarkEnd w:id="3"/>
      <w:r w:rsidRPr="002C06D7">
        <w:rPr>
          <w:rFonts w:eastAsia="Times New Roman" w:cs="Times New Roman"/>
          <w:szCs w:val="24"/>
        </w:rPr>
        <w:t>In other words, they may assume that the information presented in the post-event material is correct, that is, consistent with the information presented in the original material. As a result, participants may doubt their own memories and consequently answer according to the misinformation in the memory test. However, when the participants are warned about the possible discrepancies between the original and post-event materials and are enlightened i.e.</w:t>
      </w:r>
      <w:r w:rsidR="00E2668C">
        <w:rPr>
          <w:rFonts w:eastAsia="Times New Roman" w:cs="Times New Roman"/>
          <w:szCs w:val="24"/>
        </w:rPr>
        <w:t>,</w:t>
      </w:r>
      <w:r w:rsidRPr="002C06D7">
        <w:rPr>
          <w:rFonts w:eastAsia="Times New Roman" w:cs="Times New Roman"/>
          <w:szCs w:val="24"/>
        </w:rPr>
        <w:t xml:space="preserve"> informed about the true purpose of the deception, they no longer assume consistency, search </w:t>
      </w:r>
      <w:r w:rsidRPr="002C06D7">
        <w:rPr>
          <w:rFonts w:eastAsia="Times New Roman" w:cs="Times New Roman"/>
          <w:szCs w:val="24"/>
        </w:rPr>
        <w:lastRenderedPageBreak/>
        <w:t>their memory more thoroughly, and when they realize the discrepancies, they rely on their own memory, not on information from the post-event material.</w:t>
      </w:r>
    </w:p>
    <w:p w14:paraId="0D9CD831" w14:textId="283AFC32"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 xml:space="preserve">The IMP was developed in the context of the classic misinformation paradigm, in which the post-event information is delivered impersonally. However, similar processes may apply to the memory conformity paradigm. When a participant, while discussing the original material with their partner, is hearing something different from their own recollection, they may assume that the partner is right and they themselves are wrong. As a result, such participant may provide a wrong answer in the individual </w:t>
      </w:r>
      <w:r w:rsidR="008A1AA0">
        <w:rPr>
          <w:rFonts w:cs="Times New Roman"/>
          <w:szCs w:val="24"/>
        </w:rPr>
        <w:t>memory</w:t>
      </w:r>
      <w:r w:rsidR="008A1AA0" w:rsidRPr="002C06D7">
        <w:rPr>
          <w:rFonts w:eastAsia="Times New Roman" w:cs="Times New Roman"/>
          <w:szCs w:val="24"/>
        </w:rPr>
        <w:t xml:space="preserve"> </w:t>
      </w:r>
      <w:r w:rsidRPr="002C06D7">
        <w:rPr>
          <w:rFonts w:eastAsia="Times New Roman" w:cs="Times New Roman"/>
          <w:szCs w:val="24"/>
        </w:rPr>
        <w:t>test. However, if certain interventions are applied, destroying the consistency assumption, the participant who is aware of the discrepancies between their own memories and information provided by the partner, may start to trust their own recollections.</w:t>
      </w:r>
      <w:r w:rsidRPr="002C06D7">
        <w:rPr>
          <w:rFonts w:cs="Times New Roman"/>
          <w:szCs w:val="24"/>
        </w:rPr>
        <w:t xml:space="preserve"> </w:t>
      </w:r>
      <w:r w:rsidRPr="002C06D7">
        <w:rPr>
          <w:rFonts w:eastAsia="Times New Roman" w:cs="Times New Roman"/>
          <w:szCs w:val="24"/>
        </w:rPr>
        <w:t xml:space="preserve">In turn, it should increase the inclination to report in the individual </w:t>
      </w:r>
      <w:r w:rsidR="00C5489C">
        <w:rPr>
          <w:rFonts w:cs="Times New Roman"/>
          <w:szCs w:val="24"/>
        </w:rPr>
        <w:t>memory</w:t>
      </w:r>
      <w:r w:rsidR="00C5489C" w:rsidRPr="002C06D7">
        <w:rPr>
          <w:rFonts w:eastAsia="Times New Roman" w:cs="Times New Roman"/>
          <w:szCs w:val="24"/>
        </w:rPr>
        <w:t xml:space="preserve"> </w:t>
      </w:r>
      <w:r w:rsidRPr="002C06D7">
        <w:rPr>
          <w:rFonts w:eastAsia="Times New Roman" w:cs="Times New Roman"/>
          <w:szCs w:val="24"/>
        </w:rPr>
        <w:t>test information that conforms to one’s own memories.</w:t>
      </w:r>
    </w:p>
    <w:p w14:paraId="551E92B6" w14:textId="52C8C963"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From the above reasoning it follows that our</w:t>
      </w:r>
      <w:r w:rsidRPr="002C06D7">
        <w:rPr>
          <w:rFonts w:cs="Times New Roman"/>
          <w:szCs w:val="24"/>
        </w:rPr>
        <w:t xml:space="preserve"> </w:t>
      </w:r>
      <w:r w:rsidRPr="002C06D7">
        <w:rPr>
          <w:rFonts w:eastAsia="Times New Roman" w:cs="Times New Roman"/>
          <w:szCs w:val="24"/>
        </w:rPr>
        <w:t>methods of reducing the memory conformity effect are directed towards the participants who are aware of the discrepancy between both the original information and the misinformation obtained from the partner. In other words, our methods are expected to be effective in terms of informational influence, as discussed above (</w:t>
      </w:r>
      <w:r w:rsidRPr="002C06D7">
        <w:rPr>
          <w:rFonts w:cs="Times New Roman"/>
          <w:szCs w:val="24"/>
        </w:rPr>
        <w:t xml:space="preserve">Wright </w:t>
      </w:r>
      <w:r w:rsidRPr="002C06D7">
        <w:rPr>
          <w:rFonts w:cs="Times New Roman"/>
          <w:i/>
          <w:szCs w:val="24"/>
        </w:rPr>
        <w:t>et al</w:t>
      </w:r>
      <w:r w:rsidRPr="002C06D7">
        <w:rPr>
          <w:rFonts w:cs="Times New Roman"/>
          <w:szCs w:val="24"/>
        </w:rPr>
        <w:t xml:space="preserve">., 2009). </w:t>
      </w:r>
      <w:r w:rsidRPr="002C06D7">
        <w:rPr>
          <w:rFonts w:eastAsia="Times New Roman" w:cs="Times New Roman"/>
          <w:szCs w:val="24"/>
        </w:rPr>
        <w:t xml:space="preserve">If a person aware of discrepancies was notified of the sources of discrepancies before the individual </w:t>
      </w:r>
      <w:r w:rsidR="006752E0">
        <w:rPr>
          <w:rFonts w:cs="Times New Roman"/>
          <w:szCs w:val="24"/>
        </w:rPr>
        <w:t>memory</w:t>
      </w:r>
      <w:r w:rsidR="006752E0" w:rsidRPr="002C06D7">
        <w:rPr>
          <w:rFonts w:eastAsia="Times New Roman" w:cs="Times New Roman"/>
          <w:szCs w:val="24"/>
        </w:rPr>
        <w:t xml:space="preserve"> </w:t>
      </w:r>
      <w:r w:rsidRPr="002C06D7">
        <w:rPr>
          <w:rFonts w:eastAsia="Times New Roman" w:cs="Times New Roman"/>
          <w:szCs w:val="24"/>
        </w:rPr>
        <w:t>test, there is no reason why they should provide responses in line with the misinformation in that test. On the other hand, if a person who did not discover the discrepancies is notified of possible discrepancies, they do not know what they should avoid. Thus, we expect that effectiveness of our methods will be higher among people aware of discrepancies between the original information and misinformation than among those unaware of such discrepancies.</w:t>
      </w:r>
    </w:p>
    <w:p w14:paraId="10EF31D4" w14:textId="0020DF35"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The exact mechanisms hypothesized in the case of three methods of reducing memory conformity (i.e.</w:t>
      </w:r>
      <w:r w:rsidR="00E2668C">
        <w:rPr>
          <w:rFonts w:eastAsia="Times New Roman" w:cs="Times New Roman"/>
          <w:szCs w:val="24"/>
        </w:rPr>
        <w:t>,</w:t>
      </w:r>
      <w:r w:rsidRPr="002C06D7">
        <w:rPr>
          <w:rFonts w:eastAsia="Times New Roman" w:cs="Times New Roman"/>
          <w:szCs w:val="24"/>
        </w:rPr>
        <w:t xml:space="preserve"> </w:t>
      </w:r>
      <w:r w:rsidRPr="002C06D7">
        <w:rPr>
          <w:rFonts w:eastAsia="Times New Roman" w:cs="Times New Roman"/>
          <w:i/>
          <w:iCs/>
          <w:szCs w:val="24"/>
        </w:rPr>
        <w:t>Extended warning against misinformation</w:t>
      </w:r>
      <w:r w:rsidRPr="002C06D7">
        <w:rPr>
          <w:rFonts w:eastAsia="Times New Roman" w:cs="Times New Roman"/>
          <w:szCs w:val="24"/>
        </w:rPr>
        <w:t xml:space="preserve">, </w:t>
      </w:r>
      <w:r w:rsidRPr="002C06D7">
        <w:rPr>
          <w:rFonts w:eastAsia="Times New Roman" w:cs="Times New Roman"/>
          <w:i/>
          <w:iCs/>
          <w:szCs w:val="24"/>
        </w:rPr>
        <w:t>Education about memory</w:t>
      </w:r>
      <w:r w:rsidRPr="002C06D7">
        <w:rPr>
          <w:rFonts w:eastAsia="Times New Roman" w:cs="Times New Roman"/>
          <w:szCs w:val="24"/>
        </w:rPr>
        <w:t xml:space="preserve"> and </w:t>
      </w:r>
      <w:r w:rsidRPr="002C06D7">
        <w:rPr>
          <w:rFonts w:eastAsia="Times New Roman" w:cs="Times New Roman"/>
          <w:i/>
          <w:iCs/>
          <w:szCs w:val="24"/>
        </w:rPr>
        <w:t>Demonstration and motivation</w:t>
      </w:r>
      <w:r w:rsidRPr="002C06D7">
        <w:rPr>
          <w:rFonts w:eastAsia="Times New Roman" w:cs="Times New Roman"/>
          <w:szCs w:val="24"/>
        </w:rPr>
        <w:t>) are described below.</w:t>
      </w:r>
    </w:p>
    <w:bookmarkEnd w:id="2"/>
    <w:p w14:paraId="43574019" w14:textId="77777777" w:rsidR="00D93BDE" w:rsidRPr="002C06D7" w:rsidRDefault="00D93BDE" w:rsidP="002C06D7">
      <w:pPr>
        <w:spacing w:line="360" w:lineRule="auto"/>
        <w:contextualSpacing/>
        <w:jc w:val="both"/>
        <w:rPr>
          <w:rFonts w:eastAsia="Times New Roman" w:cs="Times New Roman"/>
          <w:szCs w:val="24"/>
        </w:rPr>
      </w:pPr>
      <w:r w:rsidRPr="002C06D7">
        <w:rPr>
          <w:rFonts w:eastAsia="Times New Roman" w:cs="Times New Roman"/>
          <w:szCs w:val="24"/>
        </w:rPr>
        <w:t xml:space="preserve"> </w:t>
      </w:r>
    </w:p>
    <w:p w14:paraId="0542CDC3" w14:textId="77777777" w:rsidR="00D93BDE" w:rsidRPr="002C06D7" w:rsidRDefault="00D93BDE" w:rsidP="002C06D7">
      <w:pPr>
        <w:keepNext/>
        <w:keepLines/>
        <w:spacing w:line="360" w:lineRule="auto"/>
        <w:contextualSpacing/>
        <w:jc w:val="both"/>
        <w:outlineLvl w:val="2"/>
        <w:rPr>
          <w:rFonts w:cs="Times New Roman"/>
          <w:szCs w:val="24"/>
        </w:rPr>
      </w:pPr>
      <w:r w:rsidRPr="002C06D7">
        <w:rPr>
          <w:rFonts w:eastAsia="Times New Roman" w:cs="Times New Roman"/>
          <w:b/>
          <w:szCs w:val="24"/>
        </w:rPr>
        <w:t xml:space="preserve">1.1.2. </w:t>
      </w:r>
      <w:r w:rsidRPr="002C06D7">
        <w:rPr>
          <w:rFonts w:cs="Times New Roman"/>
          <w:b/>
          <w:szCs w:val="24"/>
        </w:rPr>
        <w:t xml:space="preserve">Extended warning </w:t>
      </w:r>
    </w:p>
    <w:p w14:paraId="6EDC5AAC" w14:textId="4349ED66" w:rsidR="00D93BDE" w:rsidRPr="002C06D7" w:rsidRDefault="00D93BDE" w:rsidP="002C06D7">
      <w:pPr>
        <w:spacing w:line="360" w:lineRule="auto"/>
        <w:ind w:firstLine="567"/>
        <w:jc w:val="both"/>
        <w:rPr>
          <w:rFonts w:cs="Times New Roman"/>
          <w:szCs w:val="24"/>
        </w:rPr>
      </w:pPr>
      <w:r w:rsidRPr="002C06D7">
        <w:rPr>
          <w:rFonts w:cs="Times New Roman"/>
          <w:szCs w:val="24"/>
        </w:rPr>
        <w:t>In a typical experiment using the MORI technique there may be a lot of participants aware of the discrepancies i.e.</w:t>
      </w:r>
      <w:r w:rsidR="00E2668C">
        <w:rPr>
          <w:rFonts w:cs="Times New Roman"/>
          <w:szCs w:val="24"/>
        </w:rPr>
        <w:t>,</w:t>
      </w:r>
      <w:r w:rsidRPr="002C06D7">
        <w:rPr>
          <w:rFonts w:cs="Times New Roman"/>
          <w:szCs w:val="24"/>
        </w:rPr>
        <w:t xml:space="preserve"> who remember both given information from the movie and misinformation from the partner. As stated above, participants who noticed the discrepancies may doubt their own memories. As a result, in the individual </w:t>
      </w:r>
      <w:r w:rsidR="004A6B0A">
        <w:rPr>
          <w:rFonts w:cs="Times New Roman"/>
          <w:szCs w:val="24"/>
        </w:rPr>
        <w:t>memory</w:t>
      </w:r>
      <w:r w:rsidR="004A6B0A" w:rsidRPr="002C06D7">
        <w:rPr>
          <w:rFonts w:cs="Times New Roman"/>
          <w:szCs w:val="24"/>
        </w:rPr>
        <w:t xml:space="preserve"> </w:t>
      </w:r>
      <w:r w:rsidRPr="002C06D7">
        <w:rPr>
          <w:rFonts w:cs="Times New Roman"/>
          <w:szCs w:val="24"/>
        </w:rPr>
        <w:t>test they may provide an incorrect answer (i.e.</w:t>
      </w:r>
      <w:r w:rsidR="00E2668C">
        <w:rPr>
          <w:rFonts w:cs="Times New Roman"/>
          <w:szCs w:val="24"/>
        </w:rPr>
        <w:t>,</w:t>
      </w:r>
      <w:r w:rsidRPr="002C06D7">
        <w:rPr>
          <w:rFonts w:cs="Times New Roman"/>
          <w:szCs w:val="24"/>
        </w:rPr>
        <w:t xml:space="preserve"> answer in line with information obtained from the partner instead of answer in line with own memories). Extended warning, informing that the partner actually saw </w:t>
      </w:r>
      <w:r w:rsidRPr="002C06D7">
        <w:rPr>
          <w:rFonts w:cs="Times New Roman"/>
          <w:szCs w:val="24"/>
        </w:rPr>
        <w:lastRenderedPageBreak/>
        <w:t xml:space="preserve">a different version of the movie and informing why the deception was applied, should make the participants who are aware of discrepancies discard the consistency </w:t>
      </w:r>
      <w:r w:rsidRPr="002C06D7">
        <w:rPr>
          <w:rFonts w:eastAsia="Times New Roman" w:cs="Times New Roman"/>
          <w:szCs w:val="24"/>
        </w:rPr>
        <w:t>assumption</w:t>
      </w:r>
      <w:r w:rsidRPr="002C06D7">
        <w:rPr>
          <w:rFonts w:cs="Times New Roman"/>
          <w:szCs w:val="24"/>
        </w:rPr>
        <w:t xml:space="preserve"> and make them rely on their own correct memories.</w:t>
      </w:r>
    </w:p>
    <w:p w14:paraId="168F7877" w14:textId="77777777" w:rsidR="00D93BDE" w:rsidRPr="002C06D7" w:rsidRDefault="00D93BDE" w:rsidP="002C06D7">
      <w:pPr>
        <w:spacing w:line="360" w:lineRule="auto"/>
        <w:ind w:firstLine="567"/>
        <w:jc w:val="both"/>
        <w:rPr>
          <w:rFonts w:cs="Times New Roman"/>
          <w:szCs w:val="24"/>
        </w:rPr>
      </w:pPr>
      <w:r w:rsidRPr="002C06D7">
        <w:rPr>
          <w:rFonts w:cs="Times New Roman"/>
          <w:szCs w:val="24"/>
        </w:rPr>
        <w:t xml:space="preserve">As described in the Introduction, warning against misinformation can take different forms. In this proposal we decided to apply a warning that is as extensive as possible, in order to increase its efficacy. In particular, the following ideas were included (some of them were taken from </w:t>
      </w:r>
      <w:proofErr w:type="spellStart"/>
      <w:r w:rsidRPr="002C06D7">
        <w:rPr>
          <w:rFonts w:cs="Times New Roman"/>
          <w:szCs w:val="24"/>
        </w:rPr>
        <w:t>Brożek</w:t>
      </w:r>
      <w:proofErr w:type="spellEnd"/>
      <w:r w:rsidRPr="002C06D7">
        <w:rPr>
          <w:rFonts w:cs="Times New Roman"/>
          <w:szCs w:val="24"/>
        </w:rPr>
        <w:t>, 2009):</w:t>
      </w:r>
    </w:p>
    <w:p w14:paraId="190D2A00"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a clear warning that the partner might have been wrong during the collaborative recall;</w:t>
      </w:r>
    </w:p>
    <w:p w14:paraId="29110164"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xml:space="preserve">- an extensive lecture on the nature of the misinformation effect, with examples from research and known anecdotal examples; </w:t>
      </w:r>
    </w:p>
    <w:p w14:paraId="0C6F266F" w14:textId="77777777" w:rsidR="00D93BDE" w:rsidRPr="002C06D7" w:rsidRDefault="00D93BDE" w:rsidP="002C06D7">
      <w:pPr>
        <w:numPr>
          <w:ilvl w:val="0"/>
          <w:numId w:val="1"/>
        </w:numPr>
        <w:spacing w:line="360" w:lineRule="auto"/>
        <w:ind w:right="6" w:firstLine="567"/>
        <w:contextualSpacing/>
        <w:jc w:val="both"/>
        <w:rPr>
          <w:rFonts w:cs="Times New Roman"/>
          <w:szCs w:val="24"/>
        </w:rPr>
      </w:pPr>
      <w:r w:rsidRPr="002C06D7">
        <w:rPr>
          <w:rFonts w:cs="Times New Roman"/>
          <w:szCs w:val="24"/>
        </w:rPr>
        <w:t xml:space="preserve">information about the possibility of confusing sources of information, and encouragement to try to differentiate them by paying attention to where the information or memories came from; </w:t>
      </w:r>
    </w:p>
    <w:p w14:paraId="1F222048" w14:textId="77777777" w:rsidR="00D93BDE" w:rsidRPr="002C06D7" w:rsidRDefault="00D93BDE" w:rsidP="002C06D7">
      <w:pPr>
        <w:numPr>
          <w:ilvl w:val="0"/>
          <w:numId w:val="1"/>
        </w:numPr>
        <w:spacing w:line="360" w:lineRule="auto"/>
        <w:ind w:right="6" w:firstLine="567"/>
        <w:contextualSpacing/>
        <w:jc w:val="both"/>
        <w:rPr>
          <w:rFonts w:cs="Times New Roman"/>
          <w:szCs w:val="24"/>
        </w:rPr>
      </w:pPr>
      <w:r w:rsidRPr="002C06D7">
        <w:rPr>
          <w:rFonts w:cs="Times New Roman"/>
          <w:szCs w:val="24"/>
        </w:rPr>
        <w:t>information that many people do, in fact, remember the correct content (and source) of both the original material and the post-event information and decide to give answers consistent with external sources rather than their own memory simply because they do not trust it</w:t>
      </w:r>
      <w:r w:rsidRPr="002C06D7">
        <w:rPr>
          <w:rFonts w:eastAsia="Times New Roman" w:cs="Times New Roman"/>
          <w:szCs w:val="24"/>
        </w:rPr>
        <w:t>;</w:t>
      </w:r>
    </w:p>
    <w:p w14:paraId="7B3D2738" w14:textId="77777777" w:rsidR="00D93BDE" w:rsidRPr="002C06D7" w:rsidRDefault="00D93BDE" w:rsidP="002C06D7">
      <w:pPr>
        <w:pStyle w:val="Akapitzlist"/>
        <w:spacing w:line="360" w:lineRule="auto"/>
        <w:ind w:left="10" w:firstLine="567"/>
        <w:jc w:val="both"/>
        <w:rPr>
          <w:rFonts w:eastAsia="Times New Roman" w:cs="Times New Roman"/>
          <w:szCs w:val="24"/>
        </w:rPr>
      </w:pPr>
      <w:r w:rsidRPr="002C06D7">
        <w:rPr>
          <w:rFonts w:eastAsia="Times New Roman" w:cs="Times New Roman"/>
          <w:szCs w:val="24"/>
        </w:rPr>
        <w:t>- an enlightenment regarding the purpose of the deception.</w:t>
      </w:r>
    </w:p>
    <w:p w14:paraId="741690F8"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It has been assumed that as a result of giving such an extensive warning, participants would become more careful, alert, skeptical and cautious in their judgments (Ecker, Lewandowsky, Chang, &amp; Pillai, 2014; O’Sullivan &amp; Howe, 1995); this should make them more resistant to misinformation from a co-witness. Furthermore, we assumed that extensive information about the possibility of making source-monitoring errors will alert the participants and make them track information sources more carefully, thus making them commit errors less often. Also, as a result of the extended warning, participants may start to inspect the content of their memories more closely; this may increase the chance of detecting discrepancies between the original information and the misinformation from the co-witness. Although the awareness of discrepancies does not eliminate vulnerability to misinformation (Blank, 1998; Polczyk, 2007, 2017), it nevertheless reduces the tendency to give in to it (Tousignant, Hall, &amp; Loftus, 1986). Finally, we assumed that telling the participants that many people give wrong answers because of the lack of confidence in their own correct memories would make the participants more prone to rely on their own memories.</w:t>
      </w:r>
    </w:p>
    <w:p w14:paraId="20C45D3A" w14:textId="779A9C1D" w:rsidR="00D93BDE" w:rsidRPr="002C06D7" w:rsidRDefault="00D93BDE" w:rsidP="002C06D7">
      <w:pPr>
        <w:spacing w:line="360" w:lineRule="auto"/>
        <w:ind w:left="-15" w:right="6" w:firstLine="567"/>
        <w:contextualSpacing/>
        <w:jc w:val="both"/>
        <w:rPr>
          <w:rFonts w:eastAsia="Times New Roman" w:cs="Times New Roman"/>
          <w:szCs w:val="24"/>
        </w:rPr>
      </w:pPr>
      <w:r w:rsidRPr="002C06D7">
        <w:rPr>
          <w:rFonts w:cs="Times New Roman"/>
          <w:szCs w:val="24"/>
        </w:rPr>
        <w:t xml:space="preserve"> </w:t>
      </w:r>
      <w:r w:rsidRPr="002C06D7">
        <w:rPr>
          <w:rFonts w:eastAsia="Times New Roman" w:cs="Times New Roman"/>
          <w:szCs w:val="24"/>
        </w:rPr>
        <w:t xml:space="preserve">To sum up, we assumed that the extended warning would cause participants to abandon the consistency assumption, make them more alert to discrepancies between their memories and </w:t>
      </w:r>
      <w:r w:rsidRPr="002C06D7">
        <w:rPr>
          <w:rFonts w:eastAsia="Times New Roman" w:cs="Times New Roman"/>
          <w:szCs w:val="24"/>
        </w:rPr>
        <w:lastRenderedPageBreak/>
        <w:t xml:space="preserve">information provided by the partner, and consequently cause them to rely on their own knowledge while completing the individual </w:t>
      </w:r>
      <w:r w:rsidR="004A6B0A">
        <w:rPr>
          <w:rFonts w:cs="Times New Roman"/>
          <w:szCs w:val="24"/>
        </w:rPr>
        <w:t>memory</w:t>
      </w:r>
      <w:r w:rsidR="004A6B0A" w:rsidRPr="002C06D7">
        <w:rPr>
          <w:rFonts w:eastAsia="Times New Roman" w:cs="Times New Roman"/>
          <w:szCs w:val="24"/>
        </w:rPr>
        <w:t xml:space="preserve"> </w:t>
      </w:r>
      <w:r w:rsidRPr="002C06D7">
        <w:rPr>
          <w:rFonts w:eastAsia="Times New Roman" w:cs="Times New Roman"/>
          <w:szCs w:val="24"/>
        </w:rPr>
        <w:t>test.</w:t>
      </w:r>
    </w:p>
    <w:p w14:paraId="28393989"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xml:space="preserve">Of course, </w:t>
      </w:r>
      <w:r w:rsidRPr="002C06D7">
        <w:rPr>
          <w:rFonts w:eastAsia="Times New Roman" w:cs="Times New Roman"/>
          <w:szCs w:val="24"/>
        </w:rPr>
        <w:t xml:space="preserve">all </w:t>
      </w:r>
      <w:r w:rsidRPr="002C06D7">
        <w:rPr>
          <w:rFonts w:cs="Times New Roman"/>
          <w:szCs w:val="24"/>
        </w:rPr>
        <w:t xml:space="preserve">the </w:t>
      </w:r>
      <w:r w:rsidRPr="002C06D7">
        <w:rPr>
          <w:rFonts w:eastAsia="Times New Roman" w:cs="Times New Roman"/>
          <w:szCs w:val="24"/>
        </w:rPr>
        <w:t>above reasoning</w:t>
      </w:r>
      <w:r w:rsidRPr="002C06D7">
        <w:rPr>
          <w:rFonts w:cs="Times New Roman"/>
          <w:szCs w:val="24"/>
        </w:rPr>
        <w:t xml:space="preserve"> only </w:t>
      </w:r>
      <w:r w:rsidRPr="002C06D7">
        <w:rPr>
          <w:rFonts w:eastAsia="Times New Roman" w:cs="Times New Roman"/>
          <w:szCs w:val="24"/>
        </w:rPr>
        <w:t>applies</w:t>
      </w:r>
      <w:r w:rsidRPr="002C06D7">
        <w:rPr>
          <w:rFonts w:cs="Times New Roman"/>
          <w:szCs w:val="24"/>
        </w:rPr>
        <w:t xml:space="preserve"> in the case of participants who do remember the content of both sources (the movie and the information from the conversation partner). The existence of subjects who are fully aware of discrepancies between the original and post-event information yet still give wrong answers due to the lack of confidence in their own memories is well established in the context of the classic misinformation effect paradigm (Blank, 1998; Polczyk, 2017; Szpitalak &amp; Polczyk, 2015). We hypothesize that the situation is similar in the context of memory conformity. </w:t>
      </w:r>
    </w:p>
    <w:p w14:paraId="366110D7" w14:textId="77777777" w:rsidR="00D93BDE" w:rsidRPr="002C06D7" w:rsidRDefault="00D93BDE" w:rsidP="002C06D7">
      <w:pPr>
        <w:spacing w:line="360" w:lineRule="auto"/>
        <w:ind w:left="566" w:firstLine="567"/>
        <w:contextualSpacing/>
        <w:jc w:val="both"/>
        <w:rPr>
          <w:rFonts w:cs="Times New Roman"/>
          <w:szCs w:val="24"/>
        </w:rPr>
      </w:pPr>
      <w:r w:rsidRPr="002C06D7">
        <w:rPr>
          <w:rFonts w:cs="Times New Roman"/>
          <w:szCs w:val="24"/>
        </w:rPr>
        <w:t xml:space="preserve"> </w:t>
      </w:r>
    </w:p>
    <w:p w14:paraId="44CFDA4D" w14:textId="77777777" w:rsidR="00D93BDE" w:rsidRPr="002C06D7" w:rsidRDefault="00D93BDE" w:rsidP="002C06D7">
      <w:pPr>
        <w:keepNext/>
        <w:keepLines/>
        <w:spacing w:line="360" w:lineRule="auto"/>
        <w:contextualSpacing/>
        <w:jc w:val="both"/>
        <w:outlineLvl w:val="2"/>
        <w:rPr>
          <w:rFonts w:cs="Times New Roman"/>
          <w:b/>
          <w:szCs w:val="24"/>
        </w:rPr>
      </w:pPr>
      <w:r w:rsidRPr="002C06D7">
        <w:rPr>
          <w:rFonts w:cs="Times New Roman"/>
          <w:b/>
          <w:szCs w:val="24"/>
        </w:rPr>
        <w:t>1.1.</w:t>
      </w:r>
      <w:r w:rsidRPr="002C06D7">
        <w:rPr>
          <w:rFonts w:eastAsia="Times New Roman" w:cs="Times New Roman"/>
          <w:b/>
          <w:szCs w:val="24"/>
        </w:rPr>
        <w:t>3</w:t>
      </w:r>
      <w:r w:rsidRPr="002C06D7">
        <w:rPr>
          <w:rFonts w:cs="Times New Roman"/>
          <w:b/>
          <w:szCs w:val="24"/>
        </w:rPr>
        <w:t>. Education about memory</w:t>
      </w:r>
    </w:p>
    <w:p w14:paraId="74F69FC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inspiration for this method was existing research that aimed to decrease the misinformation effect: training based on The Seven Sins of Memory, introduced by Schacter (1999). In the study conducted by Szpitalak, Woltmann, Polczyk, &amp; Kękuś (2019), a movie depicting a crime was presented to the participants, who then read a description of it that contained misinformation. In the last stage, the participants performed a final memory test, which for some subjects was preceded by training on the Seven Sins of Memory. More precisely, in this training the participants received a piece of paper containing a description of the seven major memory errors listed by Schacter (1999) that is: (1) transience – forgetting past events over time as a result of new experiences; (2) absent-mindedness – occurs when an attempt to evoke a memory fails because attention has been drawn to another activity; (3) blocking – inability to access previously stored information (e.g., the “tip of the tongue” phenomenon); (4) misattribution – occurs when confusing the source of information; (5) suggestibility – the inclusion of erroneous information received from other sources in memories, e.g., a message from another person; (6) bias – modifying past events in memory so that they are consistent with the current judgments and needs of the individual due to the filtering of past events by the present knowledge; (7) persistence – unwanted memories persistently return to a person, e.g., traumatic memories. This method was effective in reducing vulnerability to misinformation in the classic paradigm (Szpitalak </w:t>
      </w:r>
      <w:r w:rsidRPr="002C06D7">
        <w:rPr>
          <w:rFonts w:cs="Times New Roman"/>
          <w:i/>
          <w:iCs/>
          <w:szCs w:val="24"/>
        </w:rPr>
        <w:t>et al</w:t>
      </w:r>
      <w:r w:rsidRPr="002C06D7">
        <w:rPr>
          <w:rFonts w:cs="Times New Roman"/>
          <w:szCs w:val="24"/>
        </w:rPr>
        <w:t xml:space="preserve">., 2019). </w:t>
      </w:r>
    </w:p>
    <w:p w14:paraId="345C6D09" w14:textId="06253226"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In the present research, we expect that a similar method to the one used by Szpitalak et al (2019) i.e.</w:t>
      </w:r>
      <w:r w:rsidR="00E2668C">
        <w:rPr>
          <w:rFonts w:eastAsia="Times New Roman" w:cs="Times New Roman"/>
          <w:szCs w:val="24"/>
        </w:rPr>
        <w:t>,</w:t>
      </w:r>
      <w:r w:rsidRPr="002C06D7">
        <w:rPr>
          <w:rFonts w:eastAsia="Times New Roman" w:cs="Times New Roman"/>
          <w:szCs w:val="24"/>
        </w:rPr>
        <w:t xml:space="preserve"> Education about memory will also be effective in reducing memory conformity. As with the Extended warning, the justification for the hypothesis is grounded in the basic assumptions of the IMP (Blank, 1998). The consistency assumption may cause the participants aware of discrepancies to discard their own correct memories. Drawing their attention to </w:t>
      </w:r>
      <w:r w:rsidRPr="002C06D7">
        <w:rPr>
          <w:rFonts w:eastAsia="Times New Roman" w:cs="Times New Roman"/>
          <w:szCs w:val="24"/>
        </w:rPr>
        <w:lastRenderedPageBreak/>
        <w:t>numerous different reasons for giving erroneous reports should prompt them to rethink their own memories, which should support resisting misinformation. More precisely</w:t>
      </w:r>
      <w:r w:rsidRPr="002C06D7">
        <w:rPr>
          <w:rFonts w:cs="Times New Roman"/>
          <w:szCs w:val="24"/>
        </w:rPr>
        <w:t>, it has been assumed that the better the metacognitive abilities of an individual and their knowledge about the deficits of memory, the smaller their susceptibility to misinformation (</w:t>
      </w:r>
      <w:proofErr w:type="spellStart"/>
      <w:r w:rsidRPr="002C06D7">
        <w:rPr>
          <w:rFonts w:cs="Times New Roman"/>
          <w:szCs w:val="24"/>
        </w:rPr>
        <w:t>Roebers</w:t>
      </w:r>
      <w:proofErr w:type="spellEnd"/>
      <w:r w:rsidRPr="002C06D7">
        <w:rPr>
          <w:rFonts w:cs="Times New Roman"/>
          <w:szCs w:val="24"/>
        </w:rPr>
        <w:t>, 2002). Also, awareness of weaknesses and skepticism about one’s own memories can lead participants to better monitor the source of information and to better control responses (</w:t>
      </w:r>
      <w:proofErr w:type="spellStart"/>
      <w:r w:rsidRPr="002C06D7">
        <w:rPr>
          <w:rFonts w:cs="Times New Roman"/>
          <w:szCs w:val="24"/>
        </w:rPr>
        <w:t>Koriat</w:t>
      </w:r>
      <w:proofErr w:type="spellEnd"/>
      <w:r w:rsidRPr="002C06D7">
        <w:rPr>
          <w:rFonts w:cs="Times New Roman"/>
          <w:szCs w:val="24"/>
        </w:rPr>
        <w:t xml:space="preserve"> &amp; Goldsmith, 1996). Moreover, as claimed by O’Sullivan and Howe (1995), activation of metamemory should make people more resilient to misinformation. Thus, a participant who is aware that memory is sometimes fallible makes greater efforts to detect erroneous information, and this favors the detection of inconsistencies between the event and the misinformation. A lecture on memory may induce some kind of mindfulness; it should be stressed that mindfulness has been shown to reduce memory errors in the context of the </w:t>
      </w:r>
      <w:proofErr w:type="spellStart"/>
      <w:r w:rsidRPr="002C06D7">
        <w:rPr>
          <w:rFonts w:cs="Times New Roman"/>
          <w:szCs w:val="24"/>
        </w:rPr>
        <w:t>Deese</w:t>
      </w:r>
      <w:proofErr w:type="spellEnd"/>
      <w:r w:rsidRPr="002C06D7">
        <w:rPr>
          <w:rFonts w:cs="Times New Roman"/>
          <w:szCs w:val="24"/>
        </w:rPr>
        <w:t xml:space="preserve">-Roediger-McDermott paradigm (DRM, Calvillo, Flores &amp; Gonzales, 2018). In </w:t>
      </w:r>
      <w:r w:rsidRPr="002C06D7">
        <w:rPr>
          <w:rFonts w:eastAsia="Times New Roman" w:cs="Times New Roman"/>
          <w:szCs w:val="24"/>
        </w:rPr>
        <w:t>sum</w:t>
      </w:r>
      <w:r w:rsidRPr="002C06D7">
        <w:rPr>
          <w:rFonts w:cs="Times New Roman"/>
          <w:szCs w:val="24"/>
        </w:rPr>
        <w:t xml:space="preserve">, it was hypothesized that providing knowledge about memory will contribute to reducing memory conformity. </w:t>
      </w:r>
    </w:p>
    <w:p w14:paraId="58CFC0B8"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However, a caveat should be mentioned here: presenting participants with research confirming the fallibility of memory may result in decreased confidence in their own memory, which, in turn, might result in increased suggestibility. Obviously, this was not the case in research by Szpitalak </w:t>
      </w:r>
      <w:r w:rsidRPr="002C06D7">
        <w:rPr>
          <w:rFonts w:cs="Times New Roman"/>
          <w:i/>
          <w:iCs/>
          <w:szCs w:val="24"/>
        </w:rPr>
        <w:t>et al.</w:t>
      </w:r>
      <w:r w:rsidRPr="002C06D7">
        <w:rPr>
          <w:rFonts w:cs="Times New Roman"/>
          <w:szCs w:val="24"/>
        </w:rPr>
        <w:t xml:space="preserve"> (2019) in the context of the classic misinformation effect, but it is still possible in the proposed experiment. If this is the case, increased memory conformity is possible.</w:t>
      </w:r>
    </w:p>
    <w:p w14:paraId="3521338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the present study, as Szpitalak </w:t>
      </w:r>
      <w:r w:rsidRPr="002C06D7">
        <w:rPr>
          <w:rFonts w:cs="Times New Roman"/>
          <w:i/>
          <w:iCs/>
          <w:szCs w:val="24"/>
        </w:rPr>
        <w:t>et al.</w:t>
      </w:r>
      <w:r w:rsidRPr="002C06D7">
        <w:rPr>
          <w:rFonts w:cs="Times New Roman"/>
          <w:szCs w:val="24"/>
        </w:rPr>
        <w:t xml:space="preserve"> (2019), we plan to use a presentation of the Seven Sins of Memory, but additionally we will familiarize the participants with more information about the mechanisms of memory. In particular, basic ideas about the constructive nature of memory and memory gaps will be presented and illustrated with examples. In addition, we will introduce participants to the concept of metamemory understood as knowledge about memory and awareness of it (Flavell, 1971). </w:t>
      </w:r>
      <w:proofErr w:type="spellStart"/>
      <w:r w:rsidRPr="002C06D7">
        <w:rPr>
          <w:rFonts w:cs="Times New Roman"/>
          <w:szCs w:val="24"/>
        </w:rPr>
        <w:t>Hultsch</w:t>
      </w:r>
      <w:proofErr w:type="spellEnd"/>
      <w:r w:rsidRPr="002C06D7">
        <w:rPr>
          <w:rFonts w:cs="Times New Roman"/>
          <w:szCs w:val="24"/>
        </w:rPr>
        <w:t>, Hertzog, Dixon and Davidson (1988) identified four broad aspects of metamemory: (1) knowledge about memory processes, (2) memory monitoring, (3) sense of memory efficacy, and (4) memory-related affect. The planned lecture on memory functioning refers to the first of these aspects: we expect that it will increase the participants’ knowledge about memory processes. We assume that the lecture will also enhance memory monitoring, sense of memory efficacy or even memory-related affect.</w:t>
      </w:r>
    </w:p>
    <w:p w14:paraId="55C19B7A" w14:textId="77777777" w:rsidR="00D93BDE" w:rsidRPr="002C06D7" w:rsidRDefault="00D93BDE" w:rsidP="002C06D7">
      <w:pPr>
        <w:spacing w:line="360" w:lineRule="auto"/>
        <w:ind w:left="57" w:right="6" w:firstLine="567"/>
        <w:contextualSpacing/>
        <w:jc w:val="both"/>
        <w:rPr>
          <w:rFonts w:eastAsia="Times New Roman" w:cs="Times New Roman"/>
          <w:szCs w:val="24"/>
        </w:rPr>
      </w:pPr>
    </w:p>
    <w:p w14:paraId="7F767953" w14:textId="77777777" w:rsidR="00D93BDE" w:rsidRPr="002C06D7" w:rsidRDefault="00D93BDE" w:rsidP="002C06D7">
      <w:pPr>
        <w:keepNext/>
        <w:keepLines/>
        <w:spacing w:line="360" w:lineRule="auto"/>
        <w:contextualSpacing/>
        <w:jc w:val="both"/>
        <w:outlineLvl w:val="2"/>
        <w:rPr>
          <w:rFonts w:cs="Times New Roman"/>
          <w:b/>
          <w:szCs w:val="24"/>
        </w:rPr>
      </w:pPr>
      <w:r w:rsidRPr="002C06D7">
        <w:rPr>
          <w:rFonts w:cs="Times New Roman"/>
          <w:b/>
          <w:szCs w:val="24"/>
        </w:rPr>
        <w:lastRenderedPageBreak/>
        <w:t>1.</w:t>
      </w:r>
      <w:r w:rsidRPr="002C06D7">
        <w:rPr>
          <w:rFonts w:eastAsia="Times New Roman" w:cs="Times New Roman"/>
          <w:b/>
          <w:szCs w:val="24"/>
        </w:rPr>
        <w:t>1.4</w:t>
      </w:r>
      <w:r w:rsidRPr="002C06D7">
        <w:rPr>
          <w:rFonts w:cs="Times New Roman"/>
          <w:b/>
          <w:szCs w:val="24"/>
        </w:rPr>
        <w:t>. Demonstration and motivation</w:t>
      </w:r>
    </w:p>
    <w:p w14:paraId="7F19557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third method of reducing suggestive influence in the context of memory conformity is called Demonstration and motivation. In essence, it consists of two elements: (1) directly demonstrating the fallibility of memory to the participants, and (2) motivating them to provide correct answers by stressing how important it is to provide correct answers based on their own memory. This was inspired by existing research on resisting social influence presented by Sagarin, Cialdini, Rice, &amp; Serna (2002). Their technique was based on the inoculation theory, introduced by McGuire (1964). The theory and the technique consist of two elements: (1) demonstrating individual vulnerability to influence; (2) motivating participants to resist influence by teaching them to distinguish between legitimate and illegitimate influences. More precisely, the first of these elements is based on the premise that most people believe that social influence methods work for others but that they themselves are resistant to these methods. Thus, the demonstration of vulnerability to influence can break through the illusion of invulnerability, thereby increasing the vigilance of the individual. In an experiment conducted by Sagarin </w:t>
      </w:r>
      <w:r w:rsidRPr="002C06D7">
        <w:rPr>
          <w:rFonts w:cs="Times New Roman"/>
          <w:i/>
          <w:iCs/>
          <w:szCs w:val="24"/>
        </w:rPr>
        <w:t>et al.</w:t>
      </w:r>
      <w:r w:rsidRPr="002C06D7">
        <w:rPr>
          <w:rFonts w:cs="Times New Roman"/>
          <w:szCs w:val="24"/>
        </w:rPr>
        <w:t xml:space="preserve"> (2002), such a demonstration consisted of introducing participants to an advertisement containing spurious experts. Most participants found the advertisement convincing. They were also asked to write down two of the most important aspects of the advert that had an impact on their assessment. At the end, subjects were informed that they had been fooled because the experts they saw were fake. The findings of Sagarin </w:t>
      </w:r>
      <w:r w:rsidRPr="002C06D7">
        <w:rPr>
          <w:rFonts w:cs="Times New Roman"/>
          <w:i/>
          <w:iCs/>
          <w:szCs w:val="24"/>
        </w:rPr>
        <w:t>et al.</w:t>
      </w:r>
      <w:r w:rsidRPr="002C06D7">
        <w:rPr>
          <w:rFonts w:cs="Times New Roman"/>
          <w:szCs w:val="24"/>
        </w:rPr>
        <w:t xml:space="preserve"> (2002) suggest that the resistance demonstrated by participants who learned the distinction was a result of their newly acquired ability to determine when an authority’s recommendations should and should not be followed. As it turns out, once participants learned this distinction, they showed resistance against subsequent advertisements that used authority illegitimately.</w:t>
      </w:r>
    </w:p>
    <w:p w14:paraId="09F0C13A"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The second element, i.e., motivation to resist influence, is also based on the classic theory of inoculating against persuasion (McGuire, 1964). It posits that inducing resistance should be based on the motivation to resist and the ability to diagnose the influence. It further assumes that resistance can be achieved by exposing the subject to a weakened form of the persuasive message. McGuire (1964) presented his participants with some cultural truisms (e.g., “you should brush your teeth after every meal”) and arguments to weaken them (e.g., “too frequent brushing tends to damage the gums and expose the vulnerable parts of the teeth to decay”). As a result, McGuire (1964) was able to demonstrate greater resistance to the truisms. Sagarin</w:t>
      </w:r>
      <w:r w:rsidRPr="002C06D7">
        <w:rPr>
          <w:rFonts w:cs="Times New Roman"/>
          <w:i/>
          <w:iCs/>
          <w:szCs w:val="24"/>
        </w:rPr>
        <w:t xml:space="preserve"> et al. </w:t>
      </w:r>
      <w:r w:rsidRPr="002C06D7">
        <w:rPr>
          <w:rFonts w:cs="Times New Roman"/>
          <w:szCs w:val="24"/>
        </w:rPr>
        <w:t xml:space="preserve">(2002) commented that this approach lacked any generalizability, mainly because of its content-based approach; therefore, it cannot be used beyond the context of a particular truism. Alternatively, Sagarin </w:t>
      </w:r>
      <w:r w:rsidRPr="002C06D7">
        <w:rPr>
          <w:rFonts w:cs="Times New Roman"/>
          <w:i/>
          <w:iCs/>
          <w:szCs w:val="24"/>
        </w:rPr>
        <w:t>et al</w:t>
      </w:r>
      <w:r w:rsidRPr="002C06D7">
        <w:rPr>
          <w:rFonts w:cs="Times New Roman"/>
          <w:szCs w:val="24"/>
        </w:rPr>
        <w:t xml:space="preserve">. (2002) proposed a more general approach based on motivation and </w:t>
      </w:r>
      <w:r w:rsidRPr="002C06D7">
        <w:rPr>
          <w:rFonts w:cs="Times New Roman"/>
          <w:szCs w:val="24"/>
        </w:rPr>
        <w:lastRenderedPageBreak/>
        <w:t xml:space="preserve">ability: in order to motivate their participants, they made them aware of the very manipulative nature of the influence. There was an underlying assumption that people are prone to resisting influence that they perceive as unfair manipulation (e.g., manipulative flattery). Participants were trained in the ‘ability’ to differentiate between acceptable and objectionable persuasive messages. This was achieved by teaching participants rules for discriminating between legitimate and illegitimate messages and by informing them that ads may contain illegitimate authorities, which should be regarded as attempts to deceive consumers. </w:t>
      </w:r>
    </w:p>
    <w:p w14:paraId="74317F72" w14:textId="5C0186AA"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cs="Times New Roman"/>
          <w:szCs w:val="24"/>
        </w:rPr>
        <w:t>We adapted the ideas from the research described above in the hope that it may be useful in mitigating memory conformity. The demonstration of the fallibility of memory will be done by means of the DRM technique (see detailed description below); the motivational aspect will be achieved by a podcast (i.e.</w:t>
      </w:r>
      <w:r w:rsidR="00E2668C">
        <w:rPr>
          <w:rFonts w:cs="Times New Roman"/>
          <w:szCs w:val="24"/>
        </w:rPr>
        <w:t>,</w:t>
      </w:r>
      <w:r w:rsidRPr="002C06D7">
        <w:rPr>
          <w:rFonts w:cs="Times New Roman"/>
          <w:szCs w:val="24"/>
        </w:rPr>
        <w:t xml:space="preserve"> only with sound; no visual material will be included) explaining how harmful a situation is in which one witness reports details that they do not actually remember but which were heard from other witnesses. Demonstrating the individual fallibility of memory should make the participants alert to the real possibility that their reports may be distorted as a result of a discussion with the partner</w:t>
      </w:r>
      <w:r w:rsidRPr="002C06D7">
        <w:rPr>
          <w:rFonts w:eastAsia="Times New Roman" w:cs="Times New Roman"/>
          <w:szCs w:val="24"/>
        </w:rPr>
        <w:t>. Participants aware of</w:t>
      </w:r>
      <w:r w:rsidRPr="002C06D7">
        <w:rPr>
          <w:rFonts w:cs="Times New Roman"/>
          <w:szCs w:val="24"/>
        </w:rPr>
        <w:t xml:space="preserve"> the </w:t>
      </w:r>
      <w:r w:rsidRPr="002C06D7">
        <w:rPr>
          <w:rFonts w:eastAsia="Times New Roman" w:cs="Times New Roman"/>
          <w:szCs w:val="24"/>
        </w:rPr>
        <w:t xml:space="preserve">fact that even very subtle influence may have an impact on memory functioning may reject the erroneous information provided by their partners more effectively. The </w:t>
      </w:r>
      <w:r w:rsidRPr="002C06D7">
        <w:rPr>
          <w:rFonts w:cs="Times New Roman"/>
          <w:szCs w:val="24"/>
        </w:rPr>
        <w:t xml:space="preserve">motivational element </w:t>
      </w:r>
      <w:r w:rsidRPr="002C06D7">
        <w:rPr>
          <w:rFonts w:eastAsia="Times New Roman" w:cs="Times New Roman"/>
          <w:szCs w:val="24"/>
        </w:rPr>
        <w:t xml:space="preserve">of the procedure </w:t>
      </w:r>
      <w:r w:rsidRPr="002C06D7">
        <w:rPr>
          <w:rFonts w:cs="Times New Roman"/>
          <w:szCs w:val="24"/>
        </w:rPr>
        <w:t xml:space="preserve">should </w:t>
      </w:r>
      <w:r w:rsidRPr="002C06D7">
        <w:rPr>
          <w:rFonts w:eastAsia="Times New Roman" w:cs="Times New Roman"/>
          <w:szCs w:val="24"/>
        </w:rPr>
        <w:t xml:space="preserve">furthermore </w:t>
      </w:r>
      <w:r w:rsidRPr="002C06D7">
        <w:rPr>
          <w:rFonts w:cs="Times New Roman"/>
          <w:szCs w:val="24"/>
        </w:rPr>
        <w:t>increase the tendency to rely on one’s own recollections.</w:t>
      </w:r>
    </w:p>
    <w:p w14:paraId="29F32D2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Of course, demonstrating memory fallibility alone could have different results: it could even increase suggestibility as a witness might want to rely on someone else’s report to “absolve” them</w:t>
      </w:r>
      <w:r w:rsidRPr="002C06D7" w:rsidDel="00DC3E92">
        <w:rPr>
          <w:rFonts w:cs="Times New Roman"/>
          <w:szCs w:val="24"/>
        </w:rPr>
        <w:t xml:space="preserve"> </w:t>
      </w:r>
      <w:r w:rsidRPr="002C06D7">
        <w:rPr>
          <w:rFonts w:cs="Times New Roman"/>
          <w:szCs w:val="24"/>
        </w:rPr>
        <w:t>of responsibility. We hope, however, that as the demonstration is included in a whole process of warning the participants against relying on external sources, it will result in them not doing so.</w:t>
      </w:r>
    </w:p>
    <w:p w14:paraId="71180B0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To sum up, in the present study a replication with a further inquiry into the memory conformity effect is planned and will apply the innovative MORI technique (Mori, 2003, 2007). More specifically, it was assumed that each of the three tested techniques (Extended warning against misinformation, Education about memory, and Demonstration and motivation) would reduce co-witnesses’ susceptibility to misinformation.</w:t>
      </w:r>
    </w:p>
    <w:p w14:paraId="426B1D6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Based on the research of Sagarin </w:t>
      </w:r>
      <w:r w:rsidRPr="002C06D7">
        <w:rPr>
          <w:rFonts w:cs="Times New Roman"/>
          <w:i/>
          <w:iCs/>
          <w:szCs w:val="24"/>
        </w:rPr>
        <w:t>et al.</w:t>
      </w:r>
      <w:r w:rsidRPr="002C06D7">
        <w:rPr>
          <w:rFonts w:cs="Times New Roman"/>
          <w:szCs w:val="24"/>
        </w:rPr>
        <w:t xml:space="preserve"> (2002), we tentatively assume that the most effective technique in reducing the memory conformity effect will be Demonstration and motivation</w:t>
      </w:r>
      <w:r w:rsidRPr="002C06D7" w:rsidDel="00576B06">
        <w:rPr>
          <w:rFonts w:cs="Times New Roman"/>
          <w:szCs w:val="24"/>
        </w:rPr>
        <w:t xml:space="preserve"> </w:t>
      </w:r>
      <w:r w:rsidRPr="002C06D7">
        <w:rPr>
          <w:rFonts w:cs="Times New Roman"/>
          <w:szCs w:val="24"/>
        </w:rPr>
        <w:t xml:space="preserve">because it is based on demonstrating susceptibility to influence and includes an element of motivation to resist it. Moreover, on the basis of the fact that warning in general has produced inconsistent results in the context of undoing various kinds of suggestive influence, the Extended warning against misinformation is expected to be slightly less effective than </w:t>
      </w:r>
      <w:r w:rsidRPr="002C06D7">
        <w:rPr>
          <w:rFonts w:cs="Times New Roman"/>
          <w:szCs w:val="24"/>
        </w:rPr>
        <w:lastRenderedPageBreak/>
        <w:t>Demonstration and motivation</w:t>
      </w:r>
      <w:r w:rsidRPr="002C06D7" w:rsidDel="00576B06">
        <w:rPr>
          <w:rFonts w:cs="Times New Roman"/>
          <w:szCs w:val="24"/>
        </w:rPr>
        <w:t xml:space="preserve"> </w:t>
      </w:r>
      <w:r w:rsidRPr="002C06D7">
        <w:rPr>
          <w:rFonts w:cs="Times New Roman"/>
          <w:szCs w:val="24"/>
        </w:rPr>
        <w:t>but more effective than Education about memory. We hypothesize so because Education about memory only consists in providing theoretical knowledge but does not demonstrate any effects or motivate participants.</w:t>
      </w:r>
      <w:r w:rsidRPr="002C06D7">
        <w:rPr>
          <w:rFonts w:cs="Times New Roman"/>
          <w:b/>
          <w:szCs w:val="24"/>
        </w:rPr>
        <w:t xml:space="preserve"> </w:t>
      </w:r>
    </w:p>
    <w:p w14:paraId="2253AB99"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What is important, we decided to place the methods inducing resistance to misinformation before the collaborative recall phase (that is, before exposing participants to misinformation). The main reason for that is that we wanted to inoculate participants against the influence of misinformation before it could take effect. In reality, it is most effective to prepare a witness before possible misinformation reaches them.</w:t>
      </w:r>
    </w:p>
    <w:p w14:paraId="7EEAC26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Secondly, we are aware of some overlap between the three interventions, for instance, teaching about memory is included is present in a way in both Education about memory and Demonstration and motivation. Empirical results may help to determine to what extent the overlap is substantial; although, on the other hand, even if they produce the same results, this does mean that the mechanisms by which the were effective are always the same.</w:t>
      </w:r>
    </w:p>
    <w:p w14:paraId="0F2FED1E" w14:textId="77777777" w:rsidR="00D93BDE" w:rsidRPr="002C06D7" w:rsidRDefault="00D93BDE" w:rsidP="002C06D7">
      <w:pPr>
        <w:spacing w:after="120" w:line="360" w:lineRule="auto"/>
        <w:contextualSpacing/>
        <w:jc w:val="both"/>
        <w:rPr>
          <w:rFonts w:cs="Times New Roman"/>
          <w:szCs w:val="24"/>
        </w:rPr>
      </w:pPr>
      <w:r w:rsidRPr="002C06D7">
        <w:rPr>
          <w:rFonts w:cs="Times New Roman"/>
          <w:szCs w:val="24"/>
        </w:rPr>
        <w:t xml:space="preserve"> </w:t>
      </w:r>
    </w:p>
    <w:p w14:paraId="3CA83E56" w14:textId="77777777" w:rsidR="00D93BDE" w:rsidRPr="002C06D7" w:rsidRDefault="00D93BDE" w:rsidP="002C06D7">
      <w:pPr>
        <w:keepNext/>
        <w:keepLines/>
        <w:spacing w:after="111" w:line="360" w:lineRule="auto"/>
        <w:ind w:left="-5" w:hanging="10"/>
        <w:contextualSpacing/>
        <w:jc w:val="both"/>
        <w:outlineLvl w:val="0"/>
        <w:rPr>
          <w:rFonts w:cs="Times New Roman"/>
          <w:b/>
          <w:szCs w:val="24"/>
        </w:rPr>
      </w:pPr>
      <w:r w:rsidRPr="002C06D7">
        <w:rPr>
          <w:rFonts w:cs="Times New Roman"/>
          <w:b/>
          <w:szCs w:val="24"/>
        </w:rPr>
        <w:t xml:space="preserve">2. Method </w:t>
      </w:r>
    </w:p>
    <w:p w14:paraId="1D6C4A0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2.1</w:t>
      </w:r>
      <w:r w:rsidRPr="002C06D7">
        <w:rPr>
          <w:rFonts w:eastAsia="Times New Roman" w:cs="Times New Roman"/>
          <w:b/>
          <w:szCs w:val="24"/>
        </w:rPr>
        <w:t>.</w:t>
      </w:r>
      <w:r w:rsidRPr="002C06D7">
        <w:rPr>
          <w:rFonts w:cs="Times New Roman"/>
          <w:b/>
          <w:szCs w:val="24"/>
        </w:rPr>
        <w:t xml:space="preserve"> Power and sample size analysis </w:t>
      </w:r>
    </w:p>
    <w:p w14:paraId="5E61A246"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The planned research has two main aims: first, to replicate the memory conformity effect; second, to analyze hypotheses concerning the impact of methods of reducing vulnerability to misinformation. A power of 90% was assumed in both analyses. The syntheses of effect sizes were done by means of Comprehensive Meta-analysis software, Version 2 (</w:t>
      </w:r>
      <w:proofErr w:type="spellStart"/>
      <w:r w:rsidRPr="002C06D7">
        <w:rPr>
          <w:rFonts w:cs="Times New Roman"/>
          <w:szCs w:val="24"/>
        </w:rPr>
        <w:t>Borenstein</w:t>
      </w:r>
      <w:proofErr w:type="spellEnd"/>
      <w:r w:rsidRPr="002C06D7">
        <w:rPr>
          <w:rFonts w:cs="Times New Roman"/>
          <w:szCs w:val="24"/>
        </w:rPr>
        <w:t>, Hedges, Higgins, &amp; Rothstein, BIOSTAT); the power analyses were done by means of G*Power 3.1 software (</w:t>
      </w:r>
      <w:proofErr w:type="spellStart"/>
      <w:r w:rsidRPr="002C06D7">
        <w:rPr>
          <w:rFonts w:cs="Times New Roman"/>
          <w:szCs w:val="24"/>
        </w:rPr>
        <w:t>Faul</w:t>
      </w:r>
      <w:proofErr w:type="spellEnd"/>
      <w:r w:rsidRPr="002C06D7">
        <w:rPr>
          <w:rFonts w:cs="Times New Roman"/>
          <w:szCs w:val="24"/>
        </w:rPr>
        <w:t xml:space="preserve">, </w:t>
      </w:r>
      <w:proofErr w:type="spellStart"/>
      <w:r w:rsidRPr="002C06D7">
        <w:rPr>
          <w:rFonts w:cs="Times New Roman"/>
          <w:szCs w:val="24"/>
        </w:rPr>
        <w:t>Erdfelder</w:t>
      </w:r>
      <w:proofErr w:type="spellEnd"/>
      <w:r w:rsidRPr="002C06D7">
        <w:rPr>
          <w:rFonts w:cs="Times New Roman"/>
          <w:szCs w:val="24"/>
        </w:rPr>
        <w:t xml:space="preserve">, Lang, &amp; Buchner, 2007). </w:t>
      </w:r>
    </w:p>
    <w:p w14:paraId="629B3131"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With regard to replication of the memory conformity effect, the research design consists in a within-subjects manipulation: comparing the correctness of answers to the questions concerning the discussed details (related to misinformation) with the correctness of answers to the questions concerning the non-discussed (control) details. Technically, a repeated-measures ANOVA will be used to analyze the data. The calculation of the necessary sample size may be based on existing results in which the same procedure as that planned in the proposed study was used on a representative Polish sample. The existing results as regards effect sizes are Hedges’ g = 1.92, N = 55 (Ito </w:t>
      </w:r>
      <w:r w:rsidRPr="002C06D7">
        <w:rPr>
          <w:rFonts w:cs="Times New Roman"/>
          <w:i/>
          <w:iCs/>
          <w:szCs w:val="24"/>
        </w:rPr>
        <w:t>et al.,</w:t>
      </w:r>
      <w:r w:rsidRPr="002C06D7">
        <w:rPr>
          <w:rFonts w:cs="Times New Roman"/>
          <w:szCs w:val="24"/>
        </w:rPr>
        <w:t xml:space="preserve"> 2019) and Hedges’ g = 0.38, N = 74 (Kękuś </w:t>
      </w:r>
      <w:r w:rsidRPr="002C06D7">
        <w:rPr>
          <w:rFonts w:cs="Times New Roman"/>
          <w:i/>
          <w:iCs/>
          <w:szCs w:val="24"/>
        </w:rPr>
        <w:t>et al.,</w:t>
      </w:r>
      <w:r w:rsidRPr="002C06D7">
        <w:rPr>
          <w:rFonts w:cs="Times New Roman"/>
          <w:szCs w:val="24"/>
        </w:rPr>
        <w:t xml:space="preserve"> 2020). </w:t>
      </w:r>
    </w:p>
    <w:p w14:paraId="76BB15DD"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Given the rather large difference in effect sizes between both studies, random effects were assumed while calculating the joint effect size, which was 1.13. This amounts to a Cohen f of about 0.57. The joint correlation of results in the discussed and non-discussed items in both </w:t>
      </w:r>
      <w:r w:rsidRPr="002C06D7">
        <w:rPr>
          <w:rFonts w:cs="Times New Roman"/>
          <w:szCs w:val="24"/>
        </w:rPr>
        <w:lastRenderedPageBreak/>
        <w:t xml:space="preserve">studies available was 0.07. Under such conditions, the sample size required for 90% power was 18. As a much larger sample was assumed, it can be stated that the power to detect the memory conformity effect will be sufficient. </w:t>
      </w:r>
    </w:p>
    <w:p w14:paraId="0242C32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The second aim of this study is to establish the efficacy of the three methods of reducing the memory conformity effect. There will be four groups of participants: three for each of the methods, and a control condition. Technically, detecting the efficacy of the methods consists in analyzing the interaction of the between-subjects factor (the groups) and the within-subjects factor (accuracy on discussed vs. non-discussed items): the impact of misinformation should be relatively lower in the three ‘protected’ groups than in the control one. Thus, the power analysis consists in finding the required sample size for an interaction in a two-factor ANOVA: the first factor is between-subjects; the second is within-subjects. </w:t>
      </w:r>
    </w:p>
    <w:p w14:paraId="5645C9BE"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Unfortunately, in contrast with detecting the memory conformity effect itself, no data exists that would allow the expected effect size to be estimated. The existing research about warning differed substantially from that planned in this project, and no research similar to the two remaining methods has been done. Therefore, the power analysis was done in the standard way for a small, medium, and large effect, according to the existing conventions: Cohen f of .10, .25, and .40 was assumed, respectively. A correlation r = 0.07 between repeated measures was assumed based on the research described above (Ito et al., 2019; Kękuś et al., 2020). The option used in G*Power was ‘ANOVA: Repeated measures, within-between’. </w:t>
      </w:r>
      <w:r w:rsidRPr="002C06D7">
        <w:rPr>
          <w:rFonts w:cs="Times New Roman"/>
          <w:i/>
          <w:iCs/>
          <w:szCs w:val="24"/>
        </w:rPr>
      </w:r>
      <w:r w:rsidRPr="002C06D7">
        <w:rPr>
          <w:rFonts w:cs="Times New Roman"/>
          <w:szCs w:val="24"/>
        </w:rPr>
      </w:r>
      <w:r w:rsidRPr="002C06D7">
        <w:rPr>
          <w:rFonts w:cs="Times New Roman"/>
          <w:i/>
          <w:iCs/>
          <w:szCs w:val="24"/>
        </w:rPr>
      </w:r>
      <w:r w:rsidRPr="002C06D7">
        <w:rPr>
          <w:rFonts w:cs="Times New Roman"/>
          <w:szCs w:val="24"/>
        </w:rPr>
      </w:r>
    </w:p>
    <w:p w14:paraId="4E5973A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For the general interaction, that is, between the grouping factor with four groups and the within-subjects factor, the required sample sizes for the small, medium, and large effects were 664, 112, and 48 participants, respectively. For the planned comparisons between two groups, which will be necessary if the general interaction is significant, the required sample sizes are 492, 82, and 34 participants, respectively. Comparisons among all groups and directional significance tests are assumed.</w:t>
      </w:r>
    </w:p>
    <w:p w14:paraId="58B711FB"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Considering the accessible financial, organizational and time resources, a sample of 240 participants was assumed; this allows for excellent power to detect medium and large effect sizes but not small ones.</w:t>
      </w:r>
    </w:p>
    <w:p w14:paraId="0239A021" w14:textId="77777777" w:rsidR="00D93BDE" w:rsidRPr="002C06D7" w:rsidRDefault="00D93BDE" w:rsidP="002C06D7">
      <w:pPr>
        <w:spacing w:after="1" w:line="360" w:lineRule="auto"/>
        <w:ind w:left="-15" w:right="-2" w:firstLine="556"/>
        <w:contextualSpacing/>
        <w:jc w:val="both"/>
        <w:rPr>
          <w:rFonts w:cs="Times New Roman"/>
          <w:szCs w:val="24"/>
        </w:rPr>
      </w:pPr>
    </w:p>
    <w:p w14:paraId="77C0D293"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2.2. Participants </w:t>
      </w:r>
    </w:p>
    <w:p w14:paraId="3B5B414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sample size will be set at 240 people (120 pairs). The participants enrolled in the study will be 16–35 years old; they will be invited to participate via advertisements in the media and on the internet. The age of the participants will be restricted in order to avoid a situation in which a very young participant would discuss the original material with an elderly one, which would possibly activate some confounding factors (e.g., Gabbert et al., 2004). </w:t>
      </w:r>
      <w:r w:rsidRPr="002C06D7">
        <w:rPr>
          <w:rFonts w:cs="Times New Roman"/>
          <w:i/>
          <w:szCs w:val="24"/>
        </w:rPr>
      </w:r>
      <w:r w:rsidRPr="002C06D7">
        <w:rPr>
          <w:rFonts w:cs="Times New Roman"/>
          <w:szCs w:val="24"/>
        </w:rPr>
      </w:r>
      <w:r w:rsidRPr="002C06D7">
        <w:rPr>
          <w:rFonts w:cs="Times New Roman"/>
          <w:szCs w:val="24"/>
        </w:rPr>
      </w:r>
      <w:r w:rsidRPr="002C06D7">
        <w:rPr>
          <w:rFonts w:cs="Times New Roman"/>
          <w:i/>
          <w:iCs/>
          <w:szCs w:val="24"/>
        </w:rPr>
      </w:r>
      <w:r w:rsidRPr="002C06D7">
        <w:rPr>
          <w:rFonts w:cs="Times New Roman"/>
          <w:szCs w:val="24"/>
        </w:rPr>
      </w:r>
    </w:p>
    <w:p w14:paraId="36E3EC2D" w14:textId="77777777" w:rsidR="00D93BDE" w:rsidRPr="002C06D7" w:rsidRDefault="00D93BDE" w:rsidP="002C06D7">
      <w:pPr>
        <w:spacing w:after="120" w:line="360" w:lineRule="auto"/>
        <w:ind w:left="283"/>
        <w:contextualSpacing/>
        <w:jc w:val="both"/>
        <w:rPr>
          <w:rFonts w:cs="Times New Roman"/>
          <w:szCs w:val="24"/>
        </w:rPr>
      </w:pPr>
      <w:r w:rsidRPr="002C06D7">
        <w:rPr>
          <w:rFonts w:cs="Times New Roman"/>
          <w:szCs w:val="24"/>
        </w:rPr>
        <w:t xml:space="preserve"> </w:t>
      </w:r>
    </w:p>
    <w:p w14:paraId="60E85AB4"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2.3. Design </w:t>
      </w:r>
    </w:p>
    <w:p w14:paraId="4CEC9BDC"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 </w:t>
      </w:r>
      <w:r w:rsidRPr="002C06D7">
        <w:rPr>
          <w:rFonts w:cs="Times New Roman"/>
          <w:szCs w:val="24"/>
        </w:rPr>
        <w:tab/>
        <w:t>In the study, the memory conformity effect will be measured in a within-subjects design and discussed and non-discussed items will be fully counterbalanced. The correctness of answers to questions concerning discussed and non-discussed details will be compared.</w:t>
      </w:r>
      <w:r w:rsidRPr="002C06D7">
        <w:rPr>
          <w:rFonts w:cs="Times New Roman"/>
          <w:b/>
          <w:szCs w:val="24"/>
        </w:rPr>
        <w:t xml:space="preserve"> </w:t>
      </w:r>
      <w:r w:rsidRPr="002C06D7">
        <w:rPr>
          <w:rFonts w:cs="Times New Roman"/>
          <w:szCs w:val="24"/>
        </w:rPr>
        <w:t xml:space="preserve">Pairs of participants will be randomly assigned to one of four groups: (1) Extended warning, (2) Education about memory, (3) Demonstration and motivation, and (4) control condition. Thus, the experimental design includes one within-subjects factor with two levels (discussed vs. non-discussed items) and one between-subjects factor with four levels (three groups of methods of reducing memory conformity and the control group). </w:t>
      </w:r>
    </w:p>
    <w:p w14:paraId="2C24130D" w14:textId="77777777" w:rsidR="00D93BDE" w:rsidRPr="002C06D7" w:rsidRDefault="00D93BDE" w:rsidP="002C06D7">
      <w:pPr>
        <w:spacing w:after="120" w:line="360" w:lineRule="auto"/>
        <w:contextualSpacing/>
        <w:jc w:val="both"/>
        <w:rPr>
          <w:rFonts w:cs="Times New Roman"/>
          <w:szCs w:val="24"/>
        </w:rPr>
      </w:pPr>
      <w:r w:rsidRPr="002C06D7">
        <w:rPr>
          <w:rFonts w:cs="Times New Roman"/>
          <w:szCs w:val="24"/>
        </w:rPr>
        <w:t xml:space="preserve"> </w:t>
      </w:r>
    </w:p>
    <w:p w14:paraId="7EFBA22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2.4. Materials </w:t>
      </w:r>
    </w:p>
    <w:p w14:paraId="16898AFE" w14:textId="77777777" w:rsidR="00D93BDE" w:rsidRPr="002C06D7" w:rsidRDefault="00D93BDE" w:rsidP="002C06D7">
      <w:pPr>
        <w:keepNext/>
        <w:keepLines/>
        <w:spacing w:after="111" w:line="360" w:lineRule="auto"/>
        <w:ind w:left="-5" w:hanging="10"/>
        <w:contextualSpacing/>
        <w:jc w:val="both"/>
        <w:outlineLvl w:val="2"/>
        <w:rPr>
          <w:rFonts w:cs="Times New Roman"/>
          <w:b/>
          <w:szCs w:val="24"/>
        </w:rPr>
      </w:pPr>
      <w:r w:rsidRPr="002C06D7">
        <w:rPr>
          <w:rFonts w:cs="Times New Roman"/>
          <w:b/>
          <w:szCs w:val="24"/>
        </w:rPr>
        <w:t>2.4.1. Manipulation of Overlapping Rivalrous Images</w:t>
      </w:r>
      <w:r w:rsidRPr="002C06D7">
        <w:rPr>
          <w:rFonts w:cs="Times New Roman"/>
          <w:i/>
          <w:szCs w:val="24"/>
        </w:rPr>
        <w:t xml:space="preserve"> </w:t>
      </w:r>
      <w:r w:rsidRPr="002C06D7">
        <w:rPr>
          <w:rFonts w:cs="Times New Roman"/>
          <w:b/>
          <w:szCs w:val="24"/>
        </w:rPr>
        <w:t xml:space="preserve">(MORI) </w:t>
      </w:r>
    </w:p>
    <w:p w14:paraId="35A5E274" w14:textId="77777777"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 xml:space="preserve">The procedure for testing memory conformity will be based on the experiment conducted by Garry </w:t>
      </w:r>
      <w:r w:rsidRPr="002C06D7">
        <w:rPr>
          <w:rFonts w:cs="Times New Roman"/>
          <w:i/>
          <w:iCs/>
          <w:szCs w:val="24"/>
        </w:rPr>
        <w:t>et al.</w:t>
      </w:r>
      <w:r w:rsidRPr="002C06D7">
        <w:rPr>
          <w:rFonts w:cs="Times New Roman"/>
          <w:szCs w:val="24"/>
        </w:rPr>
        <w:t xml:space="preserve"> (2008), which was the first study outside Japan that replicated the memory conformity effect with the MORI technique. We will follow this procedure and any modifications will be discussed in detail.</w:t>
      </w:r>
    </w:p>
    <w:p w14:paraId="37ED4E1D" w14:textId="3DFDF2BF"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 xml:space="preserve">As in the study by Garry </w:t>
      </w:r>
      <w:r w:rsidRPr="002C06D7">
        <w:rPr>
          <w:rFonts w:cs="Times New Roman"/>
          <w:i/>
          <w:szCs w:val="24"/>
        </w:rPr>
        <w:t>et al.</w:t>
      </w:r>
      <w:r w:rsidRPr="002C06D7">
        <w:rPr>
          <w:rFonts w:cs="Times New Roman"/>
          <w:szCs w:val="24"/>
        </w:rPr>
        <w:t xml:space="preserve"> (2008), the participants will watch a silent movie that lasts 6 minutes and 34 seconds. The recording shows an electrician (“Eric”) who repairs numerous household devices and also steals a few objects. Two versions of this movie were created by Takarangi, Parker and Garry (2006). Both versions are identical except for eight critical details: e.g., in the first version, Eric is trying on a black hat, whereas in the second version the hat is red. It should also be pointed out that the set of materials used in the MORI technique has been successfully translated into Polish (Ito </w:t>
      </w:r>
      <w:r w:rsidRPr="002C06D7">
        <w:rPr>
          <w:rFonts w:cs="Times New Roman"/>
          <w:i/>
          <w:szCs w:val="24"/>
        </w:rPr>
        <w:t>et al.</w:t>
      </w:r>
      <w:r w:rsidRPr="002C06D7">
        <w:rPr>
          <w:rFonts w:cs="Times New Roman"/>
          <w:szCs w:val="24"/>
        </w:rPr>
        <w:t>, 2019).</w:t>
      </w:r>
    </w:p>
    <w:p w14:paraId="25DA7D70" w14:textId="77777777"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The movie will be displayed on a translucent projection screen. The screen measures 50 x 80 cm and is made of 5-mm-thick glass. The movie will be projected with two LED projectors placed such that the two images overlap on the screen. The size of the images will be about 40 x 50 cm on the screen, which will be located about 170 cm from the participants. Polarizing filters will be placed in front of the lens of each projector: one will be oriented vertically and the other horizontally. Moreover, each participant will receive polarizing glasses that will block one of the two possible versions of the movie. Figure 1 illustrates the MORI technique.</w:t>
      </w:r>
    </w:p>
    <w:p w14:paraId="4A0AEF6E" w14:textId="77777777" w:rsidR="00D93BDE" w:rsidRPr="002C06D7" w:rsidRDefault="00D93BDE" w:rsidP="002C06D7">
      <w:pPr>
        <w:spacing w:after="5" w:line="360" w:lineRule="auto"/>
        <w:ind w:left="-15" w:right="5" w:firstLine="283"/>
        <w:contextualSpacing/>
        <w:jc w:val="both"/>
        <w:rPr>
          <w:rFonts w:cs="Times New Roman"/>
          <w:szCs w:val="24"/>
        </w:rPr>
      </w:pPr>
    </w:p>
    <w:p w14:paraId="20901C37" w14:textId="77777777" w:rsidR="00D93BDE" w:rsidRPr="002C06D7" w:rsidRDefault="00D93BDE" w:rsidP="002C06D7">
      <w:pPr>
        <w:spacing w:after="111" w:line="360" w:lineRule="auto"/>
        <w:ind w:left="-5" w:hanging="10"/>
        <w:contextualSpacing/>
        <w:rPr>
          <w:rFonts w:cs="Times New Roman"/>
          <w:szCs w:val="24"/>
        </w:rPr>
      </w:pPr>
      <w:r w:rsidRPr="002C06D7">
        <w:rPr>
          <w:rFonts w:cs="Times New Roman"/>
          <w:b/>
          <w:szCs w:val="24"/>
        </w:rPr>
        <w:lastRenderedPageBreak/>
        <w:t>Figure 1. Sketch of the MORI technique (Mori, 2007).</w:t>
      </w:r>
    </w:p>
    <w:p w14:paraId="539727DF" w14:textId="77777777" w:rsidR="00D93BDE" w:rsidRPr="002C06D7" w:rsidRDefault="00D93BDE" w:rsidP="002C06D7">
      <w:pPr>
        <w:spacing w:after="111" w:line="360" w:lineRule="auto"/>
        <w:ind w:left="-5" w:hanging="10"/>
        <w:contextualSpacing/>
        <w:rPr>
          <w:rFonts w:cs="Times New Roman"/>
          <w:szCs w:val="24"/>
        </w:rPr>
      </w:pPr>
    </w:p>
    <w:p w14:paraId="68E17133" w14:textId="77777777"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w:t>
      </w:r>
    </w:p>
    <w:p w14:paraId="53E263FE" w14:textId="607298DA"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Fig. 1. Sketch of the MORI technique (Mori, 2007).</w:t>
      </w:r>
    </w:p>
    <w:p w14:paraId="18885803" w14:textId="5C7DE262"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w:t>
      </w:r>
    </w:p>
    <w:p w14:paraId="6462B50C" w14:textId="77777777" w:rsidR="00D93BDE" w:rsidRPr="002C06D7" w:rsidRDefault="00D93BDE" w:rsidP="002C06D7">
      <w:pPr>
        <w:spacing w:after="111" w:line="360" w:lineRule="auto"/>
        <w:ind w:left="-5" w:hanging="10"/>
        <w:contextualSpacing/>
        <w:jc w:val="center"/>
        <w:rPr>
          <w:rFonts w:cs="Times New Roman"/>
          <w:szCs w:val="24"/>
        </w:rPr>
      </w:pPr>
    </w:p>
    <w:p w14:paraId="5628DBEF" w14:textId="4DDA630B"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2.4.2. Extended warning against misinformation</w:t>
      </w:r>
    </w:p>
    <w:p w14:paraId="788A48A5" w14:textId="7302BD99" w:rsidR="00D93BDE" w:rsidRPr="002C06D7" w:rsidRDefault="00D93BDE" w:rsidP="002C06D7">
      <w:pPr>
        <w:spacing w:line="360" w:lineRule="auto"/>
        <w:ind w:firstLine="567"/>
        <w:contextualSpacing/>
        <w:jc w:val="both"/>
        <w:rPr>
          <w:rFonts w:cs="Times New Roman"/>
          <w:bCs/>
          <w:szCs w:val="24"/>
        </w:rPr>
      </w:pPr>
      <w:r w:rsidRPr="002C06D7">
        <w:rPr>
          <w:rFonts w:cs="Times New Roman"/>
          <w:szCs w:val="24"/>
        </w:rPr>
        <w:t xml:space="preserve">The extended warning will take the form of an approximately 7-minute podcast about the fallibility of human memory. This podcast will serve as a warning against the discrepancy between the event (a movie about Eric the electrician) and the misinformation. It will also provide information about the misinformation effect, source misattribution, and the influence of a lack of confidence on memory reports, all of which will be illustrated with examples. </w:t>
      </w:r>
      <w:r w:rsidR="001F57D7" w:rsidRPr="002C06D7">
        <w:rPr>
          <w:rFonts w:cs="Times New Roman"/>
          <w:bCs/>
          <w:szCs w:val="24"/>
        </w:rPr>
        <w:t>In addition, the podcast</w:t>
      </w:r>
      <w:r w:rsidR="00D03C13" w:rsidRPr="002C06D7">
        <w:rPr>
          <w:rFonts w:cs="Times New Roman"/>
          <w:bCs/>
          <w:szCs w:val="24"/>
        </w:rPr>
        <w:t xml:space="preserve"> will explain why the deception was applied.</w:t>
      </w:r>
    </w:p>
    <w:p w14:paraId="6C11E690" w14:textId="77777777" w:rsidR="00D93BDE" w:rsidRPr="002C06D7" w:rsidRDefault="00D93BDE" w:rsidP="002C06D7">
      <w:pPr>
        <w:spacing w:after="120" w:line="360" w:lineRule="auto"/>
        <w:ind w:left="283"/>
        <w:contextualSpacing/>
        <w:jc w:val="both"/>
        <w:rPr>
          <w:rFonts w:cs="Times New Roman"/>
          <w:szCs w:val="24"/>
        </w:rPr>
      </w:pPr>
      <w:r w:rsidRPr="002C06D7">
        <w:rPr>
          <w:rFonts w:cs="Times New Roman"/>
          <w:szCs w:val="24"/>
        </w:rPr>
        <w:t xml:space="preserve"> </w:t>
      </w:r>
    </w:p>
    <w:p w14:paraId="05C70FA3"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2.4.3. Education about memory</w:t>
      </w:r>
    </w:p>
    <w:p w14:paraId="40AF944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The training will take the form of an approximately 7-minute podcast discussing the mechanisms of memory, in particular its constructive nature, with examples. It will also present the Seven Sins of Memory that were introduced by Schacter (1999). Each of these memory errors will be discussed in clear popular-science language and will be illustrated with an example from everyday life.</w:t>
      </w:r>
      <w:r w:rsidRPr="002C06D7">
        <w:rPr>
          <w:rFonts w:cs="Times New Roman"/>
          <w:b/>
          <w:szCs w:val="24"/>
        </w:rPr>
        <w:t xml:space="preserve"> </w:t>
      </w:r>
    </w:p>
    <w:p w14:paraId="2AD8BDF1" w14:textId="77777777" w:rsidR="00D93BDE" w:rsidRPr="002C06D7" w:rsidRDefault="00D93BDE" w:rsidP="002C06D7">
      <w:pPr>
        <w:spacing w:after="112" w:line="360" w:lineRule="auto"/>
        <w:contextualSpacing/>
        <w:jc w:val="both"/>
        <w:rPr>
          <w:rFonts w:cs="Times New Roman"/>
          <w:szCs w:val="24"/>
        </w:rPr>
      </w:pPr>
      <w:r w:rsidRPr="002C06D7">
        <w:rPr>
          <w:rFonts w:cs="Times New Roman"/>
          <w:b/>
          <w:szCs w:val="24"/>
        </w:rPr>
        <w:t xml:space="preserve"> </w:t>
      </w:r>
    </w:p>
    <w:p w14:paraId="57FB7EF8"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2.4.4. Demonstration and motivation</w:t>
      </w:r>
    </w:p>
    <w:p w14:paraId="6642E7AD" w14:textId="655FD990"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First, in order to demonstrate to participants that they are vulnerable to influence, a substantially shortened and simplified procedure based on the DRM paradigm will be used (Roediger &amp; McDermott, 1995). It will consist of the participants listening to experimenter presenting lists of words from a common category, e.g., nurse, sick, medicine, health, hospital, dentist, ill, patient, office, stethoscope, surgeon, clinic, cure. Each list is strongly associated with a specific word (a ‘critical lure’, e.g., ’doctor’ for the above mentioned list) which, however, will not be presented to the participants. The subjects will also receive a worksheet to write down all the words they remember from the lists. The DRM procedure usually results in most of the participants falsely recalling at least a few of the critical lures. Four lists will be chosen which on the basis of our previous research with this procedure, produce the strongest effect. The results will be fed back to participants in order to demonstrate to them that their memory was vulnerable to a subtle influence.</w:t>
      </w:r>
    </w:p>
    <w:p w14:paraId="2FBED428"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lastRenderedPageBreak/>
        <w:t xml:space="preserve">Next, the participants’ motivation to resist memory suggestibility will consist in them listening to a podcast with information that inaccurate testimony are the main causes of erroneous court judgments, which means that an innocent person may be convicted or a guilty person acquitted of a charge. The participants will also learn that a frequent source of erroneous testimonies is false information from the media or from other witnesses. They will also be instructed that if they ever testify as a witness, they should only use information that they remember. </w:t>
      </w:r>
    </w:p>
    <w:p w14:paraId="46DDC31F" w14:textId="77777777" w:rsidR="00D93BDE" w:rsidRPr="002C06D7" w:rsidRDefault="00D93BDE" w:rsidP="002C06D7">
      <w:pPr>
        <w:spacing w:after="118" w:line="360" w:lineRule="auto"/>
        <w:ind w:left="566"/>
        <w:contextualSpacing/>
        <w:jc w:val="both"/>
        <w:rPr>
          <w:rFonts w:cs="Times New Roman"/>
          <w:szCs w:val="24"/>
        </w:rPr>
      </w:pPr>
      <w:r w:rsidRPr="002C06D7">
        <w:rPr>
          <w:rFonts w:cs="Times New Roman"/>
          <w:szCs w:val="24"/>
        </w:rPr>
        <w:t xml:space="preserve"> </w:t>
      </w:r>
    </w:p>
    <w:p w14:paraId="449345C4"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2.4.5. Materials for the control condition </w:t>
      </w:r>
    </w:p>
    <w:p w14:paraId="60E8514F" w14:textId="77777777" w:rsidR="00D93BDE" w:rsidRPr="002C06D7" w:rsidRDefault="00D93BDE" w:rsidP="002C06D7">
      <w:pPr>
        <w:spacing w:line="360" w:lineRule="auto"/>
        <w:ind w:left="57" w:firstLine="567"/>
        <w:contextualSpacing/>
        <w:jc w:val="both"/>
        <w:rPr>
          <w:rFonts w:cs="Times New Roman"/>
          <w:szCs w:val="24"/>
        </w:rPr>
      </w:pPr>
      <w:bookmarkStart w:id="4" w:name="_Hlk112326353"/>
      <w:r w:rsidRPr="002C06D7">
        <w:rPr>
          <w:rFonts w:cs="Times New Roman"/>
          <w:szCs w:val="24"/>
        </w:rPr>
        <w:t>In the control group, participants will listen to a podcast concerning soft skills related to social attitudes.</w:t>
      </w:r>
      <w:r w:rsidRPr="002C06D7">
        <w:rPr>
          <w:rFonts w:cs="Times New Roman"/>
          <w:b/>
          <w:szCs w:val="24"/>
        </w:rPr>
        <w:t xml:space="preserve"> </w:t>
      </w:r>
    </w:p>
    <w:bookmarkEnd w:id="4"/>
    <w:p w14:paraId="4B842D1F" w14:textId="77777777" w:rsidR="00D93BDE" w:rsidRPr="002C06D7" w:rsidRDefault="00D93BDE" w:rsidP="002C06D7">
      <w:pPr>
        <w:spacing w:after="115" w:line="360" w:lineRule="auto"/>
        <w:contextualSpacing/>
        <w:jc w:val="both"/>
        <w:rPr>
          <w:rFonts w:cs="Times New Roman"/>
          <w:szCs w:val="24"/>
        </w:rPr>
      </w:pPr>
      <w:r w:rsidRPr="002C06D7">
        <w:rPr>
          <w:rFonts w:cs="Times New Roman"/>
          <w:b/>
          <w:szCs w:val="24"/>
        </w:rPr>
        <w:t xml:space="preserve"> </w:t>
      </w:r>
    </w:p>
    <w:p w14:paraId="28C3EDE8"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2.5. Procedure </w:t>
      </w:r>
    </w:p>
    <w:p w14:paraId="7F8AA97B" w14:textId="2681788E"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The procedure will consist of four main phases: (1) presenting the original material, (2) collaborative recall (including misinformation), (3) three procedures to reduce vulnerability to misinformation (and a control condition), and (4) an individual </w:t>
      </w:r>
      <w:r w:rsidR="00A6177D" w:rsidRPr="002C06D7">
        <w:rPr>
          <w:rFonts w:cs="Times New Roman"/>
          <w:szCs w:val="24"/>
        </w:rPr>
        <w:t>memory</w:t>
      </w:r>
      <w:r w:rsidRPr="002C06D7">
        <w:rPr>
          <w:rFonts w:cs="Times New Roman"/>
          <w:szCs w:val="24"/>
        </w:rPr>
        <w:t xml:space="preserve"> test of the original material. In the first phase, the participants (always a pair of them) will watch the movie about Eric. Before the movie participants will be given the following instructions, which were taken from Garry </w:t>
      </w:r>
      <w:r w:rsidRPr="002C06D7">
        <w:rPr>
          <w:rFonts w:cs="Times New Roman"/>
          <w:i/>
          <w:szCs w:val="24"/>
        </w:rPr>
        <w:t>et al.</w:t>
      </w:r>
      <w:r w:rsidRPr="002C06D7">
        <w:rPr>
          <w:rFonts w:cs="Times New Roman"/>
          <w:szCs w:val="24"/>
        </w:rPr>
        <w:t xml:space="preserve"> (2008, p. 433): </w:t>
      </w:r>
    </w:p>
    <w:p w14:paraId="0594C97A"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“We are interested in people’s sensory impressions at different levels of visual acuity. Visual acuity basically means how well you can see. So, for example, right now you all should have 100% visual acuity, either because your eyes work properly or because you have corrective glasses on. We want to know what happens to people’s sensory impressions when their visual acuity is degraded by different amounts. Today, you will both be in the 95% visual acuity condition. I will give you each a pair of 95% acuity glasses, which will degrade your vision slightly. If you already wear glasses, the acuity glasses should fit over the top”. </w:t>
      </w:r>
    </w:p>
    <w:p w14:paraId="3801EF1D"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Then, participants will be given the polarized glasses, after which they will be told: </w:t>
      </w:r>
    </w:p>
    <w:p w14:paraId="3D3F024D"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“I am going to show you a short movie of a tradesman called Eric working in a house. Please make sure you watch the movie through the glasses (no peeking over the top or around the side) and keep your sunglasses on until I ask you to remove them. We find that people often see best when they keep their head straight rather than tilted” (Garry </w:t>
      </w:r>
      <w:r w:rsidRPr="002C06D7">
        <w:rPr>
          <w:rFonts w:cs="Times New Roman"/>
          <w:i/>
          <w:szCs w:val="24"/>
        </w:rPr>
        <w:t>et al.,</w:t>
      </w:r>
      <w:r w:rsidRPr="002C06D7">
        <w:rPr>
          <w:rFonts w:cs="Times New Roman"/>
          <w:szCs w:val="24"/>
        </w:rPr>
        <w:t xml:space="preserve"> 2008, p. 434; the instruction was translated into Polish by a native speaker). Then, the two participants will watch the video. Due to the technical manipulations of the MORI technique, the recording will be identical for each person in each pair, except for eight critical details. </w:t>
      </w:r>
    </w:p>
    <w:p w14:paraId="35482ADA" w14:textId="64A88EA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lastRenderedPageBreak/>
        <w:t>After watching the video, the participants will be engaged in a filler task (solving logic puzzles) for 15 minutes. After that, in the second phase, the participants will complete the collaborative recognition test. This is a series of questions, thanks to which the participants will discuss half of the discrepant details included in the original material, thus leading to mutual misinformation. The test will comprise 12 questions, four of which refer to critical details (e.g.</w:t>
      </w:r>
      <w:r w:rsidR="00E939DE">
        <w:rPr>
          <w:rFonts w:cs="Times New Roman"/>
          <w:szCs w:val="24"/>
        </w:rPr>
        <w:t>,</w:t>
      </w:r>
      <w:r w:rsidRPr="002C06D7">
        <w:rPr>
          <w:rFonts w:cs="Times New Roman"/>
          <w:szCs w:val="24"/>
        </w:rPr>
        <w:t xml:space="preserve"> What color was Eric’s cap?), with the other eight being control questions. Each question and its five possible responses will be displayed in a PowerPoint presentation for 60 seconds while participants discuss the answer. If the participants are unable to reach an agreement, both responses will be documented. The discussion will be audio recorded.</w:t>
      </w:r>
    </w:p>
    <w:p w14:paraId="2CA0AFBC"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In order to ensure sufficient discussion, each pair will discuss the same set of four critical details during the collaborative recall phase. For example, all pairs will talk about Eric’s cap color and his company logo.</w:t>
      </w:r>
    </w:p>
    <w:p w14:paraId="2B827E2A"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After the discussion, there will be another filler task: the participants will be asked to work on multiplication problems for five minutes. After that, the third phase will take place: it will consist in the procedures to reduce vulnerability to misinformation that were described above. The participants will be randomly divided into four groups: in each of the first three, a different method of minimizing memory conformity will be applied; the fourth group will be the control group. Participants in the ‘Extended warning’ group will listen to the podcast about ‘memory functioning and its imperfections’; those in in the ‘Education about memory’ group will listen to the podcast about the functioning and sins of memory. Participants in the DRM group will be given the DRM procedure with feedback, described above, which usually results in most of the participants falsely recalling a few of the critical lures. At this moment in this group, the experimenter will give the following information to the participants: “Thank you for completing this memory task. Please take a look at your sheets now. See if you have written down any of the words: doctor, window, sweet, thief. If so, you were fooled. These words are strongly associated with the sets I read, but they were not included in them. You can see how easily human memory can be distorted”. Afterwards, the participants will be motivated to resist illegitimate influences. The goal of this part is to make the participants aware that they may testify in court someday. They will be told that errors in human testimony are the main cause of mistakes made by the justice system, yet such testimonies are still a major source of information. The devastating consequences of errors caused by the fallibility of memory will be demonstrated. The participants will be strongly encouraged to rely only on their own </w:t>
      </w:r>
      <w:r w:rsidRPr="002C06D7">
        <w:rPr>
          <w:rFonts w:cs="Times New Roman"/>
          <w:szCs w:val="24"/>
        </w:rPr>
        <w:lastRenderedPageBreak/>
        <w:t>memory, not on any information stemming from the partner. In the control group, participants will listen to a podcast concerning soft skills related to social attitudes.</w:t>
      </w:r>
    </w:p>
    <w:p w14:paraId="482ED3F2" w14:textId="3AA1B802"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Immediately after the participants are done with the methods of reducing memory conformity (or the control condition), they will complete the individual </w:t>
      </w:r>
      <w:r w:rsidR="00827149" w:rsidRPr="002C06D7">
        <w:rPr>
          <w:rFonts w:cs="Times New Roman"/>
          <w:szCs w:val="24"/>
        </w:rPr>
        <w:t>memory</w:t>
      </w:r>
      <w:r w:rsidRPr="002C06D7">
        <w:rPr>
          <w:rFonts w:cs="Times New Roman"/>
          <w:szCs w:val="24"/>
        </w:rPr>
        <w:t xml:space="preserve"> test of the original material (the movie presented at the beginning of the study). The test will contain 20 open-ended questions, eight of which will cover all the critical details included in the movie, regardless of whether they were subsequently discussed. Moreover, for each question, the participants will be asked to rate the subjective certainty of each answer on a scale from 0% (complete uncertainty, guessing) to 100% (absolute certainty). Four indices will be derived from the open-ended test: the number of: (1) correct answers (consistent with the movie), (2) answers consistent with the misinformation, (3) other answers (consistent neither with the movie nor the misinformation), and (4) the overall number of answers.</w:t>
      </w:r>
    </w:p>
    <w:p w14:paraId="4785B7B7"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Next, the subjects will be requested to say what they think the real purpose of the study was. Their responses will be recorded for exploratory analysis of any relationship between hypothesis awareness and performance. </w:t>
      </w:r>
    </w:p>
    <w:p w14:paraId="6FE5C849" w14:textId="643230BF"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Finally, the participants will be debriefed. One experimental session will last about 60 minutes.</w:t>
      </w:r>
    </w:p>
    <w:p w14:paraId="748503E6" w14:textId="77777777" w:rsidR="00A91B27" w:rsidRPr="002C06D7" w:rsidRDefault="00A91B27" w:rsidP="002C06D7">
      <w:pPr>
        <w:spacing w:after="5" w:line="360" w:lineRule="auto"/>
        <w:ind w:left="-15" w:right="5" w:firstLine="567"/>
        <w:contextualSpacing/>
        <w:jc w:val="both"/>
        <w:rPr>
          <w:rFonts w:cs="Times New Roman"/>
          <w:szCs w:val="24"/>
        </w:rPr>
      </w:pPr>
    </w:p>
    <w:p w14:paraId="36B5582A" w14:textId="139D2B3E" w:rsidR="00D93BDE" w:rsidRPr="002C06D7" w:rsidRDefault="00D93BDE" w:rsidP="002C06D7">
      <w:pPr>
        <w:spacing w:after="117" w:line="360" w:lineRule="auto"/>
        <w:ind w:left="293" w:right="5" w:hanging="10"/>
        <w:contextualSpacing/>
        <w:jc w:val="both"/>
        <w:rPr>
          <w:rFonts w:cs="Times New Roman"/>
          <w:b/>
          <w:szCs w:val="24"/>
        </w:rPr>
      </w:pPr>
      <w:r w:rsidRPr="002C06D7">
        <w:rPr>
          <w:rFonts w:cs="Times New Roman"/>
          <w:b/>
          <w:szCs w:val="24"/>
        </w:rPr>
        <w:t>Figure 2. An overview of the procedure.</w:t>
      </w:r>
    </w:p>
    <w:p w14:paraId="0F90B594" w14:textId="77777777" w:rsidR="00D93BDE" w:rsidRPr="002C06D7" w:rsidRDefault="00D93BDE" w:rsidP="002C06D7">
      <w:pPr>
        <w:spacing w:after="117" w:line="360" w:lineRule="auto"/>
        <w:ind w:left="293" w:right="5" w:hanging="10"/>
        <w:contextualSpacing/>
        <w:jc w:val="both"/>
        <w:rPr>
          <w:rFonts w:cs="Times New Roman"/>
          <w:b/>
          <w:szCs w:val="24"/>
        </w:rPr>
      </w:pPr>
    </w:p>
    <w:p w14:paraId="660414ED" w14:textId="77777777"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w:t>
      </w:r>
    </w:p>
    <w:p w14:paraId="45A3C7DA" w14:textId="74188FE8"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Fig. 2. An overview of the procedure.</w:t>
      </w:r>
    </w:p>
    <w:p w14:paraId="3736C46C" w14:textId="3D92B041"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w:t>
      </w:r>
    </w:p>
    <w:p w14:paraId="3F807E03" w14:textId="77777777" w:rsidR="00D93BDE" w:rsidRPr="002C06D7" w:rsidRDefault="00D93BDE" w:rsidP="002C06D7">
      <w:pPr>
        <w:spacing w:after="111" w:line="360" w:lineRule="auto"/>
        <w:ind w:left="-5" w:hanging="10"/>
        <w:contextualSpacing/>
        <w:jc w:val="center"/>
        <w:rPr>
          <w:rFonts w:cs="Times New Roman"/>
          <w:b/>
          <w:szCs w:val="24"/>
        </w:rPr>
      </w:pPr>
    </w:p>
    <w:p w14:paraId="4B1A2EFD" w14:textId="77777777" w:rsidR="00D93BDE" w:rsidRPr="002C06D7" w:rsidRDefault="00D93BDE" w:rsidP="002C06D7">
      <w:pPr>
        <w:keepNext/>
        <w:keepLines/>
        <w:spacing w:after="111" w:line="360" w:lineRule="auto"/>
        <w:contextualSpacing/>
        <w:jc w:val="both"/>
        <w:outlineLvl w:val="0"/>
        <w:rPr>
          <w:rFonts w:cs="Times New Roman"/>
          <w:b/>
          <w:szCs w:val="24"/>
        </w:rPr>
      </w:pPr>
      <w:r w:rsidRPr="002C06D7">
        <w:rPr>
          <w:rFonts w:cs="Times New Roman"/>
          <w:b/>
          <w:szCs w:val="24"/>
        </w:rPr>
        <w:t>3. Analysis plan</w:t>
      </w:r>
    </w:p>
    <w:p w14:paraId="7E4AD933" w14:textId="3C130D2D" w:rsidR="00D53B59"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main hypotheses relate to replicating the memory conformity effect and verifying the efficacy of the three methods of reducing it. First we will examine the memory conformity effect using the procedure of Garry </w:t>
      </w:r>
      <w:r w:rsidRPr="002C06D7">
        <w:rPr>
          <w:rFonts w:cs="Times New Roman"/>
          <w:i/>
          <w:iCs/>
          <w:szCs w:val="24"/>
        </w:rPr>
        <w:t>et al.</w:t>
      </w:r>
      <w:r w:rsidRPr="002C06D7">
        <w:rPr>
          <w:rFonts w:cs="Times New Roman"/>
          <w:szCs w:val="24"/>
        </w:rPr>
        <w:t xml:space="preserve"> (2008; also Ito </w:t>
      </w:r>
      <w:r w:rsidRPr="002C06D7">
        <w:rPr>
          <w:rFonts w:cs="Times New Roman"/>
          <w:i/>
          <w:iCs/>
          <w:szCs w:val="24"/>
        </w:rPr>
        <w:t>et al.,</w:t>
      </w:r>
      <w:r w:rsidRPr="002C06D7">
        <w:rPr>
          <w:rFonts w:cs="Times New Roman"/>
          <w:szCs w:val="24"/>
        </w:rPr>
        <w:t xml:space="preserve"> 2019), but with modification concerning applying open-ended questions in the individual </w:t>
      </w:r>
      <w:r w:rsidR="004B6586" w:rsidRPr="002C06D7">
        <w:rPr>
          <w:rFonts w:cs="Times New Roman"/>
          <w:szCs w:val="24"/>
        </w:rPr>
        <w:t>memory</w:t>
      </w:r>
      <w:r w:rsidRPr="002C06D7">
        <w:rPr>
          <w:rFonts w:cs="Times New Roman"/>
          <w:szCs w:val="24"/>
        </w:rPr>
        <w:t xml:space="preserve"> test</w:t>
      </w:r>
      <w:r w:rsidR="00D53B59" w:rsidRPr="002C06D7">
        <w:rPr>
          <w:rFonts w:cs="Times New Roman"/>
          <w:szCs w:val="24"/>
        </w:rPr>
        <w:t>.</w:t>
      </w:r>
      <w:r w:rsidR="007C259E" w:rsidRPr="002C06D7">
        <w:rPr>
          <w:rFonts w:cs="Times New Roman"/>
          <w:szCs w:val="24"/>
        </w:rPr>
        <w:t xml:space="preserve"> We </w:t>
      </w:r>
      <w:bookmarkStart w:id="5" w:name="Z1"/>
      <w:bookmarkEnd w:id="5"/>
      <w:r w:rsidR="007C259E" w:rsidRPr="002C06D7">
        <w:rPr>
          <w:rFonts w:cs="Times New Roman"/>
          <w:szCs w:val="24"/>
        </w:rPr>
        <w:t xml:space="preserve">will explore the individual </w:t>
      </w:r>
      <w:r w:rsidR="0083525F" w:rsidRPr="002C06D7">
        <w:rPr>
          <w:rFonts w:cs="Times New Roman"/>
          <w:szCs w:val="24"/>
        </w:rPr>
        <w:t>memory</w:t>
      </w:r>
      <w:r w:rsidR="007C259E" w:rsidRPr="002C06D7">
        <w:rPr>
          <w:rFonts w:cs="Times New Roman"/>
          <w:szCs w:val="24"/>
        </w:rPr>
        <w:t xml:space="preserve"> test’s scores for the critical details using analysis of variance (ANOVA), using all four indices: the number of correct answers, number of answers consistent with </w:t>
      </w:r>
      <w:r w:rsidR="007C259E" w:rsidRPr="002C06D7">
        <w:rPr>
          <w:rFonts w:cs="Times New Roman"/>
          <w:szCs w:val="24"/>
        </w:rPr>
        <w:lastRenderedPageBreak/>
        <w:t xml:space="preserve">misinformation, other answers, and the overall number of answers. Moreover, we will observe the individual </w:t>
      </w:r>
      <w:r w:rsidR="0004064A">
        <w:rPr>
          <w:rFonts w:cs="Times New Roman"/>
          <w:szCs w:val="24"/>
        </w:rPr>
        <w:t>memory</w:t>
      </w:r>
      <w:r w:rsidR="0004064A" w:rsidRPr="002C06D7">
        <w:rPr>
          <w:rFonts w:cs="Times New Roman"/>
          <w:szCs w:val="24"/>
        </w:rPr>
        <w:t xml:space="preserve"> </w:t>
      </w:r>
      <w:r w:rsidR="007C259E" w:rsidRPr="002C06D7">
        <w:rPr>
          <w:rFonts w:cs="Times New Roman"/>
          <w:szCs w:val="24"/>
        </w:rPr>
        <w:t>test’s average accuracy on the filler, non-discussed, and discussed questions.</w:t>
      </w:r>
    </w:p>
    <w:p w14:paraId="60D96405" w14:textId="3EFE2458" w:rsidR="00BE266C" w:rsidRPr="002C06D7" w:rsidRDefault="00BE266C" w:rsidP="002C06D7">
      <w:pPr>
        <w:spacing w:line="360" w:lineRule="auto"/>
        <w:ind w:left="57" w:right="6" w:firstLine="567"/>
        <w:contextualSpacing/>
        <w:jc w:val="both"/>
        <w:rPr>
          <w:rFonts w:cs="Times New Roman"/>
          <w:szCs w:val="24"/>
        </w:rPr>
      </w:pPr>
      <w:r w:rsidRPr="002C06D7">
        <w:rPr>
          <w:rFonts w:cs="Times New Roman"/>
          <w:szCs w:val="24"/>
        </w:rPr>
        <w:t>In existing research using the MORI technique a two-alternative forced-choice questions test was used as the main index of correctness of answers. One of the alternatives matched the correct answer, that is, the item presented to a given participant. The second one, was the alternative consistent with what the partner was presented with. Accordingly, in the scoring system, items in which, during the discussion, the partner of the participant provided an answer consistent with what the partner was familarised with was treated as misleading the participant (e.g., Ito et al. 2019). In the present research, the individual memory test will also use the two-alternative forced-choice format. In this case, each answer given by the partner of a participant that is inconsistent with what the participant was presented with is misleading. For example, the participant had seen a white mug and their partner had seen a green mug. All the answers provided by the partner during the discussion (green mug, violet mug, yellow mug, blue mug) are misleading the participant and will be classified as misleading. However, if the partner provided an answer consistent with what the participant had seen, that is, “white mug” (such a situation can happen, e.g., as a result of the partner's guessing), the situation will not be classified as misleading. Of course, the answer ‘don’t know’ will also not be classified as misleading.</w:t>
      </w:r>
      <w:r w:rsidR="009F78A4">
        <w:rPr>
          <w:rFonts w:cs="Times New Roman"/>
          <w:szCs w:val="24"/>
        </w:rPr>
      </w:r>
      <w:r w:rsidRPr="002C06D7">
        <w:rPr>
          <w:rFonts w:cs="Times New Roman"/>
          <w:szCs w:val="24"/>
        </w:rPr>
      </w:r>
      <w:r w:rsidRPr="00111447">
        <w:rPr>
          <w:rFonts w:cs="Times New Roman"/>
          <w:i/>
          <w:iCs/>
          <w:szCs w:val="24"/>
        </w:rPr>
      </w:r>
      <w:r w:rsidRPr="002C06D7">
        <w:rPr>
          <w:rFonts w:cs="Times New Roman"/>
          <w:szCs w:val="24"/>
        </w:rPr>
      </w:r>
      <w:r w:rsidR="00AD0FA1">
        <w:rPr>
          <w:rFonts w:cs="Times New Roman"/>
          <w:szCs w:val="24"/>
        </w:rPr>
      </w:r>
      <w:r w:rsidRPr="002C06D7">
        <w:rPr>
          <w:rFonts w:cs="Times New Roman"/>
          <w:szCs w:val="24"/>
        </w:rPr>
      </w:r>
      <w:r w:rsidR="00177799">
        <w:rPr>
          <w:rFonts w:cs="Times New Roman"/>
          <w:szCs w:val="24"/>
        </w:rPr>
      </w:r>
      <w:r w:rsidRPr="002C06D7">
        <w:rPr>
          <w:rFonts w:cs="Times New Roman"/>
          <w:szCs w:val="24"/>
        </w:rPr>
      </w:r>
      <w:r w:rsidR="00111447">
        <w:rPr>
          <w:rFonts w:cs="Times New Roman"/>
          <w:szCs w:val="24"/>
        </w:rPr>
      </w:r>
      <w:r w:rsidRPr="002C06D7">
        <w:rPr>
          <w:rFonts w:cs="Times New Roman"/>
          <w:szCs w:val="24"/>
        </w:rPr>
      </w:r>
      <w:r w:rsidR="00177799">
        <w:rPr>
          <w:rFonts w:cs="Times New Roman"/>
          <w:szCs w:val="24"/>
        </w:rPr>
      </w:r>
      <w:r w:rsidRPr="002C06D7">
        <w:rPr>
          <w:rFonts w:cs="Times New Roman"/>
          <w:szCs w:val="24"/>
        </w:rPr>
      </w:r>
      <w:r w:rsidR="00111447">
        <w:rPr>
          <w:rFonts w:cs="Times New Roman"/>
          <w:szCs w:val="24"/>
        </w:rPr>
      </w:r>
      <w:r w:rsidRPr="002C06D7">
        <w:rPr>
          <w:rFonts w:cs="Times New Roman"/>
          <w:szCs w:val="24"/>
        </w:rPr>
      </w:r>
    </w:p>
    <w:p w14:paraId="20FCC459" w14:textId="49233DD3"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In addition, while scoring the individual memory test accuracy on the discussed questions (items containing misleading information), we will categorize all discussed items as having contained misinformation, as the collaborative recall procedure is designed to expose participants to their partner’s differing version of events.</w:t>
      </w:r>
      <w:r w:rsidR="006752E0">
        <w:rPr>
          <w:rFonts w:cs="Times New Roman"/>
          <w:szCs w:val="24"/>
        </w:rPr>
      </w:r>
      <w:r w:rsidR="006752E0" w:rsidRPr="002C06D7">
        <w:rPr>
          <w:rFonts w:cs="Times New Roman"/>
          <w:szCs w:val="24"/>
        </w:rPr>
      </w:r>
      <w:r w:rsidRPr="002C06D7">
        <w:rPr>
          <w:rFonts w:cs="Times New Roman"/>
          <w:szCs w:val="24"/>
        </w:rPr>
      </w:r>
      <w:bookmarkStart w:id="6" w:name="_Hlk112359236"/>
      <w:r w:rsidRPr="002C06D7">
        <w:rPr>
          <w:rFonts w:cs="Times New Roman"/>
          <w:szCs w:val="24"/>
        </w:rPr>
      </w:r>
      <w:r w:rsidR="000C59A5">
        <w:rPr>
          <w:rFonts w:cs="Times New Roman"/>
          <w:szCs w:val="24"/>
        </w:rPr>
      </w:r>
      <w:r w:rsidRPr="002C06D7">
        <w:rPr>
          <w:rFonts w:cs="Times New Roman"/>
          <w:szCs w:val="24"/>
        </w:rPr>
      </w:r>
    </w:p>
    <w:bookmarkEnd w:id="6"/>
    <w:p w14:paraId="1C055EDB" w14:textId="38289040"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Thus, analyzing memory conformity is based on a within-subjects factor. In contrast, the methods of reducing the memory conformity effect constitute a between-subjects factor with four levels (three methods and the control group). The results will be analyzed by means of a two-factor ANOVA, with one within-subjects factor with two levels (discussed vs. non-discussed items) and one between-subjects factor with four levels (</w:t>
      </w:r>
      <w:r w:rsidR="00EC5A9B" w:rsidRPr="002C06D7">
        <w:rPr>
          <w:rFonts w:cs="Times New Roman"/>
          <w:szCs w:val="24"/>
        </w:rPr>
        <w:t>three</w:t>
      </w:r>
      <w:r w:rsidRPr="002C06D7">
        <w:rPr>
          <w:rFonts w:cs="Times New Roman"/>
          <w:szCs w:val="24"/>
        </w:rPr>
        <w:t xml:space="preserve"> groups of methods of reducing memory conformity</w:t>
      </w:r>
      <w:r w:rsidR="00EC5A9B" w:rsidRPr="002C06D7">
        <w:rPr>
          <w:rFonts w:cs="Times New Roman"/>
          <w:szCs w:val="24"/>
        </w:rPr>
        <w:t xml:space="preserve"> and </w:t>
      </w:r>
      <w:r w:rsidRPr="002C06D7">
        <w:rPr>
          <w:rFonts w:cs="Times New Roman"/>
          <w:szCs w:val="24"/>
        </w:rPr>
        <w:t>the control group).</w:t>
      </w:r>
    </w:p>
    <w:p w14:paraId="1514A6D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lastRenderedPageBreak/>
        <w:t xml:space="preserve">The hypothesis concerning the efficacy of the methods for reducing the memory conformity effect will be verified by means of analyzing the interaction between the repeated measures factor of misinformation and the grouping factor. The efficacy of a given method will be confirmed if the magnitude of memory conformity (expressed as the difference between the accuracy on discussed and non-discussed items) is smaller in the group in which this method was applied than in the control group. In the case of a significant main interaction, follow-up comparisons between pairs of groups will be performed. </w:t>
      </w:r>
    </w:p>
    <w:p w14:paraId="5451512F"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As an additional exploratory analysis, the results on the DRM procedure will be used as a possible predictor of the results on the MORI technique.</w:t>
      </w:r>
    </w:p>
    <w:p w14:paraId="4EA45210" w14:textId="77777777" w:rsidR="00D93BDE" w:rsidRPr="002C06D7" w:rsidRDefault="00D93BDE" w:rsidP="002C06D7">
      <w:pPr>
        <w:spacing w:after="118" w:line="360" w:lineRule="auto"/>
        <w:ind w:left="283"/>
        <w:contextualSpacing/>
        <w:jc w:val="both"/>
        <w:rPr>
          <w:rFonts w:cs="Times New Roman"/>
          <w:szCs w:val="24"/>
        </w:rPr>
      </w:pPr>
      <w:r w:rsidRPr="002C06D7">
        <w:rPr>
          <w:rFonts w:cs="Times New Roman"/>
          <w:szCs w:val="24"/>
        </w:rPr>
        <w:t xml:space="preserve"> </w:t>
      </w:r>
    </w:p>
    <w:p w14:paraId="10ED0F6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3.1. Exclusions </w:t>
      </w:r>
    </w:p>
    <w:p w14:paraId="41D84594" w14:textId="269223DD"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We will exclude participants in the case of any technical problems during the experimental session. </w:t>
      </w:r>
    </w:p>
    <w:p w14:paraId="4F76AAC7" w14:textId="77777777" w:rsidR="00371A17" w:rsidRPr="002C06D7" w:rsidRDefault="00371A17" w:rsidP="002C06D7">
      <w:pPr>
        <w:spacing w:line="360" w:lineRule="auto"/>
        <w:ind w:left="57" w:right="6" w:firstLine="567"/>
        <w:contextualSpacing/>
        <w:jc w:val="both"/>
        <w:rPr>
          <w:rFonts w:cs="Times New Roman"/>
          <w:szCs w:val="24"/>
        </w:rPr>
      </w:pPr>
    </w:p>
    <w:p w14:paraId="20F203A0"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3.2. Timeline for completion of the study </w:t>
      </w:r>
    </w:p>
    <w:p w14:paraId="7F81E830"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study will be conducted in 2023. If the Stage 1 review is accepted, the resubmission should be </w:t>
      </w:r>
      <w:r w:rsidRPr="002C06D7">
        <w:rPr>
          <w:rStyle w:val="cf01"/>
          <w:rFonts w:ascii="Times New Roman" w:hAnsi="Times New Roman" w:cs="Times New Roman"/>
          <w:sz w:val="24"/>
          <w:szCs w:val="24"/>
        </w:rPr>
        <w:t>completed</w:t>
      </w:r>
      <w:r w:rsidRPr="002C06D7">
        <w:rPr>
          <w:rFonts w:cs="Times New Roman"/>
          <w:szCs w:val="24"/>
        </w:rPr>
        <w:t xml:space="preserve"> no later than in 2023.</w:t>
      </w:r>
    </w:p>
    <w:p w14:paraId="35B57C30" w14:textId="77777777" w:rsidR="00D93BDE" w:rsidRPr="00D93BDE" w:rsidRDefault="00D93BDE" w:rsidP="00D93BDE">
      <w:pPr>
        <w:spacing w:after="112" w:line="360" w:lineRule="auto"/>
        <w:contextualSpacing/>
        <w:jc w:val="both"/>
        <w:rPr>
          <w:rFonts w:cs="Times New Roman"/>
          <w:szCs w:val="24"/>
        </w:rPr>
      </w:pPr>
      <w:r w:rsidRPr="00D93BDE">
        <w:rPr>
          <w:rFonts w:cs="Times New Roman"/>
          <w:b/>
          <w:szCs w:val="24"/>
        </w:rPr>
        <w:t xml:space="preserve"> </w:t>
      </w:r>
    </w:p>
    <w:p w14:paraId="0E6A15EE" w14:textId="77777777" w:rsidR="00D93BDE" w:rsidRPr="00D93BDE" w:rsidRDefault="00D93BDE" w:rsidP="00D93BDE">
      <w:pPr>
        <w:keepNext/>
        <w:keepLines/>
        <w:spacing w:after="111" w:line="360" w:lineRule="auto"/>
        <w:ind w:left="-5" w:hanging="10"/>
        <w:contextualSpacing/>
        <w:jc w:val="both"/>
        <w:outlineLvl w:val="0"/>
        <w:rPr>
          <w:rFonts w:cs="Times New Roman"/>
          <w:b/>
          <w:szCs w:val="24"/>
        </w:rPr>
      </w:pPr>
      <w:r w:rsidRPr="00D93BDE">
        <w:rPr>
          <w:rFonts w:cs="Times New Roman"/>
          <w:b/>
          <w:szCs w:val="24"/>
        </w:rPr>
        <w:t xml:space="preserve">References </w:t>
      </w:r>
    </w:p>
    <w:p w14:paraId="16D812C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Blank, H. (1998). Memory states and memory tasks. An integrative framework for eyewitness memory and suggestibility. </w:t>
      </w:r>
      <w:r w:rsidRPr="00D93BDE">
        <w:rPr>
          <w:rFonts w:cs="Times New Roman"/>
          <w:i/>
          <w:szCs w:val="24"/>
        </w:rPr>
        <w:t>Memory</w:t>
      </w:r>
      <w:r w:rsidRPr="00D93BDE">
        <w:rPr>
          <w:rFonts w:cs="Times New Roman"/>
          <w:szCs w:val="24"/>
        </w:rPr>
        <w:t xml:space="preserve">, </w:t>
      </w:r>
      <w:r w:rsidRPr="00D93BDE">
        <w:rPr>
          <w:rFonts w:cs="Times New Roman"/>
          <w:i/>
          <w:szCs w:val="24"/>
        </w:rPr>
        <w:t>6</w:t>
      </w:r>
      <w:r w:rsidRPr="00D93BDE">
        <w:rPr>
          <w:rFonts w:cs="Times New Roman"/>
          <w:szCs w:val="24"/>
        </w:rPr>
        <w:t xml:space="preserve">, 481–529. </w:t>
      </w:r>
    </w:p>
    <w:p w14:paraId="7A55CC9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Blank, H., &amp; Launay, C. (2014). How to protect eyewitness memory against the misinformation effect: A meta-analysis of post-warning studies. </w:t>
      </w:r>
      <w:r w:rsidRPr="00D93BDE">
        <w:rPr>
          <w:rFonts w:cs="Times New Roman"/>
          <w:i/>
          <w:szCs w:val="24"/>
        </w:rPr>
        <w:t>Journal of Applied Research in Memory and Cognition</w:t>
      </w:r>
      <w:r w:rsidRPr="00D93BDE">
        <w:rPr>
          <w:rFonts w:cs="Times New Roman"/>
          <w:szCs w:val="24"/>
        </w:rPr>
        <w:t xml:space="preserve">, </w:t>
      </w:r>
      <w:r w:rsidRPr="00D93BDE">
        <w:rPr>
          <w:rFonts w:cs="Times New Roman"/>
          <w:i/>
          <w:szCs w:val="24"/>
        </w:rPr>
        <w:t>3</w:t>
      </w:r>
      <w:r w:rsidRPr="00D93BDE">
        <w:rPr>
          <w:rFonts w:cs="Times New Roman"/>
          <w:szCs w:val="24"/>
        </w:rPr>
        <w:t xml:space="preserve">(2), 77–88. </w:t>
      </w:r>
    </w:p>
    <w:p w14:paraId="4896845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Bodner, G. E., </w:t>
      </w:r>
      <w:proofErr w:type="spellStart"/>
      <w:r w:rsidRPr="00D93BDE">
        <w:rPr>
          <w:rFonts w:cs="Times New Roman"/>
          <w:szCs w:val="24"/>
        </w:rPr>
        <w:t>Musch</w:t>
      </w:r>
      <w:proofErr w:type="spellEnd"/>
      <w:r w:rsidRPr="00D93BDE">
        <w:rPr>
          <w:rFonts w:cs="Times New Roman"/>
          <w:szCs w:val="24"/>
        </w:rPr>
        <w:t xml:space="preserve">, E., &amp; Azad, T. (2009). Reevaluating the potency of the memory conformity effect. </w:t>
      </w:r>
      <w:r w:rsidRPr="00D93BDE">
        <w:rPr>
          <w:rFonts w:cs="Times New Roman"/>
          <w:i/>
          <w:szCs w:val="24"/>
        </w:rPr>
        <w:t>Memory &amp; Cognition, 37</w:t>
      </w:r>
      <w:r w:rsidRPr="00D93BDE">
        <w:rPr>
          <w:rFonts w:cs="Times New Roman"/>
          <w:szCs w:val="24"/>
        </w:rPr>
        <w:t xml:space="preserve">(8), 1069–1076. </w:t>
      </w:r>
    </w:p>
    <w:p w14:paraId="515FBC2B"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Borenstein</w:t>
      </w:r>
      <w:proofErr w:type="spellEnd"/>
      <w:r w:rsidRPr="00D93BDE">
        <w:rPr>
          <w:rFonts w:cs="Times New Roman"/>
          <w:szCs w:val="24"/>
        </w:rPr>
        <w:t xml:space="preserve">, M., Hedges, L., Higgins, J., &amp; Rothstein, H. (2003). </w:t>
      </w:r>
      <w:r w:rsidRPr="00D93BDE">
        <w:rPr>
          <w:rFonts w:cs="Times New Roman"/>
          <w:i/>
          <w:iCs/>
          <w:szCs w:val="24"/>
        </w:rPr>
        <w:t>Comprehensive Meta-Analysis Version 2</w:t>
      </w:r>
      <w:r w:rsidRPr="00D93BDE">
        <w:rPr>
          <w:rFonts w:cs="Times New Roman"/>
          <w:szCs w:val="24"/>
        </w:rPr>
        <w:t>. Englewood, NJ: Biostat.</w:t>
      </w:r>
    </w:p>
    <w:p w14:paraId="60C2B12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Brewer, N., &amp; Wells, G. L. (2011). Eyewitness identification. </w:t>
      </w:r>
      <w:r w:rsidRPr="00D93BDE">
        <w:rPr>
          <w:rFonts w:cs="Times New Roman"/>
          <w:i/>
          <w:szCs w:val="24"/>
        </w:rPr>
        <w:t>Current Directions in Psychological Science, 20</w:t>
      </w:r>
      <w:r w:rsidRPr="00D93BDE">
        <w:rPr>
          <w:rFonts w:cs="Times New Roman"/>
          <w:szCs w:val="24"/>
        </w:rPr>
        <w:t xml:space="preserve">(1), 24–27. </w:t>
      </w:r>
    </w:p>
    <w:p w14:paraId="28134F2F" w14:textId="77777777" w:rsidR="00D93BDE" w:rsidRPr="00D93BDE" w:rsidRDefault="00D93BDE" w:rsidP="00D93BDE">
      <w:pPr>
        <w:spacing w:line="360" w:lineRule="auto"/>
        <w:ind w:left="566" w:hanging="566"/>
        <w:contextualSpacing/>
        <w:jc w:val="both"/>
        <w:rPr>
          <w:rFonts w:cs="Times New Roman"/>
          <w:szCs w:val="24"/>
        </w:rPr>
      </w:pPr>
      <w:r w:rsidRPr="00D93BDE">
        <w:rPr>
          <w:rFonts w:cs="Times New Roman"/>
          <w:szCs w:val="24"/>
          <w:lang w:val="pl-PL"/>
        </w:rPr>
        <w:t xml:space="preserve">Brożek, B. (2009). </w:t>
      </w:r>
      <w:proofErr w:type="spellStart"/>
      <w:r w:rsidRPr="00D93BDE">
        <w:rPr>
          <w:rFonts w:cs="Times New Roman"/>
          <w:i/>
          <w:szCs w:val="24"/>
          <w:lang w:val="pl-PL"/>
        </w:rPr>
        <w:t>Metapamięć</w:t>
      </w:r>
      <w:proofErr w:type="spellEnd"/>
      <w:r w:rsidRPr="00D93BDE">
        <w:rPr>
          <w:rFonts w:cs="Times New Roman"/>
          <w:i/>
          <w:szCs w:val="24"/>
          <w:lang w:val="pl-PL"/>
        </w:rPr>
        <w:t xml:space="preserve"> a odporność na dezinformację: Aktywna rola podmiotu w przeciwdziałaniu dezinformacji</w:t>
      </w:r>
      <w:r w:rsidRPr="00D93BDE">
        <w:rPr>
          <w:rFonts w:cs="Times New Roman"/>
          <w:iCs/>
          <w:szCs w:val="24"/>
          <w:lang w:val="pl-PL"/>
        </w:rPr>
        <w:t xml:space="preserve">. </w:t>
      </w:r>
      <w:r w:rsidRPr="00D93BDE">
        <w:rPr>
          <w:rFonts w:cs="Times New Roman"/>
          <w:iCs/>
          <w:szCs w:val="24"/>
        </w:rPr>
        <w:t>[</w:t>
      </w:r>
      <w:r w:rsidRPr="00D93BDE">
        <w:rPr>
          <w:rFonts w:cs="Times New Roman"/>
          <w:i/>
          <w:szCs w:val="24"/>
        </w:rPr>
        <w:t xml:space="preserve">Metamemory and resisting misinformation: The active </w:t>
      </w:r>
      <w:r w:rsidRPr="00D93BDE">
        <w:rPr>
          <w:rFonts w:cs="Times New Roman"/>
          <w:i/>
          <w:szCs w:val="24"/>
        </w:rPr>
        <w:lastRenderedPageBreak/>
        <w:t>role of a person in counteraction misinformation</w:t>
      </w:r>
      <w:r w:rsidRPr="00D93BDE">
        <w:rPr>
          <w:rFonts w:cs="Times New Roman"/>
          <w:szCs w:val="24"/>
        </w:rPr>
        <w:t>]. Unpublished Master Thesis, Jagiellonian University, Cracow.</w:t>
      </w:r>
    </w:p>
    <w:p w14:paraId="07D1770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Cadavid, S., &amp; Luna, K. (2021). Online co‐witness discussions also lead to eyewitness memory distortion: The MORI‐v technique.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35</w:t>
      </w:r>
      <w:r w:rsidRPr="00D93BDE">
        <w:rPr>
          <w:rFonts w:cs="Times New Roman"/>
          <w:szCs w:val="24"/>
        </w:rPr>
        <w:t>(3), 621–631.</w:t>
      </w:r>
    </w:p>
    <w:p w14:paraId="09CFD67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Calvillo, D. P., Flores, A. N., &amp; Gonzales, L. C. (2018). A brief mindfulness induction after encoding decreases false recognition in the </w:t>
      </w:r>
      <w:proofErr w:type="spellStart"/>
      <w:r w:rsidRPr="00D93BDE">
        <w:rPr>
          <w:rFonts w:cs="Times New Roman"/>
          <w:szCs w:val="24"/>
        </w:rPr>
        <w:t>Deese</w:t>
      </w:r>
      <w:proofErr w:type="spellEnd"/>
      <w:r w:rsidRPr="00D93BDE">
        <w:rPr>
          <w:rFonts w:cs="Times New Roman"/>
          <w:szCs w:val="24"/>
        </w:rPr>
        <w:t xml:space="preserve">-Roediger-McDermott paradigm. </w:t>
      </w:r>
      <w:r w:rsidRPr="00D93BDE">
        <w:rPr>
          <w:rFonts w:cs="Times New Roman"/>
          <w:i/>
          <w:szCs w:val="24"/>
        </w:rPr>
        <w:t>Psychology of Consciousness: Theory, Research, and Practice</w:t>
      </w:r>
      <w:r w:rsidRPr="00D93BDE">
        <w:rPr>
          <w:rFonts w:cs="Times New Roman"/>
          <w:szCs w:val="24"/>
        </w:rPr>
        <w:t xml:space="preserve">, </w:t>
      </w:r>
      <w:r w:rsidRPr="00D93BDE">
        <w:rPr>
          <w:rFonts w:cs="Times New Roman"/>
          <w:i/>
          <w:szCs w:val="24"/>
        </w:rPr>
        <w:t>5</w:t>
      </w:r>
      <w:r w:rsidRPr="00D93BDE">
        <w:rPr>
          <w:rFonts w:cs="Times New Roman"/>
          <w:szCs w:val="24"/>
        </w:rPr>
        <w:t xml:space="preserve">(2), 131–139. </w:t>
      </w:r>
    </w:p>
    <w:p w14:paraId="0562FF9A"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Centofanti</w:t>
      </w:r>
      <w:proofErr w:type="spellEnd"/>
      <w:r w:rsidRPr="00D93BDE">
        <w:rPr>
          <w:rFonts w:cs="Times New Roman"/>
          <w:szCs w:val="24"/>
        </w:rPr>
        <w:t xml:space="preserve">, A.T., &amp; Reece, J. (2006). The cognitive interview and its effect on misleading postevent information. </w:t>
      </w:r>
      <w:r w:rsidRPr="00D93BDE">
        <w:rPr>
          <w:rFonts w:cs="Times New Roman"/>
          <w:i/>
          <w:szCs w:val="24"/>
        </w:rPr>
        <w:t>Psychology, Crime &amp; Law</w:t>
      </w:r>
      <w:r w:rsidRPr="00D93BDE">
        <w:rPr>
          <w:rFonts w:cs="Times New Roman"/>
          <w:szCs w:val="24"/>
        </w:rPr>
        <w:t xml:space="preserve">, </w:t>
      </w:r>
      <w:r w:rsidRPr="00D93BDE">
        <w:rPr>
          <w:rFonts w:cs="Times New Roman"/>
          <w:i/>
          <w:szCs w:val="24"/>
        </w:rPr>
        <w:t>12</w:t>
      </w:r>
      <w:r w:rsidRPr="00D93BDE">
        <w:rPr>
          <w:rFonts w:cs="Times New Roman"/>
          <w:szCs w:val="24"/>
        </w:rPr>
        <w:t xml:space="preserve">(6), 669–683. </w:t>
      </w:r>
    </w:p>
    <w:p w14:paraId="41F47A28" w14:textId="77777777" w:rsidR="00D93BDE" w:rsidRPr="00D93BDE" w:rsidRDefault="00D93BDE" w:rsidP="00D93BDE">
      <w:pPr>
        <w:spacing w:after="1" w:line="360" w:lineRule="auto"/>
        <w:ind w:left="551" w:right="163" w:hanging="566"/>
        <w:contextualSpacing/>
        <w:jc w:val="both"/>
        <w:rPr>
          <w:rFonts w:cs="Times New Roman"/>
          <w:szCs w:val="24"/>
        </w:rPr>
      </w:pPr>
      <w:r w:rsidRPr="00D93BDE">
        <w:rPr>
          <w:rFonts w:cs="Times New Roman"/>
          <w:szCs w:val="24"/>
        </w:rPr>
        <w:t xml:space="preserve">Condon, C. E., Ritchie, T. D., &amp; Igou, E. R. (2015). How dyads reminiscence moderates the relations between familiarity, trust, and memory conformity. </w:t>
      </w:r>
      <w:r w:rsidRPr="00D93BDE">
        <w:rPr>
          <w:rFonts w:cs="Times New Roman"/>
          <w:i/>
          <w:szCs w:val="24"/>
        </w:rPr>
        <w:t>Social Psychology</w:t>
      </w:r>
      <w:r w:rsidRPr="00D93BDE">
        <w:rPr>
          <w:rFonts w:cs="Times New Roman"/>
          <w:szCs w:val="24"/>
        </w:rPr>
        <w:t xml:space="preserve">, </w:t>
      </w:r>
      <w:r w:rsidRPr="00D93BDE">
        <w:rPr>
          <w:rFonts w:cs="Times New Roman"/>
          <w:i/>
          <w:szCs w:val="24"/>
        </w:rPr>
        <w:t>46</w:t>
      </w:r>
      <w:r w:rsidRPr="00D93BDE">
        <w:rPr>
          <w:rFonts w:cs="Times New Roman"/>
          <w:szCs w:val="24"/>
        </w:rPr>
        <w:t xml:space="preserve">(2), 65–75. </w:t>
      </w:r>
    </w:p>
    <w:p w14:paraId="5AFF27B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Ecker, U. K. H., Lewandowsky, S., Chang, E. P., &amp; Pillai, R. (2014). The effects of subtle misinformation in news headlines. </w:t>
      </w:r>
      <w:r w:rsidRPr="00D93BDE">
        <w:rPr>
          <w:rFonts w:cs="Times New Roman"/>
          <w:i/>
          <w:szCs w:val="24"/>
        </w:rPr>
        <w:t>Journal of Experimental Psychology: Applied, 20</w:t>
      </w:r>
      <w:r w:rsidRPr="00D93BDE">
        <w:rPr>
          <w:rFonts w:cs="Times New Roman"/>
          <w:szCs w:val="24"/>
        </w:rPr>
        <w:t xml:space="preserve">(4), 323–335. </w:t>
      </w:r>
    </w:p>
    <w:p w14:paraId="09A4B4B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Faul</w:t>
      </w:r>
      <w:proofErr w:type="spellEnd"/>
      <w:r w:rsidRPr="00D93BDE">
        <w:rPr>
          <w:rFonts w:cs="Times New Roman"/>
          <w:szCs w:val="24"/>
        </w:rPr>
        <w:t xml:space="preserve">, F., </w:t>
      </w:r>
      <w:proofErr w:type="spellStart"/>
      <w:r w:rsidRPr="00D93BDE">
        <w:rPr>
          <w:rFonts w:cs="Times New Roman"/>
          <w:szCs w:val="24"/>
        </w:rPr>
        <w:t>Erdfelder</w:t>
      </w:r>
      <w:proofErr w:type="spellEnd"/>
      <w:r w:rsidRPr="00D93BDE">
        <w:rPr>
          <w:rFonts w:cs="Times New Roman"/>
          <w:szCs w:val="24"/>
        </w:rPr>
        <w:t xml:space="preserve">, E., Lang, A. G., &amp; Buchner, A. (2007). G*Power 3: a flexible statistical power analysis program for the social, behavioral, and biomedical sciences. </w:t>
      </w:r>
      <w:r w:rsidRPr="00D93BDE">
        <w:rPr>
          <w:rFonts w:cs="Times New Roman"/>
          <w:i/>
          <w:szCs w:val="24"/>
        </w:rPr>
        <w:t>Behavior research methods</w:t>
      </w:r>
      <w:r w:rsidRPr="00D93BDE">
        <w:rPr>
          <w:rFonts w:cs="Times New Roman"/>
          <w:szCs w:val="24"/>
        </w:rPr>
        <w:t xml:space="preserve">, </w:t>
      </w:r>
      <w:r w:rsidRPr="00D93BDE">
        <w:rPr>
          <w:rFonts w:cs="Times New Roman"/>
          <w:i/>
          <w:szCs w:val="24"/>
        </w:rPr>
        <w:t>39</w:t>
      </w:r>
      <w:r w:rsidRPr="00D93BDE">
        <w:rPr>
          <w:rFonts w:cs="Times New Roman"/>
          <w:szCs w:val="24"/>
        </w:rPr>
        <w:t xml:space="preserve">(2), 175–191. </w:t>
      </w:r>
    </w:p>
    <w:p w14:paraId="0EB57A4B"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Flavell, J. H. (1971). First discussant’s comments: What is memory development the development of? </w:t>
      </w:r>
      <w:r w:rsidRPr="00D93BDE">
        <w:rPr>
          <w:rFonts w:cs="Times New Roman"/>
          <w:i/>
          <w:szCs w:val="24"/>
        </w:rPr>
        <w:t>Human Development</w:t>
      </w:r>
      <w:r w:rsidRPr="00D93BDE">
        <w:rPr>
          <w:rFonts w:cs="Times New Roman"/>
          <w:szCs w:val="24"/>
        </w:rPr>
        <w:t>,</w:t>
      </w:r>
      <w:r w:rsidRPr="00D93BDE">
        <w:rPr>
          <w:rFonts w:cs="Times New Roman"/>
          <w:i/>
          <w:szCs w:val="24"/>
        </w:rPr>
        <w:t xml:space="preserve"> 14</w:t>
      </w:r>
      <w:r w:rsidRPr="00D93BDE">
        <w:rPr>
          <w:rFonts w:cs="Times New Roman"/>
          <w:szCs w:val="24"/>
        </w:rPr>
        <w:t xml:space="preserve">(4), 272–278. </w:t>
      </w:r>
    </w:p>
    <w:p w14:paraId="6321505B" w14:textId="77777777" w:rsidR="00D93BDE" w:rsidRPr="00D93BDE" w:rsidRDefault="00D93BDE" w:rsidP="00D93BDE">
      <w:pPr>
        <w:spacing w:after="1" w:line="360" w:lineRule="auto"/>
        <w:ind w:left="551" w:right="107" w:hanging="566"/>
        <w:contextualSpacing/>
        <w:jc w:val="both"/>
        <w:rPr>
          <w:rFonts w:cs="Times New Roman"/>
          <w:szCs w:val="24"/>
        </w:rPr>
      </w:pPr>
      <w:r w:rsidRPr="00D93BDE">
        <w:rPr>
          <w:rFonts w:cs="Times New Roman"/>
          <w:szCs w:val="24"/>
        </w:rPr>
        <w:t xml:space="preserve">French, L., Garry, M., &amp; Mori, K. (2008). You say tomato? Collaborative remembering leads to more false memories for intimate couples than for strangers. </w:t>
      </w:r>
      <w:r w:rsidRPr="00D93BDE">
        <w:rPr>
          <w:rFonts w:cs="Times New Roman"/>
          <w:i/>
          <w:szCs w:val="24"/>
        </w:rPr>
        <w:t>Memory, 16</w:t>
      </w:r>
      <w:r w:rsidRPr="00D93BDE">
        <w:rPr>
          <w:rFonts w:cs="Times New Roman"/>
          <w:szCs w:val="24"/>
        </w:rPr>
        <w:t>(3)</w:t>
      </w:r>
      <w:r w:rsidRPr="00D93BDE">
        <w:rPr>
          <w:rFonts w:cs="Times New Roman"/>
          <w:i/>
          <w:szCs w:val="24"/>
        </w:rPr>
        <w:t xml:space="preserve">, </w:t>
      </w:r>
      <w:r w:rsidRPr="00D93BDE">
        <w:rPr>
          <w:rFonts w:cs="Times New Roman"/>
          <w:szCs w:val="24"/>
        </w:rPr>
        <w:t xml:space="preserve">262– 273. </w:t>
      </w:r>
    </w:p>
    <w:p w14:paraId="1014AD5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French, L., Garry, M., &amp; Mori, K. (2011). Relative-not absolute-judgments of credibility affect susceptibility to misinformation conveyed during discussion. </w:t>
      </w:r>
      <w:r w:rsidRPr="00D93BDE">
        <w:rPr>
          <w:rFonts w:cs="Times New Roman"/>
          <w:i/>
          <w:szCs w:val="24"/>
        </w:rPr>
        <w:t>Acta Psychologica, 136</w:t>
      </w:r>
      <w:r w:rsidRPr="00D93BDE">
        <w:rPr>
          <w:rFonts w:cs="Times New Roman"/>
          <w:szCs w:val="24"/>
        </w:rPr>
        <w:t>(1)</w:t>
      </w:r>
      <w:r w:rsidRPr="00D93BDE">
        <w:rPr>
          <w:rFonts w:cs="Times New Roman"/>
          <w:i/>
          <w:szCs w:val="24"/>
        </w:rPr>
        <w:t xml:space="preserve">, </w:t>
      </w:r>
      <w:r w:rsidRPr="00D93BDE">
        <w:rPr>
          <w:rFonts w:cs="Times New Roman"/>
          <w:szCs w:val="24"/>
        </w:rPr>
        <w:t xml:space="preserve">119–128. </w:t>
      </w:r>
    </w:p>
    <w:p w14:paraId="044ACD3B"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Gabbert, F., Hope, L., Fisher, R. P., &amp; Jamieson, K. (2012). Protecting against misleading post</w:t>
      </w:r>
      <w:r w:rsidRPr="00D93BDE">
        <w:rPr>
          <w:rFonts w:cs="Times New Roman"/>
          <w:noProof/>
          <w:szCs w:val="24"/>
        </w:rPr>
        <w:t>-</w:t>
      </w:r>
      <w:r w:rsidRPr="00D93BDE">
        <w:rPr>
          <w:rFonts w:cs="Times New Roman"/>
          <w:szCs w:val="24"/>
        </w:rPr>
        <w:t>event information with a self</w:t>
      </w:r>
      <w:r w:rsidRPr="00D93BDE">
        <w:rPr>
          <w:rFonts w:cs="Times New Roman"/>
          <w:noProof/>
          <w:szCs w:val="24"/>
        </w:rPr>
        <w:t>-</w:t>
      </w:r>
      <w:r w:rsidRPr="00D93BDE">
        <w:rPr>
          <w:rFonts w:cs="Times New Roman"/>
          <w:szCs w:val="24"/>
        </w:rPr>
        <w:t xml:space="preserve">administered interview.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26</w:t>
      </w:r>
      <w:r w:rsidRPr="00D93BDE">
        <w:rPr>
          <w:rFonts w:cs="Times New Roman"/>
          <w:szCs w:val="24"/>
        </w:rPr>
        <w:t xml:space="preserve">(4), 568–575. </w:t>
      </w:r>
    </w:p>
    <w:p w14:paraId="44B0161E"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Gabbert, F., Memon, A., &amp; Allan, K. (2003). Memory conformity: Can eyewitnesses influence each other’s memories for an event?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17</w:t>
      </w:r>
      <w:r w:rsidRPr="00D93BDE">
        <w:rPr>
          <w:rFonts w:cs="Times New Roman"/>
          <w:szCs w:val="24"/>
        </w:rPr>
        <w:t xml:space="preserve">(5), 533–543. </w:t>
      </w:r>
    </w:p>
    <w:p w14:paraId="324D53E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Gabbert, F., Memon, A., Allan, K., &amp; Wright, D. B. (2004). Say it to my face: Examining the effects of socially encountered misinformation. </w:t>
      </w:r>
      <w:r w:rsidRPr="00D93BDE">
        <w:rPr>
          <w:rFonts w:cs="Times New Roman"/>
          <w:i/>
          <w:szCs w:val="24"/>
        </w:rPr>
        <w:t>Legal and Criminological Psychology, 9</w:t>
      </w:r>
      <w:r w:rsidRPr="00D93BDE">
        <w:rPr>
          <w:rFonts w:cs="Times New Roman"/>
          <w:szCs w:val="24"/>
        </w:rPr>
        <w:t xml:space="preserve">(2), 215–227. </w:t>
      </w:r>
    </w:p>
    <w:p w14:paraId="5B98273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lastRenderedPageBreak/>
        <w:t xml:space="preserve">Garry, M., French, L., Kinzett, T, &amp; Mori, K. (2008). Eyewitness memory following discussion: Using the MORI technique with a Western sample. </w:t>
      </w:r>
      <w:r w:rsidRPr="00D93BDE">
        <w:rPr>
          <w:rFonts w:cs="Times New Roman"/>
          <w:i/>
          <w:szCs w:val="24"/>
        </w:rPr>
        <w:t>Applied Cognitive Psychology</w:t>
      </w:r>
      <w:r w:rsidRPr="00D93BDE">
        <w:rPr>
          <w:rFonts w:cs="Times New Roman"/>
          <w:szCs w:val="24"/>
        </w:rPr>
        <w:t>,</w:t>
      </w:r>
      <w:r w:rsidRPr="00D93BDE">
        <w:rPr>
          <w:rFonts w:cs="Times New Roman"/>
          <w:i/>
          <w:szCs w:val="24"/>
        </w:rPr>
        <w:t xml:space="preserve"> 22</w:t>
      </w:r>
      <w:r w:rsidRPr="00D93BDE">
        <w:rPr>
          <w:rFonts w:cs="Times New Roman"/>
          <w:szCs w:val="24"/>
        </w:rPr>
        <w:t xml:space="preserve">(4), 431–439. </w:t>
      </w:r>
    </w:p>
    <w:p w14:paraId="7726786C" w14:textId="77777777" w:rsidR="00D93BDE" w:rsidRPr="00D93BDE" w:rsidRDefault="00D93BDE" w:rsidP="00D93BDE">
      <w:pPr>
        <w:spacing w:line="360" w:lineRule="auto"/>
        <w:ind w:left="566" w:hanging="566"/>
        <w:contextualSpacing/>
        <w:jc w:val="both"/>
        <w:rPr>
          <w:rFonts w:cs="Times New Roman"/>
          <w:szCs w:val="24"/>
        </w:rPr>
      </w:pPr>
      <w:proofErr w:type="spellStart"/>
      <w:r w:rsidRPr="00D93BDE">
        <w:rPr>
          <w:rFonts w:cs="Times New Roman"/>
          <w:szCs w:val="24"/>
          <w:shd w:val="clear" w:color="auto" w:fill="FCFCFC"/>
        </w:rPr>
        <w:t>Ginet</w:t>
      </w:r>
      <w:proofErr w:type="spellEnd"/>
      <w:r w:rsidRPr="00D93BDE">
        <w:rPr>
          <w:rFonts w:cs="Times New Roman"/>
          <w:szCs w:val="24"/>
          <w:shd w:val="clear" w:color="auto" w:fill="FCFCFC"/>
        </w:rPr>
        <w:t xml:space="preserve">, M., </w:t>
      </w:r>
      <w:proofErr w:type="spellStart"/>
      <w:r w:rsidRPr="00D93BDE">
        <w:rPr>
          <w:rFonts w:cs="Times New Roman"/>
          <w:szCs w:val="24"/>
          <w:shd w:val="clear" w:color="auto" w:fill="FCFCFC"/>
        </w:rPr>
        <w:t>Chakroun</w:t>
      </w:r>
      <w:proofErr w:type="spellEnd"/>
      <w:r w:rsidRPr="00D93BDE">
        <w:rPr>
          <w:rFonts w:cs="Times New Roman"/>
          <w:szCs w:val="24"/>
          <w:shd w:val="clear" w:color="auto" w:fill="FCFCFC"/>
        </w:rPr>
        <w:t xml:space="preserve">, N., </w:t>
      </w:r>
      <w:proofErr w:type="spellStart"/>
      <w:r w:rsidRPr="00D93BDE">
        <w:rPr>
          <w:rFonts w:cs="Times New Roman"/>
          <w:szCs w:val="24"/>
          <w:shd w:val="clear" w:color="auto" w:fill="FCFCFC"/>
        </w:rPr>
        <w:t>Colomb</w:t>
      </w:r>
      <w:proofErr w:type="spellEnd"/>
      <w:r w:rsidRPr="00D93BDE">
        <w:rPr>
          <w:rFonts w:cs="Times New Roman"/>
          <w:szCs w:val="24"/>
          <w:shd w:val="clear" w:color="auto" w:fill="FCFCFC"/>
        </w:rPr>
        <w:t xml:space="preserve">, C., &amp; </w:t>
      </w:r>
      <w:proofErr w:type="spellStart"/>
      <w:r w:rsidRPr="00D93BDE">
        <w:rPr>
          <w:rFonts w:cs="Times New Roman"/>
          <w:szCs w:val="24"/>
          <w:shd w:val="clear" w:color="auto" w:fill="FCFCFC"/>
        </w:rPr>
        <w:t>Verkampt</w:t>
      </w:r>
      <w:proofErr w:type="spellEnd"/>
      <w:r w:rsidRPr="00D93BDE">
        <w:rPr>
          <w:rFonts w:cs="Times New Roman"/>
          <w:szCs w:val="24"/>
          <w:shd w:val="clear" w:color="auto" w:fill="FCFCFC"/>
        </w:rPr>
        <w:t>, F. (2019). Can the cognitive interview</w:t>
      </w:r>
      <w:r w:rsidRPr="00D93BDE">
        <w:rPr>
          <w:rFonts w:cs="Times New Roman"/>
          <w:szCs w:val="24"/>
        </w:rPr>
        <w:t xml:space="preserve"> </w:t>
      </w:r>
      <w:r w:rsidRPr="00D93BDE">
        <w:rPr>
          <w:rFonts w:cs="Times New Roman"/>
          <w:szCs w:val="24"/>
          <w:shd w:val="clear" w:color="auto" w:fill="FCFCFC"/>
        </w:rPr>
        <w:t xml:space="preserve">reduce memory conformity in an interview context? </w:t>
      </w:r>
      <w:r w:rsidRPr="00D93BDE">
        <w:rPr>
          <w:rFonts w:cs="Times New Roman"/>
          <w:i/>
          <w:szCs w:val="24"/>
        </w:rPr>
        <w:t>Journal of Police and Criminal Psychology,</w:t>
      </w:r>
      <w:r w:rsidRPr="00D93BDE">
        <w:rPr>
          <w:rFonts w:cs="Times New Roman"/>
          <w:szCs w:val="24"/>
        </w:rPr>
        <w:t xml:space="preserve"> </w:t>
      </w:r>
      <w:r w:rsidRPr="00D93BDE">
        <w:rPr>
          <w:rFonts w:cs="Times New Roman"/>
          <w:i/>
          <w:szCs w:val="24"/>
        </w:rPr>
        <w:t>34</w:t>
      </w:r>
      <w:r w:rsidRPr="00D93BDE">
        <w:rPr>
          <w:rFonts w:cs="Times New Roman"/>
          <w:szCs w:val="24"/>
        </w:rPr>
        <w:t>,</w:t>
      </w:r>
      <w:r w:rsidRPr="00D93BDE">
        <w:rPr>
          <w:rFonts w:cs="Times New Roman"/>
          <w:b/>
          <w:szCs w:val="24"/>
        </w:rPr>
        <w:t xml:space="preserve"> </w:t>
      </w:r>
      <w:r w:rsidRPr="00D93BDE">
        <w:rPr>
          <w:rFonts w:cs="Times New Roman"/>
          <w:szCs w:val="24"/>
          <w:shd w:val="clear" w:color="auto" w:fill="FCFCFC"/>
        </w:rPr>
        <w:t>381–391.</w:t>
      </w:r>
      <w:r w:rsidRPr="00D93BDE">
        <w:rPr>
          <w:rFonts w:cs="Times New Roman"/>
          <w:szCs w:val="24"/>
        </w:rPr>
        <w:t xml:space="preserve"> </w:t>
      </w:r>
    </w:p>
    <w:p w14:paraId="19E6AD9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Geiselman</w:t>
      </w:r>
      <w:proofErr w:type="spellEnd"/>
      <w:r w:rsidRPr="00D93BDE">
        <w:rPr>
          <w:rFonts w:cs="Times New Roman"/>
          <w:szCs w:val="24"/>
        </w:rPr>
        <w:t xml:space="preserve">, R. E. (1984). Enhancement of eyewitness memory: An empirical evaluation of the cognitive interview. </w:t>
      </w:r>
      <w:r w:rsidRPr="00D93BDE">
        <w:rPr>
          <w:rFonts w:cs="Times New Roman"/>
          <w:i/>
          <w:szCs w:val="24"/>
        </w:rPr>
        <w:t>Journal of Police Science &amp; Administration, 12</w:t>
      </w:r>
      <w:r w:rsidRPr="00D93BDE">
        <w:rPr>
          <w:rFonts w:cs="Times New Roman"/>
          <w:szCs w:val="24"/>
        </w:rPr>
        <w:t xml:space="preserve">(1), 74-80. </w:t>
      </w:r>
    </w:p>
    <w:p w14:paraId="419E322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Greene, E., Flynn, M. S., &amp; Loftus, E. F. (1982). Inducing resistance to misleading information. </w:t>
      </w:r>
      <w:r w:rsidRPr="00D93BDE">
        <w:rPr>
          <w:rFonts w:cs="Times New Roman"/>
          <w:i/>
          <w:szCs w:val="24"/>
        </w:rPr>
        <w:t>Journal of Verbal Learning &amp; Verbal Behavior</w:t>
      </w:r>
      <w:r w:rsidRPr="00D93BDE">
        <w:rPr>
          <w:rFonts w:cs="Times New Roman"/>
          <w:szCs w:val="24"/>
        </w:rPr>
        <w:t xml:space="preserve">, </w:t>
      </w:r>
      <w:r w:rsidRPr="00D93BDE">
        <w:rPr>
          <w:rFonts w:cs="Times New Roman"/>
          <w:i/>
          <w:szCs w:val="24"/>
        </w:rPr>
        <w:t>21</w:t>
      </w:r>
      <w:r w:rsidRPr="00D93BDE">
        <w:rPr>
          <w:rFonts w:cs="Times New Roman"/>
          <w:szCs w:val="24"/>
        </w:rPr>
        <w:t>(2), 207–219.</w:t>
      </w:r>
    </w:p>
    <w:p w14:paraId="6CF5DF4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Hirokawa, K., </w:t>
      </w:r>
      <w:proofErr w:type="spellStart"/>
      <w:r w:rsidRPr="00D93BDE">
        <w:rPr>
          <w:rFonts w:cs="Times New Roman"/>
          <w:szCs w:val="24"/>
        </w:rPr>
        <w:t>Matsuno</w:t>
      </w:r>
      <w:proofErr w:type="spellEnd"/>
      <w:r w:rsidRPr="00D93BDE">
        <w:rPr>
          <w:rFonts w:cs="Times New Roman"/>
          <w:szCs w:val="24"/>
        </w:rPr>
        <w:t xml:space="preserve">, E., Mori, K., &amp; </w:t>
      </w:r>
      <w:proofErr w:type="spellStart"/>
      <w:r w:rsidRPr="00D93BDE">
        <w:rPr>
          <w:rFonts w:cs="Times New Roman"/>
          <w:szCs w:val="24"/>
        </w:rPr>
        <w:t>Ukita</w:t>
      </w:r>
      <w:proofErr w:type="spellEnd"/>
      <w:r w:rsidRPr="00D93BDE">
        <w:rPr>
          <w:rFonts w:cs="Times New Roman"/>
          <w:szCs w:val="24"/>
        </w:rPr>
        <w:t xml:space="preserve">, J. (2006). Relationship between masculinity- femininity and concession in an experimental collaborative eyewitness testimony. </w:t>
      </w:r>
      <w:r w:rsidRPr="00D93BDE">
        <w:rPr>
          <w:rFonts w:cs="Times New Roman"/>
          <w:i/>
          <w:szCs w:val="24"/>
        </w:rPr>
        <w:t>Asian Journal of Social Psychology, 9</w:t>
      </w:r>
      <w:r w:rsidRPr="00D93BDE">
        <w:rPr>
          <w:rFonts w:cs="Times New Roman"/>
          <w:szCs w:val="24"/>
        </w:rPr>
        <w:t>(2)</w:t>
      </w:r>
      <w:r w:rsidRPr="00D93BDE">
        <w:rPr>
          <w:rFonts w:cs="Times New Roman"/>
          <w:i/>
          <w:szCs w:val="24"/>
        </w:rPr>
        <w:t xml:space="preserve">, </w:t>
      </w:r>
      <w:r w:rsidRPr="00D93BDE">
        <w:rPr>
          <w:rFonts w:cs="Times New Roman"/>
          <w:szCs w:val="24"/>
        </w:rPr>
        <w:t>132–139.</w:t>
      </w:r>
    </w:p>
    <w:p w14:paraId="2F835E9E"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Holliday, R. E., &amp; </w:t>
      </w:r>
      <w:proofErr w:type="spellStart"/>
      <w:r w:rsidRPr="00D93BDE">
        <w:rPr>
          <w:rFonts w:cs="Times New Roman"/>
          <w:szCs w:val="24"/>
        </w:rPr>
        <w:t>Albon</w:t>
      </w:r>
      <w:proofErr w:type="spellEnd"/>
      <w:r w:rsidRPr="00D93BDE">
        <w:rPr>
          <w:rFonts w:cs="Times New Roman"/>
          <w:szCs w:val="24"/>
        </w:rPr>
        <w:t xml:space="preserve">, A. J. (2004). Minimising misinformation effects in young children with cognitive interview mnemonics.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18</w:t>
      </w:r>
      <w:r w:rsidRPr="00D93BDE">
        <w:rPr>
          <w:rFonts w:cs="Times New Roman"/>
          <w:szCs w:val="24"/>
        </w:rPr>
        <w:t xml:space="preserve">, 263–281. </w:t>
      </w:r>
    </w:p>
    <w:p w14:paraId="5DD1935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Holliday, R. E., Humphries, J. E., Milne, R., Memon, A., </w:t>
      </w:r>
      <w:proofErr w:type="spellStart"/>
      <w:r w:rsidRPr="00D93BDE">
        <w:rPr>
          <w:rFonts w:cs="Times New Roman"/>
          <w:szCs w:val="24"/>
        </w:rPr>
        <w:t>Houlder</w:t>
      </w:r>
      <w:proofErr w:type="spellEnd"/>
      <w:r w:rsidRPr="00D93BDE">
        <w:rPr>
          <w:rFonts w:cs="Times New Roman"/>
          <w:szCs w:val="24"/>
        </w:rPr>
        <w:t xml:space="preserve">, L., Lyons, A., &amp; Bull, R. (2012). Reducing misinformation effects in older adults with cognitive interview mnemonics. </w:t>
      </w:r>
      <w:r w:rsidRPr="00D93BDE">
        <w:rPr>
          <w:rFonts w:cs="Times New Roman"/>
          <w:i/>
          <w:szCs w:val="24"/>
        </w:rPr>
        <w:t>Psychology and Aging</w:t>
      </w:r>
      <w:r w:rsidRPr="00D93BDE">
        <w:rPr>
          <w:rFonts w:cs="Times New Roman"/>
          <w:szCs w:val="24"/>
        </w:rPr>
        <w:t xml:space="preserve">, </w:t>
      </w:r>
      <w:r w:rsidRPr="00D93BDE">
        <w:rPr>
          <w:rFonts w:cs="Times New Roman"/>
          <w:i/>
          <w:szCs w:val="24"/>
        </w:rPr>
        <w:t>27</w:t>
      </w:r>
      <w:r w:rsidRPr="00D93BDE">
        <w:rPr>
          <w:rFonts w:cs="Times New Roman"/>
          <w:szCs w:val="24"/>
        </w:rPr>
        <w:t>(4), 1191–1203.</w:t>
      </w:r>
    </w:p>
    <w:p w14:paraId="4C0D3B9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Ito, H., Barzykowski, K., </w:t>
      </w:r>
      <w:proofErr w:type="spellStart"/>
      <w:r w:rsidRPr="00D93BDE">
        <w:rPr>
          <w:rFonts w:cs="Times New Roman"/>
          <w:szCs w:val="24"/>
        </w:rPr>
        <w:t>Grzesik</w:t>
      </w:r>
      <w:proofErr w:type="spellEnd"/>
      <w:r w:rsidRPr="00D93BDE">
        <w:rPr>
          <w:rFonts w:cs="Times New Roman"/>
          <w:szCs w:val="24"/>
        </w:rPr>
        <w:t xml:space="preserve">, M., </w:t>
      </w:r>
      <w:proofErr w:type="spellStart"/>
      <w:r w:rsidRPr="00D93BDE">
        <w:rPr>
          <w:rFonts w:cs="Times New Roman"/>
          <w:szCs w:val="24"/>
        </w:rPr>
        <w:t>Gulgoz</w:t>
      </w:r>
      <w:proofErr w:type="spellEnd"/>
      <w:r w:rsidRPr="00D93BDE">
        <w:rPr>
          <w:rFonts w:cs="Times New Roman"/>
          <w:szCs w:val="24"/>
        </w:rPr>
        <w:t xml:space="preserve">, S., </w:t>
      </w:r>
      <w:proofErr w:type="spellStart"/>
      <w:r w:rsidRPr="00D93BDE">
        <w:rPr>
          <w:rFonts w:cs="Times New Roman"/>
          <w:szCs w:val="24"/>
        </w:rPr>
        <w:t>Gurdere</w:t>
      </w:r>
      <w:proofErr w:type="spellEnd"/>
      <w:r w:rsidRPr="00D93BDE">
        <w:rPr>
          <w:rFonts w:cs="Times New Roman"/>
          <w:szCs w:val="24"/>
        </w:rPr>
        <w:t xml:space="preserve">, C., Janssen, S. M. J., Khor, J., </w:t>
      </w:r>
      <w:proofErr w:type="spellStart"/>
      <w:r w:rsidRPr="00D93BDE">
        <w:rPr>
          <w:rFonts w:cs="Times New Roman"/>
          <w:szCs w:val="24"/>
        </w:rPr>
        <w:t>Rowthorne</w:t>
      </w:r>
      <w:proofErr w:type="spellEnd"/>
      <w:r w:rsidRPr="00D93BDE">
        <w:rPr>
          <w:rFonts w:cs="Times New Roman"/>
          <w:szCs w:val="24"/>
        </w:rPr>
        <w:t xml:space="preserve">, H., Wade, K. A., Luna, K., Albuquerque, P. B., Kumar, D., Singh, A. D., </w:t>
      </w:r>
      <w:proofErr w:type="spellStart"/>
      <w:r w:rsidRPr="00D93BDE">
        <w:rPr>
          <w:rFonts w:cs="Times New Roman"/>
          <w:szCs w:val="24"/>
        </w:rPr>
        <w:t>Cecconello</w:t>
      </w:r>
      <w:proofErr w:type="spellEnd"/>
      <w:r w:rsidRPr="00D93BDE">
        <w:rPr>
          <w:rFonts w:cs="Times New Roman"/>
          <w:szCs w:val="24"/>
        </w:rPr>
        <w:t xml:space="preserve">, W. W., </w:t>
      </w:r>
      <w:proofErr w:type="spellStart"/>
      <w:r w:rsidRPr="00D93BDE">
        <w:rPr>
          <w:rFonts w:cs="Times New Roman"/>
          <w:szCs w:val="24"/>
        </w:rPr>
        <w:t>Cadavidi</w:t>
      </w:r>
      <w:proofErr w:type="spellEnd"/>
      <w:r w:rsidRPr="00D93BDE">
        <w:rPr>
          <w:rFonts w:cs="Times New Roman"/>
          <w:szCs w:val="24"/>
        </w:rPr>
        <w:t xml:space="preserve">, S., Laird, N., </w:t>
      </w:r>
      <w:proofErr w:type="spellStart"/>
      <w:r w:rsidRPr="00D93BDE">
        <w:rPr>
          <w:rFonts w:cs="Times New Roman"/>
          <w:szCs w:val="24"/>
        </w:rPr>
        <w:t>Baldassari</w:t>
      </w:r>
      <w:proofErr w:type="spellEnd"/>
      <w:r w:rsidRPr="00D93BDE">
        <w:rPr>
          <w:rFonts w:cs="Times New Roman"/>
          <w:szCs w:val="24"/>
        </w:rPr>
        <w:t xml:space="preserve">, M. J., Lindsay, D. S., &amp; Mori, K. (2019). Eyewitness memory distortion following co-witness discussion: A replication of Garry, French, Kinzett, and Mori (2008) in ten countries. </w:t>
      </w:r>
      <w:r w:rsidRPr="00D93BDE">
        <w:rPr>
          <w:rFonts w:cs="Times New Roman"/>
          <w:i/>
          <w:iCs/>
          <w:szCs w:val="24"/>
        </w:rPr>
        <w:t>Journal of Applied Research in Memory and Cognition, 8</w:t>
      </w:r>
      <w:r w:rsidRPr="00D93BDE">
        <w:rPr>
          <w:rFonts w:cs="Times New Roman"/>
          <w:szCs w:val="24"/>
        </w:rPr>
        <w:t>(1), 68–77.</w:t>
      </w:r>
    </w:p>
    <w:p w14:paraId="32B37C9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Kękuś, M., </w:t>
      </w:r>
      <w:proofErr w:type="spellStart"/>
      <w:r w:rsidRPr="00D93BDE">
        <w:rPr>
          <w:rFonts w:cs="Times New Roman"/>
          <w:szCs w:val="24"/>
        </w:rPr>
        <w:t>Chylińska</w:t>
      </w:r>
      <w:proofErr w:type="spellEnd"/>
      <w:r w:rsidRPr="00D93BDE">
        <w:rPr>
          <w:rFonts w:cs="Times New Roman"/>
          <w:szCs w:val="24"/>
        </w:rPr>
        <w:t xml:space="preserve">, K., Szpitalak, M., Polczyk, R., Ito, H., Mori, K., &amp; Barzykowski, K. (2020). Reinforced self-affirmation as a method for reducing eyewitness memory conformity: An experimental examination using a modified MORI technique. </w:t>
      </w:r>
      <w:r w:rsidRPr="00D93BDE">
        <w:rPr>
          <w:rFonts w:cs="Times New Roman"/>
          <w:i/>
          <w:szCs w:val="24"/>
        </w:rPr>
        <w:t>Applied Cognitive Psychology, 34</w:t>
      </w:r>
      <w:r w:rsidRPr="00D93BDE">
        <w:rPr>
          <w:rFonts w:cs="Times New Roman"/>
          <w:szCs w:val="24"/>
        </w:rPr>
        <w:t xml:space="preserve">(5), 1197–1206. </w:t>
      </w:r>
    </w:p>
    <w:p w14:paraId="2ABFDFA3"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Koriat</w:t>
      </w:r>
      <w:proofErr w:type="spellEnd"/>
      <w:r w:rsidRPr="00D93BDE">
        <w:rPr>
          <w:rFonts w:cs="Times New Roman"/>
          <w:szCs w:val="24"/>
        </w:rPr>
        <w:t xml:space="preserve">, A., &amp; Goldsmith, M. (1996). Monitoring and control processes in the strategic regulation of memory accuracy. </w:t>
      </w:r>
      <w:r w:rsidRPr="00D93BDE">
        <w:rPr>
          <w:rFonts w:cs="Times New Roman"/>
          <w:i/>
          <w:szCs w:val="24"/>
        </w:rPr>
        <w:t>Psychological Review, 103</w:t>
      </w:r>
      <w:r w:rsidRPr="00D93BDE">
        <w:rPr>
          <w:rFonts w:cs="Times New Roman"/>
          <w:szCs w:val="24"/>
        </w:rPr>
        <w:t xml:space="preserve">(3), 490–517. </w:t>
      </w:r>
    </w:p>
    <w:p w14:paraId="1DF332D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LaPaglia, J. A., Wilford, M. M., </w:t>
      </w:r>
      <w:proofErr w:type="spellStart"/>
      <w:r w:rsidRPr="00D93BDE">
        <w:rPr>
          <w:rFonts w:cs="Times New Roman"/>
          <w:szCs w:val="24"/>
        </w:rPr>
        <w:t>Rivard</w:t>
      </w:r>
      <w:proofErr w:type="spellEnd"/>
      <w:r w:rsidRPr="00D93BDE">
        <w:rPr>
          <w:rFonts w:cs="Times New Roman"/>
          <w:szCs w:val="24"/>
        </w:rPr>
        <w:t xml:space="preserve">, J. R., Chan, J. C. K., &amp; Fisher, R. P. (2014). Misleading suggestions can alter later memory reports even following a cognitive interview.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28</w:t>
      </w:r>
      <w:r w:rsidRPr="00D93BDE">
        <w:rPr>
          <w:rFonts w:cs="Times New Roman"/>
          <w:szCs w:val="24"/>
        </w:rPr>
        <w:t xml:space="preserve">(1), 1–9. </w:t>
      </w:r>
    </w:p>
    <w:p w14:paraId="15F1B4DA"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lastRenderedPageBreak/>
        <w:t>Lavis</w:t>
      </w:r>
      <w:proofErr w:type="spellEnd"/>
      <w:r w:rsidRPr="00D93BDE">
        <w:rPr>
          <w:rFonts w:cs="Times New Roman"/>
          <w:szCs w:val="24"/>
        </w:rPr>
        <w:t xml:space="preserve">, T., &amp; Brewer, N. (2017). Effects of a proven error on evaluations of witness testimony. </w:t>
      </w:r>
      <w:r w:rsidRPr="00D93BDE">
        <w:rPr>
          <w:rFonts w:cs="Times New Roman"/>
          <w:i/>
          <w:szCs w:val="24"/>
        </w:rPr>
        <w:t>Law and Human Behavior, 41</w:t>
      </w:r>
      <w:r w:rsidRPr="00D93BDE">
        <w:rPr>
          <w:rFonts w:cs="Times New Roman"/>
          <w:szCs w:val="24"/>
        </w:rPr>
        <w:t xml:space="preserve">(3), 314–323 </w:t>
      </w:r>
    </w:p>
    <w:p w14:paraId="74B3CDC2"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Loftus, E. F. (2005). Planting misinformation in the human mind: a 30-year investigation of the malleability of memory. </w:t>
      </w:r>
      <w:r w:rsidRPr="00D93BDE">
        <w:rPr>
          <w:rFonts w:cs="Times New Roman"/>
          <w:i/>
          <w:szCs w:val="24"/>
        </w:rPr>
        <w:t>Learning &amp; Memory</w:t>
      </w:r>
      <w:r w:rsidRPr="00D93BDE">
        <w:rPr>
          <w:rFonts w:cs="Times New Roman"/>
          <w:szCs w:val="24"/>
        </w:rPr>
        <w:t xml:space="preserve">, </w:t>
      </w:r>
      <w:r w:rsidRPr="00D93BDE">
        <w:rPr>
          <w:rFonts w:cs="Times New Roman"/>
          <w:i/>
          <w:szCs w:val="24"/>
        </w:rPr>
        <w:t>12</w:t>
      </w:r>
      <w:r w:rsidRPr="00D93BDE">
        <w:rPr>
          <w:rFonts w:cs="Times New Roman"/>
          <w:szCs w:val="24"/>
        </w:rPr>
        <w:t xml:space="preserve">(4), 361–366. </w:t>
      </w:r>
    </w:p>
    <w:p w14:paraId="30E97F0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Loftus, E. F., Miller, D. G, &amp; Burns, H. J. (1978). Semantic integration of verbal information into a visual memory. </w:t>
      </w:r>
      <w:r w:rsidRPr="00D93BDE">
        <w:rPr>
          <w:rFonts w:cs="Times New Roman"/>
          <w:i/>
          <w:szCs w:val="24"/>
        </w:rPr>
        <w:t>Journal of Experimental Psychology: Human Learning and Memory, 4</w:t>
      </w:r>
      <w:r w:rsidRPr="00D93BDE">
        <w:rPr>
          <w:rFonts w:cs="Times New Roman"/>
          <w:szCs w:val="24"/>
        </w:rPr>
        <w:t xml:space="preserve">(1), 19–31. </w:t>
      </w:r>
    </w:p>
    <w:p w14:paraId="08BA99E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Luna, K., &amp; </w:t>
      </w:r>
      <w:proofErr w:type="spellStart"/>
      <w:r w:rsidRPr="00D93BDE">
        <w:rPr>
          <w:rFonts w:cs="Times New Roman"/>
          <w:szCs w:val="24"/>
        </w:rPr>
        <w:t>Martín</w:t>
      </w:r>
      <w:proofErr w:type="spellEnd"/>
      <w:r w:rsidRPr="00D93BDE">
        <w:rPr>
          <w:rFonts w:cs="Times New Roman"/>
          <w:noProof/>
          <w:szCs w:val="24"/>
        </w:rPr>
        <w:drawing>
          <wp:inline distT="0" distB="0" distL="0" distR="0" wp14:anchorId="7F344CFC" wp14:editId="147A5EEE">
            <wp:extent cx="39624" cy="15240"/>
            <wp:effectExtent l="0" t="0" r="0" b="0"/>
            <wp:docPr id="31068" name="Picture 31068"/>
            <wp:cNvGraphicFramePr/>
            <a:graphic xmlns:a="http://schemas.openxmlformats.org/drawingml/2006/main">
              <a:graphicData uri="http://schemas.openxmlformats.org/drawingml/2006/picture">
                <pic:pic xmlns:pic="http://schemas.openxmlformats.org/drawingml/2006/picture">
                  <pic:nvPicPr>
                    <pic:cNvPr id="31068" name="Picture 31068"/>
                    <pic:cNvPicPr/>
                  </pic:nvPicPr>
                  <pic:blipFill>
                    <a:blip r:embed="rId7"/>
                    <a:stretch>
                      <a:fillRect/>
                    </a:stretch>
                  </pic:blipFill>
                  <pic:spPr>
                    <a:xfrm>
                      <a:off x="0" y="0"/>
                      <a:ext cx="39624" cy="15240"/>
                    </a:xfrm>
                    <a:prstGeom prst="rect">
                      <a:avLst/>
                    </a:prstGeom>
                  </pic:spPr>
                </pic:pic>
              </a:graphicData>
            </a:graphic>
          </wp:inline>
        </w:drawing>
      </w:r>
      <w:r w:rsidRPr="00D93BDE">
        <w:rPr>
          <w:rFonts w:cs="Times New Roman"/>
          <w:szCs w:val="24"/>
        </w:rPr>
        <w:t xml:space="preserve"> </w:t>
      </w:r>
      <w:proofErr w:type="spellStart"/>
      <w:r w:rsidRPr="00D93BDE">
        <w:rPr>
          <w:rFonts w:cs="Times New Roman"/>
          <w:szCs w:val="24"/>
        </w:rPr>
        <w:t>Luengo</w:t>
      </w:r>
      <w:proofErr w:type="spellEnd"/>
      <w:r w:rsidRPr="00D93BDE">
        <w:rPr>
          <w:rFonts w:cs="Times New Roman"/>
          <w:szCs w:val="24"/>
        </w:rPr>
        <w:t xml:space="preserve">, B. (2012). Confidence-accuracy calibration with general knowledge and eyewitness memory cued recall questions. </w:t>
      </w:r>
      <w:r w:rsidRPr="00D93BDE">
        <w:rPr>
          <w:rFonts w:cs="Times New Roman"/>
          <w:i/>
          <w:szCs w:val="24"/>
        </w:rPr>
        <w:t>Applied Cognitive Psychology, 26</w:t>
      </w:r>
      <w:r w:rsidRPr="00D93BDE">
        <w:rPr>
          <w:rFonts w:cs="Times New Roman"/>
          <w:szCs w:val="24"/>
        </w:rPr>
        <w:t xml:space="preserve">(2), 289–295. </w:t>
      </w:r>
    </w:p>
    <w:p w14:paraId="79AE86B5" w14:textId="77777777" w:rsidR="00D93BDE" w:rsidRPr="00D93BDE" w:rsidRDefault="00D93BDE" w:rsidP="00D93BDE">
      <w:pPr>
        <w:spacing w:after="5" w:line="360" w:lineRule="auto"/>
        <w:ind w:left="551" w:right="5" w:hanging="566"/>
        <w:contextualSpacing/>
        <w:jc w:val="both"/>
        <w:rPr>
          <w:rFonts w:cs="Times New Roman"/>
          <w:szCs w:val="24"/>
        </w:rPr>
      </w:pPr>
      <w:bookmarkStart w:id="7" w:name="_Hlk125205339"/>
      <w:r w:rsidRPr="00D93BDE">
        <w:rPr>
          <w:rFonts w:cs="Times New Roman"/>
          <w:szCs w:val="24"/>
        </w:rPr>
        <w:t xml:space="preserve">McGuire, W. J. (1964). Inducing resistance to persuasion. In L. Berkowitz (Ed.), </w:t>
      </w:r>
      <w:r w:rsidRPr="00D93BDE">
        <w:rPr>
          <w:rFonts w:cs="Times New Roman"/>
          <w:i/>
          <w:szCs w:val="24"/>
        </w:rPr>
        <w:t xml:space="preserve">Advances in Experimental Social Psychology, Vol. 1. </w:t>
      </w:r>
      <w:r w:rsidRPr="00D93BDE">
        <w:rPr>
          <w:rFonts w:cs="Times New Roman"/>
          <w:szCs w:val="24"/>
        </w:rPr>
        <w:t xml:space="preserve">(pp. 192–229). NY: McGraw-Hill. </w:t>
      </w:r>
      <w:bookmarkEnd w:id="7"/>
    </w:p>
    <w:p w14:paraId="3772C783"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Meade, M. L., &amp; Roediger, H. L. (2002). Explorations in the social contagion of memory. </w:t>
      </w:r>
      <w:r w:rsidRPr="00D93BDE">
        <w:rPr>
          <w:rFonts w:cs="Times New Roman"/>
          <w:i/>
          <w:szCs w:val="24"/>
        </w:rPr>
        <w:t>Memory &amp; Cognition</w:t>
      </w:r>
      <w:r w:rsidRPr="00D93BDE">
        <w:rPr>
          <w:rFonts w:cs="Times New Roman"/>
          <w:szCs w:val="24"/>
        </w:rPr>
        <w:t xml:space="preserve">, </w:t>
      </w:r>
      <w:r w:rsidRPr="00D93BDE">
        <w:rPr>
          <w:rFonts w:cs="Times New Roman"/>
          <w:i/>
          <w:szCs w:val="24"/>
        </w:rPr>
        <w:t>30</w:t>
      </w:r>
      <w:r w:rsidRPr="00D93BDE">
        <w:rPr>
          <w:rFonts w:cs="Times New Roman"/>
          <w:szCs w:val="24"/>
        </w:rPr>
        <w:t>, 995–1009.</w:t>
      </w:r>
    </w:p>
    <w:p w14:paraId="495CCCDF" w14:textId="77777777" w:rsidR="00D93BDE" w:rsidRPr="00D93BDE" w:rsidRDefault="00D93BDE" w:rsidP="00D93BDE">
      <w:pPr>
        <w:spacing w:after="5" w:line="360" w:lineRule="auto"/>
        <w:ind w:left="551" w:right="5" w:hanging="566"/>
        <w:contextualSpacing/>
        <w:jc w:val="both"/>
        <w:rPr>
          <w:rFonts w:cs="Times New Roman"/>
          <w:i/>
          <w:szCs w:val="24"/>
        </w:rPr>
      </w:pPr>
      <w:r w:rsidRPr="00D93BDE">
        <w:rPr>
          <w:rFonts w:cs="Times New Roman"/>
          <w:szCs w:val="24"/>
        </w:rPr>
        <w:t xml:space="preserve">Mori, K. (2003). Surreptitiously projecting different movies to two subsets of viewers. </w:t>
      </w:r>
      <w:r w:rsidRPr="00D93BDE">
        <w:rPr>
          <w:rFonts w:cs="Times New Roman"/>
          <w:i/>
          <w:szCs w:val="24"/>
        </w:rPr>
        <w:t>Behavior Research Methods, Instruments &amp; Computers, 35</w:t>
      </w:r>
      <w:r w:rsidRPr="00D93BDE">
        <w:rPr>
          <w:rFonts w:cs="Times New Roman"/>
          <w:szCs w:val="24"/>
        </w:rPr>
        <w:t xml:space="preserve">, 599–604. </w:t>
      </w:r>
    </w:p>
    <w:p w14:paraId="082C708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(2007). A revised method for projecting two different movies to two groups of viewers without their noticing the duality. </w:t>
      </w:r>
      <w:r w:rsidRPr="00D93BDE">
        <w:rPr>
          <w:rFonts w:cs="Times New Roman"/>
          <w:i/>
          <w:szCs w:val="24"/>
        </w:rPr>
        <w:t>Behavior Research Methods, 39</w:t>
      </w:r>
      <w:r w:rsidRPr="00D93BDE">
        <w:rPr>
          <w:rFonts w:cs="Times New Roman"/>
          <w:szCs w:val="24"/>
        </w:rPr>
        <w:t xml:space="preserve">(3), 574–578. </w:t>
      </w:r>
    </w:p>
    <w:p w14:paraId="2BE521D7"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Takahashi, R. (2012). Pre-schoolers’ reports of conflicting points secretly inserted into a co-witnessed event: An experimental investigation using the MORI technique. </w:t>
      </w:r>
      <w:r w:rsidRPr="00D93BDE">
        <w:rPr>
          <w:rFonts w:cs="Times New Roman"/>
          <w:i/>
          <w:szCs w:val="24"/>
        </w:rPr>
        <w:t>Psychology, 3</w:t>
      </w:r>
      <w:r w:rsidRPr="00D93BDE">
        <w:rPr>
          <w:rFonts w:cs="Times New Roman"/>
          <w:szCs w:val="24"/>
        </w:rPr>
        <w:t>(1)</w:t>
      </w:r>
      <w:r w:rsidRPr="00D93BDE">
        <w:rPr>
          <w:rFonts w:cs="Times New Roman"/>
          <w:i/>
          <w:szCs w:val="24"/>
        </w:rPr>
        <w:t xml:space="preserve">, </w:t>
      </w:r>
      <w:r w:rsidRPr="00D93BDE">
        <w:rPr>
          <w:rFonts w:cs="Times New Roman"/>
          <w:szCs w:val="24"/>
        </w:rPr>
        <w:t xml:space="preserve">30–35. </w:t>
      </w:r>
    </w:p>
    <w:p w14:paraId="104FFD31"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w:t>
      </w:r>
      <w:proofErr w:type="spellStart"/>
      <w:r w:rsidRPr="00D93BDE">
        <w:rPr>
          <w:rFonts w:cs="Times New Roman"/>
          <w:szCs w:val="24"/>
        </w:rPr>
        <w:t>Kitabayashi</w:t>
      </w:r>
      <w:proofErr w:type="spellEnd"/>
      <w:r w:rsidRPr="00D93BDE">
        <w:rPr>
          <w:rFonts w:cs="Times New Roman"/>
          <w:szCs w:val="24"/>
        </w:rPr>
        <w:t xml:space="preserve">, M. (2009). How child-mother pairs reported what they had witnessed together: An experimental examination using the MORI technique. </w:t>
      </w:r>
      <w:r w:rsidRPr="00D93BDE">
        <w:rPr>
          <w:rFonts w:cs="Times New Roman"/>
          <w:i/>
          <w:szCs w:val="24"/>
        </w:rPr>
        <w:t>Psychology Journal, 6</w:t>
      </w:r>
      <w:r w:rsidRPr="00D93BDE">
        <w:rPr>
          <w:rFonts w:cs="Times New Roman"/>
          <w:szCs w:val="24"/>
        </w:rPr>
        <w:t>(2)</w:t>
      </w:r>
      <w:r w:rsidRPr="00D93BDE">
        <w:rPr>
          <w:rFonts w:cs="Times New Roman"/>
          <w:i/>
          <w:szCs w:val="24"/>
        </w:rPr>
        <w:t xml:space="preserve">, </w:t>
      </w:r>
      <w:r w:rsidRPr="00D93BDE">
        <w:rPr>
          <w:rFonts w:cs="Times New Roman"/>
          <w:szCs w:val="24"/>
        </w:rPr>
        <w:t xml:space="preserve">60–69. </w:t>
      </w:r>
    </w:p>
    <w:p w14:paraId="67B0EA3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Mori, H. (2008). Conformity among cowitnesses sharing same or different information about an event in experimental collaborative eyewitness testimony. </w:t>
      </w:r>
      <w:r w:rsidRPr="00D93BDE">
        <w:rPr>
          <w:rFonts w:cs="Times New Roman"/>
          <w:i/>
          <w:szCs w:val="24"/>
        </w:rPr>
        <w:t>Perceptual and Motor Skills, 106</w:t>
      </w:r>
      <w:r w:rsidRPr="00D93BDE">
        <w:rPr>
          <w:rFonts w:cs="Times New Roman"/>
          <w:szCs w:val="24"/>
        </w:rPr>
        <w:t>(1)</w:t>
      </w:r>
      <w:r w:rsidRPr="00D93BDE">
        <w:rPr>
          <w:rFonts w:cs="Times New Roman"/>
          <w:i/>
          <w:szCs w:val="24"/>
        </w:rPr>
        <w:t xml:space="preserve">, </w:t>
      </w:r>
      <w:r w:rsidRPr="00D93BDE">
        <w:rPr>
          <w:rFonts w:cs="Times New Roman"/>
          <w:szCs w:val="24"/>
        </w:rPr>
        <w:t xml:space="preserve">275–290. </w:t>
      </w:r>
    </w:p>
    <w:p w14:paraId="0916EAC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O’Sullivan, J. T., &amp; Howe, M. L. (1995). Metamemory and memory construction. </w:t>
      </w:r>
      <w:r w:rsidRPr="00D93BDE">
        <w:rPr>
          <w:rFonts w:cs="Times New Roman"/>
          <w:i/>
          <w:szCs w:val="24"/>
        </w:rPr>
        <w:t>Consciousness and Cognition, 4</w:t>
      </w:r>
      <w:r w:rsidRPr="00D93BDE">
        <w:rPr>
          <w:rFonts w:cs="Times New Roman"/>
          <w:szCs w:val="24"/>
        </w:rPr>
        <w:t xml:space="preserve">(1), 104–110. </w:t>
      </w:r>
    </w:p>
    <w:p w14:paraId="4F3A564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Oeberst, A., &amp; Blank, H. (2012). Undoing suggestive influence on memory: The reversibility of the eyewitness misinformation effect. </w:t>
      </w:r>
      <w:r w:rsidRPr="00D93BDE">
        <w:rPr>
          <w:rFonts w:cs="Times New Roman"/>
          <w:i/>
          <w:szCs w:val="24"/>
        </w:rPr>
        <w:t>Cognition</w:t>
      </w:r>
      <w:r w:rsidRPr="00D93BDE">
        <w:rPr>
          <w:rFonts w:cs="Times New Roman"/>
          <w:szCs w:val="24"/>
        </w:rPr>
        <w:t xml:space="preserve">, </w:t>
      </w:r>
      <w:r w:rsidRPr="00D93BDE">
        <w:rPr>
          <w:rFonts w:cs="Times New Roman"/>
          <w:i/>
          <w:szCs w:val="24"/>
        </w:rPr>
        <w:t>125</w:t>
      </w:r>
      <w:r w:rsidRPr="00D93BDE">
        <w:rPr>
          <w:rFonts w:cs="Times New Roman"/>
          <w:szCs w:val="24"/>
        </w:rPr>
        <w:t xml:space="preserve">(2), 141–159. </w:t>
      </w:r>
    </w:p>
    <w:p w14:paraId="0C0C7DD2"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Paterson, H. M., </w:t>
      </w:r>
      <w:proofErr w:type="spellStart"/>
      <w:r w:rsidRPr="00D93BDE">
        <w:rPr>
          <w:rFonts w:cs="Times New Roman"/>
          <w:szCs w:val="24"/>
        </w:rPr>
        <w:t>Eijkemans</w:t>
      </w:r>
      <w:proofErr w:type="spellEnd"/>
      <w:r w:rsidRPr="00D93BDE">
        <w:rPr>
          <w:rFonts w:cs="Times New Roman"/>
          <w:szCs w:val="24"/>
        </w:rPr>
        <w:t xml:space="preserve">, H., &amp; Kemp, R. I. (2015). Investigating the impact of delayed administration on the efficacy of the Self-Administered Interview. </w:t>
      </w:r>
      <w:r w:rsidRPr="00D93BDE">
        <w:rPr>
          <w:rFonts w:cs="Times New Roman"/>
          <w:i/>
          <w:szCs w:val="24"/>
        </w:rPr>
        <w:t>Psychiatry, Psychology and Law</w:t>
      </w:r>
      <w:r w:rsidRPr="00D93BDE">
        <w:rPr>
          <w:rFonts w:cs="Times New Roman"/>
          <w:szCs w:val="24"/>
        </w:rPr>
        <w:t xml:space="preserve">, </w:t>
      </w:r>
      <w:r w:rsidRPr="00D93BDE">
        <w:rPr>
          <w:rFonts w:cs="Times New Roman"/>
          <w:i/>
          <w:szCs w:val="24"/>
        </w:rPr>
        <w:t>22</w:t>
      </w:r>
      <w:r w:rsidRPr="00D93BDE">
        <w:rPr>
          <w:rFonts w:cs="Times New Roman"/>
          <w:szCs w:val="24"/>
        </w:rPr>
        <w:t xml:space="preserve">(2), 307–317. </w:t>
      </w:r>
    </w:p>
    <w:p w14:paraId="56439237"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lastRenderedPageBreak/>
        <w:t xml:space="preserve">Paterson, H. M., Kemp, R. I., &amp; McIntyre, S. (2012). Can a witness report hearsay evidence unintentionally? The effects of discussion on eyewitness memory. </w:t>
      </w:r>
      <w:r w:rsidRPr="00D93BDE">
        <w:rPr>
          <w:rFonts w:cs="Times New Roman"/>
          <w:i/>
          <w:szCs w:val="24"/>
        </w:rPr>
        <w:t>Psychology, Crime and</w:t>
      </w:r>
      <w:r w:rsidRPr="00D93BDE">
        <w:rPr>
          <w:rFonts w:cs="Times New Roman"/>
          <w:szCs w:val="24"/>
        </w:rPr>
        <w:t xml:space="preserve"> </w:t>
      </w:r>
      <w:r w:rsidRPr="00D93BDE">
        <w:rPr>
          <w:rFonts w:cs="Times New Roman"/>
          <w:i/>
          <w:szCs w:val="24"/>
        </w:rPr>
        <w:t>Law</w:t>
      </w:r>
      <w:r w:rsidRPr="00D93BDE">
        <w:rPr>
          <w:rFonts w:cs="Times New Roman"/>
          <w:szCs w:val="24"/>
        </w:rPr>
        <w:t xml:space="preserve">, </w:t>
      </w:r>
      <w:r w:rsidRPr="00D93BDE">
        <w:rPr>
          <w:rFonts w:cs="Times New Roman"/>
          <w:i/>
          <w:szCs w:val="24"/>
        </w:rPr>
        <w:t>18</w:t>
      </w:r>
      <w:r w:rsidRPr="00D93BDE">
        <w:rPr>
          <w:rFonts w:cs="Times New Roman"/>
          <w:szCs w:val="24"/>
        </w:rPr>
        <w:t>(6), 505–527.</w:t>
      </w:r>
    </w:p>
    <w:p w14:paraId="794D3945" w14:textId="77777777" w:rsidR="00D93BDE" w:rsidRPr="00D93BDE" w:rsidRDefault="00D93BDE" w:rsidP="00D93BDE">
      <w:pPr>
        <w:spacing w:after="5" w:line="360" w:lineRule="auto"/>
        <w:ind w:left="551" w:right="5" w:hanging="566"/>
        <w:contextualSpacing/>
        <w:jc w:val="both"/>
        <w:rPr>
          <w:rFonts w:cs="Times New Roman"/>
          <w:szCs w:val="24"/>
          <w:lang w:val="pl-PL"/>
        </w:rPr>
      </w:pPr>
      <w:r w:rsidRPr="00D93BDE">
        <w:rPr>
          <w:rFonts w:cs="Times New Roman"/>
          <w:szCs w:val="24"/>
        </w:rPr>
        <w:t xml:space="preserve">Paterson, H. M., Kemp, R. I., &amp; Ng, J. R. (2011). Combating co-witness contamination: Attempting to decrease the negative effects of discussion on eyewitness memory. </w:t>
      </w:r>
      <w:r w:rsidRPr="00D93BDE">
        <w:rPr>
          <w:rFonts w:cs="Times New Roman"/>
          <w:i/>
          <w:szCs w:val="24"/>
          <w:lang w:val="pl-PL"/>
        </w:rPr>
        <w:t>Applied Cognitive Psychology, 25</w:t>
      </w:r>
      <w:r w:rsidRPr="00D93BDE">
        <w:rPr>
          <w:rFonts w:cs="Times New Roman"/>
          <w:szCs w:val="24"/>
          <w:lang w:val="pl-PL"/>
        </w:rPr>
        <w:t xml:space="preserve">(1), 43–52. </w:t>
      </w:r>
    </w:p>
    <w:p w14:paraId="229AFE7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lang w:val="pl-PL"/>
        </w:rPr>
        <w:t xml:space="preserve">Polczyk, R. (2007). </w:t>
      </w:r>
      <w:r w:rsidRPr="00D93BDE">
        <w:rPr>
          <w:rFonts w:cs="Times New Roman"/>
          <w:i/>
          <w:iCs/>
          <w:szCs w:val="24"/>
          <w:lang w:val="pl-PL"/>
        </w:rPr>
        <w:t>Mechanizmy efektu dezinformacji w kontekście zeznań świadka naocznego.</w:t>
      </w:r>
      <w:r w:rsidRPr="00D93BDE">
        <w:rPr>
          <w:rFonts w:cs="Times New Roman"/>
          <w:szCs w:val="24"/>
          <w:lang w:val="pl-PL"/>
        </w:rPr>
        <w:t xml:space="preserve"> </w:t>
      </w:r>
      <w:r w:rsidRPr="00D93BDE">
        <w:rPr>
          <w:rFonts w:cs="Times New Roman"/>
          <w:i/>
          <w:iCs/>
          <w:szCs w:val="24"/>
        </w:rPr>
        <w:t>[The mechanisms of the misinformation effect in the context of eyewitness memory</w:t>
      </w:r>
      <w:r w:rsidRPr="00D93BDE">
        <w:rPr>
          <w:rFonts w:cs="Times New Roman"/>
          <w:szCs w:val="24"/>
        </w:rPr>
        <w:t xml:space="preserve">]. Cracow: Wydawnictwo </w:t>
      </w:r>
      <w:proofErr w:type="spellStart"/>
      <w:r w:rsidRPr="00D93BDE">
        <w:rPr>
          <w:rFonts w:cs="Times New Roman"/>
          <w:szCs w:val="24"/>
        </w:rPr>
        <w:t>Uniwersytetu</w:t>
      </w:r>
      <w:proofErr w:type="spellEnd"/>
      <w:r w:rsidRPr="00D93BDE">
        <w:rPr>
          <w:rFonts w:cs="Times New Roman"/>
          <w:szCs w:val="24"/>
        </w:rPr>
        <w:t xml:space="preserve"> </w:t>
      </w:r>
      <w:proofErr w:type="spellStart"/>
      <w:r w:rsidRPr="00D93BDE">
        <w:rPr>
          <w:rFonts w:cs="Times New Roman"/>
          <w:szCs w:val="24"/>
        </w:rPr>
        <w:t>Jagiellońskiego</w:t>
      </w:r>
      <w:proofErr w:type="spellEnd"/>
      <w:r w:rsidRPr="00D93BDE">
        <w:rPr>
          <w:rFonts w:cs="Times New Roman"/>
          <w:szCs w:val="24"/>
        </w:rPr>
        <w:t xml:space="preserve">. </w:t>
      </w:r>
    </w:p>
    <w:p w14:paraId="2F219C9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Polczyk, R. (2017). The ‘memory’ misinformation effect may not be caused by memory failures: exploring memory states of misinformed subjects. </w:t>
      </w:r>
      <w:r w:rsidRPr="00D93BDE">
        <w:rPr>
          <w:rFonts w:cs="Times New Roman"/>
          <w:i/>
          <w:szCs w:val="24"/>
        </w:rPr>
        <w:t>Polish Psychological Bulletin</w:t>
      </w:r>
      <w:r w:rsidRPr="00D93BDE">
        <w:rPr>
          <w:rFonts w:cs="Times New Roman"/>
          <w:szCs w:val="24"/>
        </w:rPr>
        <w:t xml:space="preserve">, </w:t>
      </w:r>
      <w:r w:rsidRPr="00D93BDE">
        <w:rPr>
          <w:rFonts w:cs="Times New Roman"/>
          <w:i/>
          <w:szCs w:val="24"/>
        </w:rPr>
        <w:t>48</w:t>
      </w:r>
      <w:r w:rsidRPr="00D93BDE">
        <w:rPr>
          <w:rFonts w:cs="Times New Roman"/>
          <w:szCs w:val="24"/>
        </w:rPr>
        <w:t xml:space="preserve">(3), 388–400. </w:t>
      </w:r>
    </w:p>
    <w:p w14:paraId="3781E40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Price, H. L., &amp; Connolly, D. A. (2004). Event frequency and children’s suggestibility: A study of cued recall responses.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18</w:t>
      </w:r>
      <w:r w:rsidRPr="00D93BDE">
        <w:rPr>
          <w:rFonts w:cs="Times New Roman"/>
          <w:szCs w:val="24"/>
        </w:rPr>
        <w:t>, 809–821.</w:t>
      </w:r>
    </w:p>
    <w:p w14:paraId="0D16258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Principe, G. F., Haines, B., Adkins, A., &amp; </w:t>
      </w:r>
      <w:proofErr w:type="spellStart"/>
      <w:r w:rsidRPr="00D93BDE">
        <w:rPr>
          <w:rFonts w:cs="Times New Roman"/>
          <w:szCs w:val="24"/>
        </w:rPr>
        <w:t>Guiliano</w:t>
      </w:r>
      <w:proofErr w:type="spellEnd"/>
      <w:r w:rsidRPr="00D93BDE">
        <w:rPr>
          <w:rFonts w:cs="Times New Roman"/>
          <w:szCs w:val="24"/>
        </w:rPr>
        <w:t xml:space="preserve">, S. (2010). False rumors and true belief: Memory processes underlying children’s errant reports of rumored events. </w:t>
      </w:r>
      <w:r w:rsidRPr="00D93BDE">
        <w:rPr>
          <w:rFonts w:cs="Times New Roman"/>
          <w:i/>
          <w:szCs w:val="24"/>
        </w:rPr>
        <w:t>Journal of Experimental Child Psychology</w:t>
      </w:r>
      <w:r w:rsidRPr="00D93BDE">
        <w:rPr>
          <w:rFonts w:cs="Times New Roman"/>
          <w:szCs w:val="24"/>
        </w:rPr>
        <w:t xml:space="preserve">, </w:t>
      </w:r>
      <w:r w:rsidRPr="00D93BDE">
        <w:rPr>
          <w:rFonts w:cs="Times New Roman"/>
          <w:i/>
          <w:szCs w:val="24"/>
        </w:rPr>
        <w:t>107</w:t>
      </w:r>
      <w:r w:rsidRPr="00D93BDE">
        <w:rPr>
          <w:rFonts w:cs="Times New Roman"/>
          <w:szCs w:val="24"/>
        </w:rPr>
        <w:t xml:space="preserve">, 407–422. </w:t>
      </w:r>
    </w:p>
    <w:p w14:paraId="25AA9A5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Roebers</w:t>
      </w:r>
      <w:proofErr w:type="spellEnd"/>
      <w:r w:rsidRPr="00D93BDE">
        <w:rPr>
          <w:rFonts w:cs="Times New Roman"/>
          <w:szCs w:val="24"/>
        </w:rPr>
        <w:t xml:space="preserve">, C. M. (2002). Confidence judgments in children’s and adult’s event recall and suggestibility. </w:t>
      </w:r>
      <w:r w:rsidRPr="00D93BDE">
        <w:rPr>
          <w:rFonts w:cs="Times New Roman"/>
          <w:i/>
          <w:szCs w:val="24"/>
        </w:rPr>
        <w:t>Developmental Psychology, 38</w:t>
      </w:r>
      <w:r w:rsidRPr="00D93BDE">
        <w:rPr>
          <w:rFonts w:cs="Times New Roman"/>
          <w:szCs w:val="24"/>
        </w:rPr>
        <w:t xml:space="preserve">(6), 1052–1067. </w:t>
      </w:r>
    </w:p>
    <w:p w14:paraId="1CEFBD7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Roediger, H. L., &amp; McDermott, K. B. (1995). Creating false memories: Remembering words not presented in lists. </w:t>
      </w:r>
      <w:r w:rsidRPr="00D93BDE">
        <w:rPr>
          <w:rFonts w:cs="Times New Roman"/>
          <w:i/>
          <w:szCs w:val="24"/>
        </w:rPr>
        <w:t>Journal of Experimental Psychology: Learning, Memory, and Cognition, 21</w:t>
      </w:r>
      <w:r w:rsidRPr="00D93BDE">
        <w:rPr>
          <w:rFonts w:cs="Times New Roman"/>
          <w:szCs w:val="24"/>
        </w:rPr>
        <w:t xml:space="preserve">(4), 803–814. </w:t>
      </w:r>
    </w:p>
    <w:p w14:paraId="3444717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Sagarin, B. J., Cialdini, R. B., Rice, W. E., &amp; Serna, S. B. (2002). Dispelling the illusion of invulnerability: The motivations and mechanisms of resistance to persuasion. </w:t>
      </w:r>
      <w:r w:rsidRPr="00D93BDE">
        <w:rPr>
          <w:rFonts w:cs="Times New Roman"/>
          <w:i/>
          <w:szCs w:val="24"/>
        </w:rPr>
        <w:t>Journal of Personality and Social Psychology, 83</w:t>
      </w:r>
      <w:r w:rsidRPr="00D93BDE">
        <w:rPr>
          <w:rFonts w:cs="Times New Roman"/>
          <w:szCs w:val="24"/>
        </w:rPr>
        <w:t xml:space="preserve">(3), 526–541. </w:t>
      </w:r>
    </w:p>
    <w:p w14:paraId="40C1F05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Schacter, D. L. (1999). The seven sins of memory: Insights from psychology and cognitive neuroscience. </w:t>
      </w:r>
      <w:r w:rsidRPr="00D93BDE">
        <w:rPr>
          <w:rFonts w:cs="Times New Roman"/>
          <w:i/>
          <w:szCs w:val="24"/>
        </w:rPr>
        <w:t>American Psychologist, 54</w:t>
      </w:r>
      <w:r w:rsidRPr="00D93BDE">
        <w:rPr>
          <w:rFonts w:cs="Times New Roman"/>
          <w:szCs w:val="24"/>
        </w:rPr>
        <w:t xml:space="preserve">(3), 182–203. </w:t>
      </w:r>
    </w:p>
    <w:p w14:paraId="6B2F35F0" w14:textId="77777777" w:rsidR="00D93BDE" w:rsidRPr="00D93BDE" w:rsidRDefault="00D93BDE" w:rsidP="00D93BDE">
      <w:pPr>
        <w:spacing w:after="2" w:line="360" w:lineRule="auto"/>
        <w:ind w:left="566" w:right="171" w:hanging="566"/>
        <w:contextualSpacing/>
        <w:jc w:val="both"/>
        <w:rPr>
          <w:rFonts w:cs="Times New Roman"/>
          <w:szCs w:val="24"/>
        </w:rPr>
      </w:pPr>
      <w:r w:rsidRPr="00D93BDE">
        <w:rPr>
          <w:rFonts w:cs="Times New Roman"/>
          <w:szCs w:val="24"/>
        </w:rPr>
        <w:t xml:space="preserve">Smith, A. M., &amp; Cutler, B. L. (2013). </w:t>
      </w:r>
      <w:r w:rsidRPr="00D93BDE">
        <w:rPr>
          <w:rFonts w:cs="Times New Roman"/>
          <w:i/>
          <w:szCs w:val="24"/>
        </w:rPr>
        <w:t>Introduction: Identification procedures and conviction of the innocent.</w:t>
      </w:r>
      <w:r w:rsidRPr="00D93BDE">
        <w:rPr>
          <w:rFonts w:cs="Times New Roman"/>
          <w:szCs w:val="24"/>
        </w:rPr>
        <w:t xml:space="preserve"> In B. L. Cutler (Ed.), </w:t>
      </w:r>
      <w:r w:rsidRPr="00D93BDE">
        <w:rPr>
          <w:rFonts w:cs="Times New Roman"/>
          <w:i/>
          <w:szCs w:val="24"/>
        </w:rPr>
        <w:t>Reform of eyewitness identification procedures</w:t>
      </w:r>
      <w:r w:rsidRPr="00D93BDE">
        <w:rPr>
          <w:rFonts w:cs="Times New Roman"/>
          <w:szCs w:val="24"/>
        </w:rPr>
        <w:t xml:space="preserve"> (pp. 3–21). American Psychological Association. </w:t>
      </w:r>
    </w:p>
    <w:p w14:paraId="0D3538B1" w14:textId="77777777" w:rsidR="00D93BDE" w:rsidRPr="00D93BDE" w:rsidRDefault="00D93BDE" w:rsidP="00D93BDE">
      <w:pPr>
        <w:spacing w:after="27" w:line="360" w:lineRule="auto"/>
        <w:ind w:left="551" w:right="5" w:hanging="566"/>
        <w:contextualSpacing/>
        <w:jc w:val="both"/>
        <w:rPr>
          <w:rFonts w:cs="Times New Roman"/>
          <w:szCs w:val="24"/>
          <w:lang w:val="pl-PL"/>
        </w:rPr>
      </w:pPr>
      <w:r w:rsidRPr="00D93BDE">
        <w:rPr>
          <w:rFonts w:cs="Times New Roman"/>
          <w:szCs w:val="24"/>
        </w:rPr>
        <w:t xml:space="preserve">Szpitalak, M. (2012). </w:t>
      </w:r>
      <w:proofErr w:type="spellStart"/>
      <w:r w:rsidRPr="00D93BDE">
        <w:rPr>
          <w:rFonts w:cs="Times New Roman"/>
          <w:i/>
          <w:szCs w:val="24"/>
        </w:rPr>
        <w:t>Motywacyjne</w:t>
      </w:r>
      <w:proofErr w:type="spellEnd"/>
      <w:r w:rsidRPr="00D93BDE">
        <w:rPr>
          <w:rFonts w:cs="Times New Roman"/>
          <w:i/>
          <w:szCs w:val="24"/>
        </w:rPr>
        <w:t xml:space="preserve"> </w:t>
      </w:r>
      <w:proofErr w:type="spellStart"/>
      <w:r w:rsidRPr="00D93BDE">
        <w:rPr>
          <w:rFonts w:cs="Times New Roman"/>
          <w:i/>
          <w:szCs w:val="24"/>
        </w:rPr>
        <w:t>mechanizmy</w:t>
      </w:r>
      <w:proofErr w:type="spellEnd"/>
      <w:r w:rsidRPr="00D93BDE">
        <w:rPr>
          <w:rFonts w:cs="Times New Roman"/>
          <w:i/>
          <w:szCs w:val="24"/>
        </w:rPr>
        <w:t xml:space="preserve"> </w:t>
      </w:r>
      <w:proofErr w:type="spellStart"/>
      <w:r w:rsidRPr="00D93BDE">
        <w:rPr>
          <w:rFonts w:cs="Times New Roman"/>
          <w:i/>
          <w:szCs w:val="24"/>
        </w:rPr>
        <w:t>efektu</w:t>
      </w:r>
      <w:proofErr w:type="spellEnd"/>
      <w:r w:rsidRPr="00D93BDE">
        <w:rPr>
          <w:rFonts w:cs="Times New Roman"/>
          <w:i/>
          <w:szCs w:val="24"/>
        </w:rPr>
        <w:t xml:space="preserve"> </w:t>
      </w:r>
      <w:proofErr w:type="spellStart"/>
      <w:r w:rsidRPr="00D93BDE">
        <w:rPr>
          <w:rFonts w:cs="Times New Roman"/>
          <w:i/>
          <w:szCs w:val="24"/>
        </w:rPr>
        <w:t>dezinformacji</w:t>
      </w:r>
      <w:proofErr w:type="spellEnd"/>
      <w:r w:rsidRPr="00D93BDE">
        <w:rPr>
          <w:rFonts w:cs="Times New Roman"/>
          <w:szCs w:val="24"/>
        </w:rPr>
        <w:t xml:space="preserve"> [</w:t>
      </w:r>
      <w:r w:rsidRPr="00D93BDE">
        <w:rPr>
          <w:rFonts w:cs="Times New Roman"/>
          <w:i/>
          <w:iCs/>
          <w:szCs w:val="24"/>
        </w:rPr>
        <w:t>Motivational mechanisms of the misinformation effect</w:t>
      </w:r>
      <w:r w:rsidRPr="00D93BDE">
        <w:rPr>
          <w:rFonts w:cs="Times New Roman"/>
          <w:szCs w:val="24"/>
        </w:rPr>
        <w:t xml:space="preserve">]. </w:t>
      </w:r>
      <w:proofErr w:type="spellStart"/>
      <w:r w:rsidRPr="00D93BDE">
        <w:rPr>
          <w:rFonts w:cs="Times New Roman"/>
          <w:szCs w:val="24"/>
          <w:lang w:val="pl-PL"/>
        </w:rPr>
        <w:t>Cracow</w:t>
      </w:r>
      <w:proofErr w:type="spellEnd"/>
      <w:r w:rsidRPr="00D93BDE">
        <w:rPr>
          <w:rFonts w:cs="Times New Roman"/>
          <w:szCs w:val="24"/>
          <w:lang w:val="pl-PL"/>
        </w:rPr>
        <w:t xml:space="preserve">: Wydawnictwo Uniwersytetu </w:t>
      </w:r>
      <w:proofErr w:type="spellStart"/>
      <w:r w:rsidRPr="00D93BDE">
        <w:rPr>
          <w:rFonts w:cs="Times New Roman"/>
          <w:szCs w:val="24"/>
          <w:lang w:val="pl-PL"/>
        </w:rPr>
        <w:t>Jagiellońskiego</w:t>
      </w:r>
      <w:proofErr w:type="spellEnd"/>
      <w:r w:rsidRPr="00D93BDE">
        <w:rPr>
          <w:rFonts w:cs="Times New Roman"/>
          <w:szCs w:val="24"/>
          <w:lang w:val="pl-PL"/>
        </w:rPr>
        <w:t xml:space="preserve">. </w:t>
      </w:r>
    </w:p>
    <w:p w14:paraId="4DCCA58F" w14:textId="77777777" w:rsidR="00D93BDE" w:rsidRPr="00D93BDE" w:rsidRDefault="00D93BDE" w:rsidP="00D93BDE">
      <w:pPr>
        <w:spacing w:after="30" w:line="360" w:lineRule="auto"/>
        <w:ind w:left="566" w:hanging="566"/>
        <w:contextualSpacing/>
        <w:jc w:val="both"/>
        <w:rPr>
          <w:rFonts w:cs="Times New Roman"/>
          <w:szCs w:val="24"/>
          <w:lang w:val="pl-PL"/>
        </w:rPr>
      </w:pPr>
      <w:r w:rsidRPr="00D93BDE">
        <w:rPr>
          <w:rFonts w:cs="Times New Roman"/>
          <w:szCs w:val="24"/>
          <w:lang w:val="pl-PL"/>
        </w:rPr>
        <w:lastRenderedPageBreak/>
        <w:t xml:space="preserve">Szpitalak, M. (2015). </w:t>
      </w:r>
      <w:r w:rsidRPr="00D93BDE">
        <w:rPr>
          <w:rFonts w:cs="Times New Roman"/>
          <w:i/>
          <w:szCs w:val="24"/>
          <w:lang w:val="pl-PL"/>
        </w:rPr>
        <w:t>W kierunku poprawy jakości zeznań świadków: pozytywne i negatywne następstwa ostrzegania o dezinformacji</w:t>
      </w:r>
      <w:r w:rsidRPr="00D93BDE">
        <w:rPr>
          <w:rFonts w:cs="Times New Roman"/>
          <w:szCs w:val="24"/>
          <w:lang w:val="pl-PL"/>
        </w:rPr>
        <w:t xml:space="preserve"> </w:t>
      </w:r>
      <w:r w:rsidRPr="00D93BDE">
        <w:rPr>
          <w:rFonts w:cs="Times New Roman"/>
          <w:iCs/>
          <w:szCs w:val="24"/>
          <w:lang w:val="pl-PL"/>
        </w:rPr>
        <w:t>[</w:t>
      </w:r>
      <w:proofErr w:type="spellStart"/>
      <w:r w:rsidRPr="00D93BDE">
        <w:rPr>
          <w:rFonts w:cs="Times New Roman"/>
          <w:i/>
          <w:szCs w:val="24"/>
          <w:lang w:val="pl-PL"/>
        </w:rPr>
        <w:t>Towards</w:t>
      </w:r>
      <w:proofErr w:type="spellEnd"/>
      <w:r w:rsidRPr="00D93BDE">
        <w:rPr>
          <w:rFonts w:cs="Times New Roman"/>
          <w:i/>
          <w:szCs w:val="24"/>
          <w:lang w:val="pl-PL"/>
        </w:rPr>
        <w:t xml:space="preserve"> </w:t>
      </w:r>
      <w:proofErr w:type="spellStart"/>
      <w:r w:rsidRPr="00D93BDE">
        <w:rPr>
          <w:rFonts w:cs="Times New Roman"/>
          <w:i/>
          <w:szCs w:val="24"/>
          <w:lang w:val="pl-PL"/>
        </w:rPr>
        <w:t>improving</w:t>
      </w:r>
      <w:proofErr w:type="spellEnd"/>
      <w:r w:rsidRPr="00D93BDE">
        <w:rPr>
          <w:rFonts w:cs="Times New Roman"/>
          <w:i/>
          <w:szCs w:val="24"/>
          <w:lang w:val="pl-PL"/>
        </w:rPr>
        <w:t xml:space="preserve"> the </w:t>
      </w:r>
      <w:proofErr w:type="spellStart"/>
      <w:r w:rsidRPr="00D93BDE">
        <w:rPr>
          <w:rFonts w:cs="Times New Roman"/>
          <w:i/>
          <w:szCs w:val="24"/>
          <w:lang w:val="pl-PL"/>
        </w:rPr>
        <w:t>quality</w:t>
      </w:r>
      <w:proofErr w:type="spellEnd"/>
      <w:r w:rsidRPr="00D93BDE">
        <w:rPr>
          <w:rFonts w:cs="Times New Roman"/>
          <w:i/>
          <w:szCs w:val="24"/>
          <w:lang w:val="pl-PL"/>
        </w:rPr>
        <w:t xml:space="preserve"> of witness </w:t>
      </w:r>
      <w:proofErr w:type="spellStart"/>
      <w:r w:rsidRPr="00D93BDE">
        <w:rPr>
          <w:rFonts w:cs="Times New Roman"/>
          <w:i/>
          <w:szCs w:val="24"/>
          <w:lang w:val="pl-PL"/>
        </w:rPr>
        <w:t>testimony</w:t>
      </w:r>
      <w:proofErr w:type="spellEnd"/>
      <w:r w:rsidRPr="00D93BDE">
        <w:rPr>
          <w:rFonts w:cs="Times New Roman"/>
          <w:i/>
          <w:szCs w:val="24"/>
          <w:lang w:val="pl-PL"/>
        </w:rPr>
        <w:t xml:space="preserve">: </w:t>
      </w:r>
      <w:proofErr w:type="spellStart"/>
      <w:r w:rsidRPr="00D93BDE">
        <w:rPr>
          <w:rFonts w:cs="Times New Roman"/>
          <w:i/>
          <w:szCs w:val="24"/>
          <w:lang w:val="pl-PL"/>
        </w:rPr>
        <w:t>Positive</w:t>
      </w:r>
      <w:proofErr w:type="spellEnd"/>
      <w:r w:rsidRPr="00D93BDE">
        <w:rPr>
          <w:rFonts w:cs="Times New Roman"/>
          <w:i/>
          <w:szCs w:val="24"/>
          <w:lang w:val="pl-PL"/>
        </w:rPr>
        <w:t xml:space="preserve"> and </w:t>
      </w:r>
      <w:proofErr w:type="spellStart"/>
      <w:r w:rsidRPr="00D93BDE">
        <w:rPr>
          <w:rFonts w:cs="Times New Roman"/>
          <w:i/>
          <w:szCs w:val="24"/>
          <w:lang w:val="pl-PL"/>
        </w:rPr>
        <w:t>negative</w:t>
      </w:r>
      <w:proofErr w:type="spellEnd"/>
      <w:r w:rsidRPr="00D93BDE">
        <w:rPr>
          <w:rFonts w:cs="Times New Roman"/>
          <w:i/>
          <w:szCs w:val="24"/>
          <w:lang w:val="pl-PL"/>
        </w:rPr>
        <w:t xml:space="preserve"> </w:t>
      </w:r>
      <w:proofErr w:type="spellStart"/>
      <w:r w:rsidRPr="00D93BDE">
        <w:rPr>
          <w:rFonts w:cs="Times New Roman"/>
          <w:i/>
          <w:szCs w:val="24"/>
          <w:lang w:val="pl-PL"/>
        </w:rPr>
        <w:t>consequences</w:t>
      </w:r>
      <w:proofErr w:type="spellEnd"/>
      <w:r w:rsidRPr="00D93BDE">
        <w:rPr>
          <w:rFonts w:cs="Times New Roman"/>
          <w:i/>
          <w:szCs w:val="24"/>
          <w:lang w:val="pl-PL"/>
        </w:rPr>
        <w:t xml:space="preserve"> of </w:t>
      </w:r>
      <w:proofErr w:type="spellStart"/>
      <w:r w:rsidRPr="00D93BDE">
        <w:rPr>
          <w:rFonts w:cs="Times New Roman"/>
          <w:i/>
          <w:szCs w:val="24"/>
          <w:lang w:val="pl-PL"/>
        </w:rPr>
        <w:t>warning</w:t>
      </w:r>
      <w:proofErr w:type="spellEnd"/>
      <w:r w:rsidRPr="00D93BDE">
        <w:rPr>
          <w:rFonts w:cs="Times New Roman"/>
          <w:iCs/>
          <w:szCs w:val="24"/>
          <w:lang w:val="pl-PL"/>
        </w:rPr>
        <w:t>].</w:t>
      </w:r>
      <w:r w:rsidRPr="00D93BDE">
        <w:rPr>
          <w:rFonts w:cs="Times New Roman"/>
          <w:szCs w:val="24"/>
          <w:lang w:val="pl-PL"/>
        </w:rPr>
        <w:t xml:space="preserve"> </w:t>
      </w:r>
      <w:proofErr w:type="spellStart"/>
      <w:r w:rsidRPr="00D93BDE">
        <w:rPr>
          <w:rFonts w:cs="Times New Roman"/>
          <w:szCs w:val="24"/>
          <w:lang w:val="pl-PL"/>
        </w:rPr>
        <w:t>Cracow</w:t>
      </w:r>
      <w:proofErr w:type="spellEnd"/>
      <w:r w:rsidRPr="00D93BDE">
        <w:rPr>
          <w:rFonts w:cs="Times New Roman"/>
          <w:szCs w:val="24"/>
          <w:lang w:val="pl-PL"/>
        </w:rPr>
        <w:t xml:space="preserve">: Wydawnictwo Uniwersytetu </w:t>
      </w:r>
      <w:proofErr w:type="spellStart"/>
      <w:r w:rsidRPr="00D93BDE">
        <w:rPr>
          <w:rFonts w:cs="Times New Roman"/>
          <w:szCs w:val="24"/>
          <w:lang w:val="pl-PL"/>
        </w:rPr>
        <w:t>Jagiellońskiego</w:t>
      </w:r>
      <w:proofErr w:type="spellEnd"/>
      <w:r w:rsidRPr="00D93BDE">
        <w:rPr>
          <w:rFonts w:cs="Times New Roman"/>
          <w:szCs w:val="24"/>
          <w:lang w:val="pl-PL"/>
        </w:rPr>
        <w:t xml:space="preserve">. </w:t>
      </w:r>
    </w:p>
    <w:p w14:paraId="3EF82ED3"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lang w:val="pl-PL"/>
        </w:rPr>
        <w:t xml:space="preserve">Szpitalak, M., Dukała, K., &amp; Polczyk, R. (2013). Rola wzmocnionej autoafirmacji i wzmocnionego niepowodzenia w redukowaniu efektu dezinformacji. </w:t>
      </w:r>
      <w:r w:rsidRPr="00D93BDE">
        <w:rPr>
          <w:rFonts w:cs="Times New Roman"/>
          <w:szCs w:val="24"/>
        </w:rPr>
        <w:t xml:space="preserve">[The role of reinforced self-affirmation and reinforced failure in reducing the misinformation effect]. </w:t>
      </w:r>
      <w:proofErr w:type="spellStart"/>
      <w:r w:rsidRPr="00D93BDE">
        <w:rPr>
          <w:rFonts w:cs="Times New Roman"/>
          <w:i/>
          <w:szCs w:val="24"/>
        </w:rPr>
        <w:t>Roczniki</w:t>
      </w:r>
      <w:proofErr w:type="spellEnd"/>
      <w:r w:rsidRPr="00D93BDE">
        <w:rPr>
          <w:rFonts w:cs="Times New Roman"/>
          <w:i/>
          <w:szCs w:val="24"/>
        </w:rPr>
        <w:t xml:space="preserve"> Psychologiczne 16</w:t>
      </w:r>
      <w:r w:rsidRPr="00D93BDE">
        <w:rPr>
          <w:rFonts w:cs="Times New Roman"/>
          <w:szCs w:val="24"/>
        </w:rPr>
        <w:t>(2), 235–248.</w:t>
      </w:r>
    </w:p>
    <w:p w14:paraId="52292041"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(2013). Promoting eyewitness testimony quality: Warning vs. reinforced self-affirmation as methods of reduction of the misinformation effect. </w:t>
      </w:r>
      <w:r w:rsidRPr="00D93BDE">
        <w:rPr>
          <w:rFonts w:cs="Times New Roman"/>
          <w:i/>
          <w:szCs w:val="24"/>
        </w:rPr>
        <w:t>Polish Psychological Bulletin, 44</w:t>
      </w:r>
      <w:r w:rsidRPr="00D93BDE">
        <w:rPr>
          <w:rFonts w:cs="Times New Roman"/>
          <w:szCs w:val="24"/>
        </w:rPr>
        <w:t xml:space="preserve">(1), 85–91. </w:t>
      </w:r>
    </w:p>
    <w:p w14:paraId="0EC7420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(2015). Reinforced self-affirmation as a method for reducing the eyewitness misinformation effect. </w:t>
      </w:r>
      <w:r w:rsidRPr="00D93BDE">
        <w:rPr>
          <w:rFonts w:cs="Times New Roman"/>
          <w:i/>
          <w:szCs w:val="24"/>
        </w:rPr>
        <w:t>Psychology, Crime &amp; Law, 21</w:t>
      </w:r>
      <w:r w:rsidRPr="00D93BDE">
        <w:rPr>
          <w:rFonts w:cs="Times New Roman"/>
          <w:szCs w:val="24"/>
        </w:rPr>
        <w:t xml:space="preserve">(10), 911–938. </w:t>
      </w:r>
    </w:p>
    <w:p w14:paraId="0D3C7C9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(2016). Reinforced self-affirmation and interrogative suggestibility. </w:t>
      </w:r>
      <w:r w:rsidRPr="00D93BDE">
        <w:rPr>
          <w:rFonts w:cs="Times New Roman"/>
          <w:i/>
          <w:szCs w:val="24"/>
        </w:rPr>
        <w:t>Psychiatry, Psychology and Law, 23</w:t>
      </w:r>
      <w:r w:rsidRPr="00D93BDE">
        <w:rPr>
          <w:rFonts w:cs="Times New Roman"/>
          <w:szCs w:val="24"/>
        </w:rPr>
        <w:t>(4), 512–520.</w:t>
      </w:r>
    </w:p>
    <w:p w14:paraId="64840D8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(2019a). How to induce resistance to the misinformation effect? Characteristics of positive feedback in the reinforced self-affirmation procedure. </w:t>
      </w:r>
      <w:r w:rsidRPr="00D93BDE">
        <w:rPr>
          <w:rFonts w:cs="Times New Roman"/>
          <w:i/>
          <w:szCs w:val="24"/>
        </w:rPr>
        <w:t>Psychology, Crime &amp; Law</w:t>
      </w:r>
      <w:r w:rsidRPr="00D93BDE">
        <w:rPr>
          <w:rFonts w:cs="Times New Roman"/>
          <w:szCs w:val="24"/>
        </w:rPr>
        <w:t xml:space="preserve">, </w:t>
      </w:r>
      <w:r w:rsidRPr="00D93BDE">
        <w:rPr>
          <w:rFonts w:cs="Times New Roman"/>
          <w:i/>
          <w:szCs w:val="24"/>
        </w:rPr>
        <w:t>25</w:t>
      </w:r>
      <w:r w:rsidRPr="00D93BDE">
        <w:rPr>
          <w:rFonts w:cs="Times New Roman"/>
          <w:szCs w:val="24"/>
        </w:rPr>
        <w:t xml:space="preserve">(7), 771–791. </w:t>
      </w:r>
    </w:p>
    <w:p w14:paraId="39081D7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(2019b). Inducing resistance to the misinformation effect by means of reinforced self-affirmation: The importance of positive feedback. </w:t>
      </w:r>
      <w:proofErr w:type="spellStart"/>
      <w:r w:rsidRPr="00D93BDE">
        <w:rPr>
          <w:rFonts w:cs="Times New Roman"/>
          <w:i/>
          <w:szCs w:val="24"/>
        </w:rPr>
        <w:t>PLoS</w:t>
      </w:r>
      <w:proofErr w:type="spellEnd"/>
      <w:r w:rsidRPr="00D93BDE">
        <w:rPr>
          <w:rFonts w:cs="Times New Roman"/>
          <w:i/>
          <w:szCs w:val="24"/>
        </w:rPr>
        <w:t xml:space="preserve"> ONE</w:t>
      </w:r>
      <w:r w:rsidRPr="00D93BDE">
        <w:rPr>
          <w:rFonts w:cs="Times New Roman"/>
          <w:szCs w:val="24"/>
        </w:rPr>
        <w:t>,</w:t>
      </w:r>
      <w:r w:rsidRPr="00D93BDE">
        <w:rPr>
          <w:rFonts w:cs="Times New Roman"/>
          <w:i/>
          <w:szCs w:val="24"/>
        </w:rPr>
        <w:t xml:space="preserve"> 14</w:t>
      </w:r>
      <w:r w:rsidRPr="00D93BDE">
        <w:rPr>
          <w:rFonts w:cs="Times New Roman"/>
          <w:szCs w:val="24"/>
        </w:rPr>
        <w:t>(1).</w:t>
      </w:r>
      <w:r w:rsidRPr="00D93BDE">
        <w:rPr>
          <w:rFonts w:cs="Times New Roman"/>
          <w:i/>
          <w:szCs w:val="24"/>
        </w:rPr>
        <w:t xml:space="preserve"> e0210987</w:t>
      </w:r>
      <w:r w:rsidRPr="00D93BDE">
        <w:rPr>
          <w:rFonts w:cs="Times New Roman"/>
          <w:szCs w:val="24"/>
        </w:rPr>
        <w:t xml:space="preserve">. </w:t>
      </w:r>
    </w:p>
    <w:p w14:paraId="075EDF6F" w14:textId="77777777" w:rsidR="00D93BDE" w:rsidRPr="00D93BDE" w:rsidRDefault="00D93BDE" w:rsidP="00D93BDE">
      <w:pPr>
        <w:spacing w:after="32" w:line="360" w:lineRule="auto"/>
        <w:ind w:left="551" w:right="-2" w:hanging="566"/>
        <w:contextualSpacing/>
        <w:jc w:val="both"/>
        <w:rPr>
          <w:rFonts w:cs="Times New Roman"/>
          <w:szCs w:val="24"/>
          <w:lang w:val="pl-PL"/>
        </w:rPr>
      </w:pPr>
      <w:r w:rsidRPr="00D93BDE">
        <w:rPr>
          <w:rFonts w:cs="Times New Roman"/>
          <w:szCs w:val="24"/>
        </w:rPr>
        <w:t xml:space="preserve">Szpitalak, M., &amp; Polczyk, R. (2021). Mediators and moderators of reinforced self-affirmation as a method for reducing the memory misinformation effect. </w:t>
      </w:r>
      <w:r w:rsidRPr="00D93BDE">
        <w:rPr>
          <w:rFonts w:cs="Times New Roman"/>
          <w:i/>
          <w:szCs w:val="24"/>
          <w:lang w:val="pl-PL"/>
        </w:rPr>
        <w:t>Frontiers in Psychology</w:t>
      </w:r>
      <w:r w:rsidRPr="00D93BDE">
        <w:rPr>
          <w:rFonts w:cs="Times New Roman"/>
          <w:szCs w:val="24"/>
          <w:lang w:val="pl-PL"/>
        </w:rPr>
        <w:t xml:space="preserve">, </w:t>
      </w:r>
      <w:r w:rsidRPr="00D93BDE">
        <w:rPr>
          <w:rFonts w:cs="Times New Roman"/>
          <w:i/>
          <w:szCs w:val="24"/>
          <w:lang w:val="pl-PL"/>
        </w:rPr>
        <w:t>12</w:t>
      </w:r>
      <w:r w:rsidRPr="00D93BDE">
        <w:rPr>
          <w:rFonts w:cs="Times New Roman"/>
          <w:szCs w:val="24"/>
          <w:lang w:val="pl-PL"/>
        </w:rPr>
        <w:t xml:space="preserve">, https://doi.org/10.3389/fpsyg.2021.666707. </w:t>
      </w:r>
    </w:p>
    <w:p w14:paraId="5DAE5534" w14:textId="77777777" w:rsidR="00D93BDE" w:rsidRPr="00D93BDE" w:rsidRDefault="00D93BDE" w:rsidP="00D93BDE">
      <w:pPr>
        <w:spacing w:after="32" w:line="360" w:lineRule="auto"/>
        <w:ind w:left="551" w:right="-2" w:hanging="566"/>
        <w:contextualSpacing/>
        <w:jc w:val="both"/>
        <w:rPr>
          <w:rFonts w:cs="Times New Roman"/>
          <w:szCs w:val="24"/>
        </w:rPr>
      </w:pPr>
      <w:r w:rsidRPr="00D93BDE">
        <w:rPr>
          <w:rFonts w:cs="Times New Roman"/>
          <w:szCs w:val="24"/>
          <w:lang w:val="pl-PL"/>
        </w:rPr>
        <w:t xml:space="preserve">Szpitalak, M., Woltmann, A., Polczyk, R., &amp; Kękuś, M. (2019). </w:t>
      </w:r>
      <w:r w:rsidRPr="00D93BDE">
        <w:rPr>
          <w:rFonts w:cs="Times New Roman"/>
          <w:szCs w:val="24"/>
        </w:rPr>
        <w:t xml:space="preserve">Memory training as a method for reducing the misinformation effect. </w:t>
      </w:r>
      <w:r w:rsidRPr="00D93BDE">
        <w:rPr>
          <w:rFonts w:cs="Times New Roman"/>
          <w:i/>
          <w:szCs w:val="24"/>
        </w:rPr>
        <w:t>Current Psychology,</w:t>
      </w:r>
      <w:r w:rsidRPr="00D93BDE">
        <w:rPr>
          <w:rFonts w:cs="Times New Roman"/>
          <w:szCs w:val="24"/>
        </w:rPr>
        <w:t xml:space="preserve"> </w:t>
      </w:r>
      <w:r w:rsidRPr="00D93BDE">
        <w:rPr>
          <w:rFonts w:cs="Times New Roman"/>
          <w:i/>
          <w:szCs w:val="24"/>
        </w:rPr>
        <w:t>40</w:t>
      </w:r>
      <w:r w:rsidRPr="00D93BDE">
        <w:rPr>
          <w:rFonts w:cs="Times New Roman"/>
          <w:szCs w:val="24"/>
        </w:rPr>
        <w:t>(3),</w:t>
      </w:r>
      <w:r w:rsidRPr="00D93BDE">
        <w:rPr>
          <w:rFonts w:cs="Times New Roman"/>
          <w:i/>
          <w:szCs w:val="24"/>
        </w:rPr>
        <w:t xml:space="preserve"> </w:t>
      </w:r>
      <w:r w:rsidRPr="00D93BDE">
        <w:rPr>
          <w:rFonts w:cs="Times New Roman"/>
          <w:szCs w:val="24"/>
        </w:rPr>
        <w:t xml:space="preserve">1–10. </w:t>
      </w:r>
    </w:p>
    <w:p w14:paraId="0407885B"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Tainaka</w:t>
      </w:r>
      <w:proofErr w:type="spellEnd"/>
      <w:r w:rsidRPr="00D93BDE">
        <w:rPr>
          <w:rFonts w:cs="Times New Roman"/>
          <w:szCs w:val="24"/>
        </w:rPr>
        <w:t>, T., Miyoshi, T., &amp; Mori, K. (2014). Conformity of witnesses with low self-esteem to their co-</w:t>
      </w:r>
      <w:proofErr w:type="spellStart"/>
      <w:r w:rsidRPr="00D93BDE">
        <w:rPr>
          <w:rFonts w:cs="Times New Roman"/>
          <w:szCs w:val="24"/>
        </w:rPr>
        <w:t>witnessess</w:t>
      </w:r>
      <w:proofErr w:type="spellEnd"/>
      <w:r w:rsidRPr="00D93BDE">
        <w:rPr>
          <w:rFonts w:cs="Times New Roman"/>
          <w:i/>
          <w:szCs w:val="24"/>
        </w:rPr>
        <w:t xml:space="preserve">. Psychology, 5, </w:t>
      </w:r>
      <w:r w:rsidRPr="00D93BDE">
        <w:rPr>
          <w:rFonts w:cs="Times New Roman"/>
          <w:szCs w:val="24"/>
        </w:rPr>
        <w:t xml:space="preserve">1695–1701. </w:t>
      </w:r>
    </w:p>
    <w:p w14:paraId="3006C415" w14:textId="77777777" w:rsidR="00D93BDE" w:rsidRPr="00D93BDE" w:rsidRDefault="00D93BDE" w:rsidP="00D93BDE">
      <w:pPr>
        <w:spacing w:after="1" w:line="360" w:lineRule="auto"/>
        <w:ind w:left="551" w:right="94" w:hanging="566"/>
        <w:contextualSpacing/>
        <w:jc w:val="both"/>
        <w:rPr>
          <w:rFonts w:cs="Times New Roman"/>
          <w:szCs w:val="24"/>
        </w:rPr>
      </w:pPr>
      <w:r w:rsidRPr="00D93BDE">
        <w:rPr>
          <w:rFonts w:cs="Times New Roman"/>
          <w:szCs w:val="24"/>
        </w:rPr>
        <w:t xml:space="preserve">Takarangi, M. K. T., Parker, S., &amp; Garry, M. (2006). </w:t>
      </w:r>
      <w:proofErr w:type="spellStart"/>
      <w:r w:rsidRPr="00D93BDE">
        <w:rPr>
          <w:rFonts w:cs="Times New Roman"/>
          <w:szCs w:val="24"/>
        </w:rPr>
        <w:t>Modernising</w:t>
      </w:r>
      <w:proofErr w:type="spellEnd"/>
      <w:r w:rsidRPr="00D93BDE">
        <w:rPr>
          <w:rFonts w:cs="Times New Roman"/>
          <w:szCs w:val="24"/>
        </w:rPr>
        <w:t xml:space="preserve"> the misinformation effect: The development of a new stimulus set. </w:t>
      </w:r>
      <w:r w:rsidRPr="00D93BDE">
        <w:rPr>
          <w:rFonts w:cs="Times New Roman"/>
          <w:i/>
          <w:szCs w:val="24"/>
        </w:rPr>
        <w:t>Applied Cognitive Psychology, 20</w:t>
      </w:r>
      <w:r w:rsidRPr="00D93BDE">
        <w:rPr>
          <w:rFonts w:cs="Times New Roman"/>
          <w:szCs w:val="24"/>
        </w:rPr>
        <w:t xml:space="preserve">(5), 583– 590. </w:t>
      </w:r>
    </w:p>
    <w:p w14:paraId="0E9D15E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Tousignant, J. P., Hall, D., &amp; Loftus, E. F. (1986). Discrepancy detection and vulnerability to misleading postevent information. </w:t>
      </w:r>
      <w:r w:rsidRPr="00D93BDE">
        <w:rPr>
          <w:rFonts w:cs="Times New Roman"/>
          <w:i/>
          <w:szCs w:val="24"/>
        </w:rPr>
        <w:t>Memory &amp; Cognition</w:t>
      </w:r>
      <w:r w:rsidRPr="00D93BDE">
        <w:rPr>
          <w:rFonts w:cs="Times New Roman"/>
          <w:szCs w:val="24"/>
        </w:rPr>
        <w:t xml:space="preserve">, </w:t>
      </w:r>
      <w:r w:rsidRPr="00D93BDE">
        <w:rPr>
          <w:rFonts w:cs="Times New Roman"/>
          <w:i/>
          <w:szCs w:val="24"/>
        </w:rPr>
        <w:t>14</w:t>
      </w:r>
      <w:r w:rsidRPr="00D93BDE">
        <w:rPr>
          <w:rFonts w:cs="Times New Roman"/>
          <w:szCs w:val="24"/>
        </w:rPr>
        <w:t xml:space="preserve">(4), 329–338. </w:t>
      </w:r>
    </w:p>
    <w:p w14:paraId="3B5CE75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Wells, G. L., &amp; Olson, E. A. (2003). Eyewitness testimony. </w:t>
      </w:r>
      <w:r w:rsidRPr="00D93BDE">
        <w:rPr>
          <w:rFonts w:cs="Times New Roman"/>
          <w:i/>
          <w:szCs w:val="24"/>
        </w:rPr>
        <w:t>Annual Review of Psychology, 54</w:t>
      </w:r>
      <w:r w:rsidRPr="00D93BDE">
        <w:rPr>
          <w:rFonts w:cs="Times New Roman"/>
          <w:szCs w:val="24"/>
        </w:rPr>
        <w:t xml:space="preserve">(1), 277–295. </w:t>
      </w:r>
    </w:p>
    <w:p w14:paraId="32A3DE10" w14:textId="4BB6AFD5" w:rsidR="00F326C2" w:rsidRPr="00D93BDE" w:rsidRDefault="00D93BDE" w:rsidP="00D93BDE">
      <w:pPr>
        <w:spacing w:after="1" w:line="360" w:lineRule="auto"/>
        <w:ind w:left="551" w:right="146" w:hanging="566"/>
        <w:contextualSpacing/>
        <w:jc w:val="both"/>
        <w:rPr>
          <w:rFonts w:cs="Times New Roman"/>
          <w:szCs w:val="24"/>
        </w:rPr>
      </w:pPr>
      <w:r w:rsidRPr="00D93BDE">
        <w:rPr>
          <w:rFonts w:cs="Times New Roman"/>
          <w:szCs w:val="24"/>
        </w:rPr>
        <w:lastRenderedPageBreak/>
        <w:t xml:space="preserve">Wright, D. B., Self, G., &amp; Justice, C. (2000). Memory conformity: Exploring misinformation effects when presented by another person. </w:t>
      </w:r>
      <w:r w:rsidRPr="00D93BDE">
        <w:rPr>
          <w:rFonts w:cs="Times New Roman"/>
          <w:i/>
          <w:szCs w:val="24"/>
        </w:rPr>
        <w:t>British Journal of Psychology, 91</w:t>
      </w:r>
      <w:r w:rsidRPr="00D93BDE">
        <w:rPr>
          <w:rFonts w:cs="Times New Roman"/>
          <w:szCs w:val="24"/>
        </w:rPr>
        <w:t>(2), 189– 202.</w:t>
      </w:r>
    </w:p>
    <w:sectPr w:rsidR="00F326C2" w:rsidRPr="00D93BD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F752B" w14:textId="77777777" w:rsidR="00726AB1" w:rsidRDefault="00726AB1" w:rsidP="00D93BDE">
      <w:r>
        <w:separator/>
      </w:r>
    </w:p>
  </w:endnote>
  <w:endnote w:type="continuationSeparator" w:id="0">
    <w:p w14:paraId="5AE0F9A7" w14:textId="77777777" w:rsidR="00726AB1" w:rsidRDefault="00726AB1" w:rsidP="00D9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982035"/>
      <w:docPartObj>
        <w:docPartGallery w:val="Page Numbers (Bottom of Page)"/>
        <w:docPartUnique/>
      </w:docPartObj>
    </w:sdtPr>
    <w:sdtContent>
      <w:p w14:paraId="089E92B4" w14:textId="4B08DD83" w:rsidR="00D93BDE" w:rsidRDefault="00D93BDE">
        <w:pPr>
          <w:pStyle w:val="Stopka"/>
          <w:jc w:val="right"/>
        </w:pPr>
        <w:r>
          <w:fldChar w:fldCharType="begin"/>
        </w:r>
        <w:r>
          <w:instrText>PAGE   \* MERGEFORMAT</w:instrText>
        </w:r>
        <w:r>
          <w:fldChar w:fldCharType="separate"/>
        </w:r>
        <w:r>
          <w:rPr>
            <w:lang w:val="pl-PL"/>
          </w:rPr>
          <w:t>2</w:t>
        </w:r>
        <w:r>
          <w:fldChar w:fldCharType="end"/>
        </w:r>
      </w:p>
    </w:sdtContent>
  </w:sdt>
  <w:p w14:paraId="42F7353A" w14:textId="77777777" w:rsidR="00D93BDE" w:rsidRDefault="00D93BD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3D02B" w14:textId="77777777" w:rsidR="00726AB1" w:rsidRDefault="00726AB1" w:rsidP="00D93BDE">
      <w:r>
        <w:separator/>
      </w:r>
    </w:p>
  </w:footnote>
  <w:footnote w:type="continuationSeparator" w:id="0">
    <w:p w14:paraId="2213B980" w14:textId="77777777" w:rsidR="00726AB1" w:rsidRDefault="00726AB1" w:rsidP="00D93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E3733"/>
    <w:multiLevelType w:val="hybridMultilevel"/>
    <w:tmpl w:val="9E0250FC"/>
    <w:lvl w:ilvl="0" w:tplc="630AF06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472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AD8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405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0FBC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20A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C02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5F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21C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2824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DE"/>
    <w:rsid w:val="0004064A"/>
    <w:rsid w:val="000455DF"/>
    <w:rsid w:val="000B33DE"/>
    <w:rsid w:val="000C59A5"/>
    <w:rsid w:val="000D11D6"/>
    <w:rsid w:val="00111447"/>
    <w:rsid w:val="00177799"/>
    <w:rsid w:val="001F24E2"/>
    <w:rsid w:val="001F57D7"/>
    <w:rsid w:val="002A52E0"/>
    <w:rsid w:val="002C06D7"/>
    <w:rsid w:val="002E4C4C"/>
    <w:rsid w:val="00322419"/>
    <w:rsid w:val="00331DA7"/>
    <w:rsid w:val="00371A17"/>
    <w:rsid w:val="0037570E"/>
    <w:rsid w:val="003D56E4"/>
    <w:rsid w:val="004610D7"/>
    <w:rsid w:val="004A6B0A"/>
    <w:rsid w:val="004A6B0D"/>
    <w:rsid w:val="004B6586"/>
    <w:rsid w:val="0051214C"/>
    <w:rsid w:val="005414A0"/>
    <w:rsid w:val="00565D6F"/>
    <w:rsid w:val="00590633"/>
    <w:rsid w:val="005D2410"/>
    <w:rsid w:val="00610ECB"/>
    <w:rsid w:val="00625223"/>
    <w:rsid w:val="006752E0"/>
    <w:rsid w:val="006C07BA"/>
    <w:rsid w:val="00726AB1"/>
    <w:rsid w:val="00731492"/>
    <w:rsid w:val="00772CD8"/>
    <w:rsid w:val="007C0E25"/>
    <w:rsid w:val="007C259E"/>
    <w:rsid w:val="008238CD"/>
    <w:rsid w:val="00827149"/>
    <w:rsid w:val="00830B63"/>
    <w:rsid w:val="0083525F"/>
    <w:rsid w:val="00896F3D"/>
    <w:rsid w:val="008A1AA0"/>
    <w:rsid w:val="009F78A4"/>
    <w:rsid w:val="00A2345A"/>
    <w:rsid w:val="00A577DC"/>
    <w:rsid w:val="00A6177D"/>
    <w:rsid w:val="00A91B27"/>
    <w:rsid w:val="00AD0FA1"/>
    <w:rsid w:val="00B20707"/>
    <w:rsid w:val="00B31653"/>
    <w:rsid w:val="00B62C54"/>
    <w:rsid w:val="00BD6B5D"/>
    <w:rsid w:val="00BE23CC"/>
    <w:rsid w:val="00BE266C"/>
    <w:rsid w:val="00C5489C"/>
    <w:rsid w:val="00D00BC8"/>
    <w:rsid w:val="00D03C13"/>
    <w:rsid w:val="00D53B59"/>
    <w:rsid w:val="00D856D0"/>
    <w:rsid w:val="00D93BDE"/>
    <w:rsid w:val="00E2668C"/>
    <w:rsid w:val="00E31314"/>
    <w:rsid w:val="00E939DE"/>
    <w:rsid w:val="00EA4C19"/>
    <w:rsid w:val="00EC5A9B"/>
    <w:rsid w:val="00F326C2"/>
    <w:rsid w:val="00F752B5"/>
    <w:rsid w:val="00FB5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222C"/>
  <w15:chartTrackingRefBased/>
  <w15:docId w15:val="{BBDEDB80-EA4A-46EA-B742-B8D557B8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93BDE"/>
    <w:pPr>
      <w:spacing w:after="0" w:line="240" w:lineRule="auto"/>
    </w:pPr>
    <w:rPr>
      <w:rFonts w:ascii="Times New Roman" w:hAnsi="Times New Roman"/>
      <w:sz w:val="24"/>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footnotedescription">
    <w:name w:val="footnote description"/>
    <w:next w:val="Normalny"/>
    <w:link w:val="footnotedescriptionChar"/>
    <w:hidden/>
    <w:rsid w:val="00D93BDE"/>
    <w:pPr>
      <w:spacing w:after="0"/>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D93BDE"/>
    <w:rPr>
      <w:rFonts w:ascii="Times New Roman" w:eastAsia="Times New Roman" w:hAnsi="Times New Roman" w:cs="Times New Roman"/>
      <w:color w:val="000000"/>
      <w:sz w:val="20"/>
      <w:lang w:val="en-US"/>
    </w:rPr>
  </w:style>
  <w:style w:type="character" w:customStyle="1" w:styleId="footnotemark">
    <w:name w:val="footnote mark"/>
    <w:hidden/>
    <w:rsid w:val="00D93BDE"/>
    <w:rPr>
      <w:rFonts w:ascii="Times New Roman" w:eastAsia="Times New Roman" w:hAnsi="Times New Roman" w:cs="Times New Roman"/>
      <w:color w:val="000000"/>
      <w:sz w:val="25"/>
      <w:vertAlign w:val="superscript"/>
    </w:rPr>
  </w:style>
  <w:style w:type="character" w:styleId="Odwoaniedokomentarza">
    <w:name w:val="annotation reference"/>
    <w:basedOn w:val="Domylnaczcionkaakapitu"/>
    <w:uiPriority w:val="99"/>
    <w:semiHidden/>
    <w:unhideWhenUsed/>
    <w:rsid w:val="00D93BDE"/>
    <w:rPr>
      <w:sz w:val="16"/>
      <w:szCs w:val="16"/>
    </w:rPr>
  </w:style>
  <w:style w:type="paragraph" w:styleId="Tekstkomentarza">
    <w:name w:val="annotation text"/>
    <w:basedOn w:val="Normalny"/>
    <w:link w:val="TekstkomentarzaZnak"/>
    <w:uiPriority w:val="99"/>
    <w:unhideWhenUsed/>
    <w:rsid w:val="00D93BDE"/>
    <w:pPr>
      <w:spacing w:after="5"/>
      <w:ind w:left="1326" w:hanging="10"/>
    </w:pPr>
    <w:rPr>
      <w:rFonts w:eastAsia="Times New Roman" w:cs="Times New Roman"/>
      <w:color w:val="000000"/>
      <w:sz w:val="20"/>
      <w:szCs w:val="20"/>
    </w:rPr>
  </w:style>
  <w:style w:type="character" w:customStyle="1" w:styleId="TekstkomentarzaZnak">
    <w:name w:val="Tekst komentarza Znak"/>
    <w:basedOn w:val="Domylnaczcionkaakapitu"/>
    <w:link w:val="Tekstkomentarza"/>
    <w:uiPriority w:val="99"/>
    <w:rsid w:val="00D93BDE"/>
    <w:rPr>
      <w:rFonts w:ascii="Times New Roman" w:eastAsia="Times New Roman" w:hAnsi="Times New Roman" w:cs="Times New Roman"/>
      <w:color w:val="000000"/>
      <w:sz w:val="20"/>
      <w:szCs w:val="20"/>
      <w:lang w:val="en-US"/>
    </w:rPr>
  </w:style>
  <w:style w:type="paragraph" w:styleId="Akapitzlist">
    <w:name w:val="List Paragraph"/>
    <w:basedOn w:val="Normalny"/>
    <w:uiPriority w:val="34"/>
    <w:qFormat/>
    <w:rsid w:val="00D93BDE"/>
    <w:pPr>
      <w:ind w:left="720"/>
      <w:contextualSpacing/>
    </w:pPr>
  </w:style>
  <w:style w:type="paragraph" w:styleId="Nagwek">
    <w:name w:val="header"/>
    <w:basedOn w:val="Normalny"/>
    <w:link w:val="NagwekZnak"/>
    <w:uiPriority w:val="99"/>
    <w:unhideWhenUsed/>
    <w:rsid w:val="00D93BDE"/>
    <w:pPr>
      <w:tabs>
        <w:tab w:val="center" w:pos="4536"/>
        <w:tab w:val="right" w:pos="9072"/>
      </w:tabs>
    </w:pPr>
  </w:style>
  <w:style w:type="character" w:customStyle="1" w:styleId="NagwekZnak">
    <w:name w:val="Nagłówek Znak"/>
    <w:basedOn w:val="Domylnaczcionkaakapitu"/>
    <w:link w:val="Nagwek"/>
    <w:uiPriority w:val="99"/>
    <w:rsid w:val="00D93BDE"/>
    <w:rPr>
      <w:rFonts w:ascii="Times New Roman" w:hAnsi="Times New Roman"/>
      <w:sz w:val="24"/>
      <w:lang w:val="en-US"/>
    </w:rPr>
  </w:style>
  <w:style w:type="paragraph" w:styleId="Stopka">
    <w:name w:val="footer"/>
    <w:basedOn w:val="Normalny"/>
    <w:link w:val="StopkaZnak"/>
    <w:uiPriority w:val="99"/>
    <w:unhideWhenUsed/>
    <w:rsid w:val="00D93BDE"/>
    <w:pPr>
      <w:tabs>
        <w:tab w:val="center" w:pos="4536"/>
        <w:tab w:val="right" w:pos="9072"/>
      </w:tabs>
    </w:pPr>
  </w:style>
  <w:style w:type="character" w:customStyle="1" w:styleId="StopkaZnak">
    <w:name w:val="Stopka Znak"/>
    <w:basedOn w:val="Domylnaczcionkaakapitu"/>
    <w:link w:val="Stopka"/>
    <w:uiPriority w:val="99"/>
    <w:rsid w:val="00D93BDE"/>
    <w:rPr>
      <w:rFonts w:ascii="Times New Roman" w:hAnsi="Times New Roman"/>
      <w:sz w:val="24"/>
      <w:lang w:val="en-US"/>
    </w:rPr>
  </w:style>
  <w:style w:type="character" w:customStyle="1" w:styleId="cf01">
    <w:name w:val="cf01"/>
    <w:basedOn w:val="Domylnaczcionkaakapitu"/>
    <w:rsid w:val="00D93BDE"/>
    <w:rPr>
      <w:rFonts w:ascii="Segoe UI" w:hAnsi="Segoe UI" w:cs="Segoe UI" w:hint="default"/>
      <w:sz w:val="18"/>
      <w:szCs w:val="18"/>
    </w:rPr>
  </w:style>
  <w:style w:type="paragraph" w:styleId="Tematkomentarza">
    <w:name w:val="annotation subject"/>
    <w:basedOn w:val="Tekstkomentarza"/>
    <w:next w:val="Tekstkomentarza"/>
    <w:link w:val="TematkomentarzaZnak"/>
    <w:uiPriority w:val="99"/>
    <w:semiHidden/>
    <w:unhideWhenUsed/>
    <w:rsid w:val="00772CD8"/>
    <w:pPr>
      <w:spacing w:after="0"/>
      <w:ind w:left="0" w:firstLine="0"/>
    </w:pPr>
    <w:rPr>
      <w:rFonts w:eastAsiaTheme="minorHAnsi" w:cstheme="minorBidi"/>
      <w:b/>
      <w:bCs/>
      <w:color w:val="auto"/>
    </w:rPr>
  </w:style>
  <w:style w:type="character" w:customStyle="1" w:styleId="TematkomentarzaZnak">
    <w:name w:val="Temat komentarza Znak"/>
    <w:basedOn w:val="TekstkomentarzaZnak"/>
    <w:link w:val="Tematkomentarza"/>
    <w:uiPriority w:val="99"/>
    <w:semiHidden/>
    <w:rsid w:val="00772CD8"/>
    <w:rPr>
      <w:rFonts w:ascii="Times New Roman" w:eastAsia="Times New Roman" w:hAnsi="Times New Roman" w:cs="Times New Roman"/>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18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26</Pages>
  <Words>9618</Words>
  <Characters>57713</Characters>
  <Application>Microsoft Office Word</Application>
  <DocSecurity>0</DocSecurity>
  <Lines>480</Lines>
  <Paragraphs>134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Kękuś</dc:creator>
  <cp:keywords/>
  <dc:description/>
  <cp:lastModifiedBy>Magdalena Kękuś</cp:lastModifiedBy>
  <cp:revision>32</cp:revision>
  <dcterms:created xsi:type="dcterms:W3CDTF">2023-02-03T09:28:00Z</dcterms:created>
  <dcterms:modified xsi:type="dcterms:W3CDTF">2023-04-08T22:59:00Z</dcterms:modified>
</cp:coreProperties>
</file>