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B35" w:rsidRDefault="00381B35">
      <w:pPr>
        <w:pStyle w:val="Head"/>
        <w:rPr>
          <w:sz w:val="24"/>
        </w:rPr>
      </w:pPr>
    </w:p>
    <w:p w:rsidR="00381B35" w:rsidRDefault="00381B35">
      <w:pPr>
        <w:pStyle w:val="Head"/>
        <w:rPr>
          <w:sz w:val="24"/>
        </w:rPr>
      </w:pPr>
    </w:p>
    <w:p w:rsidR="00381B35" w:rsidRDefault="002E48AF">
      <w:pPr>
        <w:pStyle w:val="Head"/>
        <w:rPr>
          <w:sz w:val="40"/>
          <w:szCs w:val="40"/>
        </w:rPr>
      </w:pPr>
      <w:r>
        <w:rPr>
          <w:sz w:val="40"/>
          <w:szCs w:val="40"/>
        </w:rPr>
        <w:t>Causal understanding is not necessary for the improvement of culturally evolving technology</w:t>
      </w:r>
    </w:p>
    <w:p w:rsidR="00381B35" w:rsidRDefault="00381B35">
      <w:pPr>
        <w:pStyle w:val="Head"/>
      </w:pPr>
    </w:p>
    <w:p w:rsidR="00381B35" w:rsidRDefault="002E48AF">
      <w:pPr>
        <w:rPr>
          <w:lang w:val="fr-FR"/>
        </w:rPr>
      </w:pPr>
      <w:r>
        <w:rPr>
          <w:b/>
          <w:sz w:val="24"/>
          <w:lang w:val="fr-FR"/>
        </w:rPr>
        <w:t xml:space="preserve">Authors: </w:t>
      </w:r>
      <w:r>
        <w:rPr>
          <w:sz w:val="24"/>
          <w:szCs w:val="24"/>
          <w:lang w:val="fr-FR"/>
        </w:rPr>
        <w:t>Maxime Derex</w:t>
      </w:r>
      <w:r>
        <w:rPr>
          <w:sz w:val="24"/>
          <w:szCs w:val="24"/>
          <w:vertAlign w:val="superscript"/>
          <w:lang w:val="fr-FR"/>
        </w:rPr>
        <w:t>1,2</w:t>
      </w:r>
      <w:r>
        <w:rPr>
          <w:sz w:val="24"/>
          <w:szCs w:val="24"/>
          <w:lang w:val="fr-FR"/>
        </w:rPr>
        <w:t>*, Jean-François Bonnefon</w:t>
      </w:r>
      <w:r>
        <w:rPr>
          <w:sz w:val="24"/>
          <w:szCs w:val="24"/>
          <w:vertAlign w:val="superscript"/>
          <w:lang w:val="fr-FR"/>
        </w:rPr>
        <w:t>3</w:t>
      </w:r>
      <w:r>
        <w:rPr>
          <w:sz w:val="24"/>
          <w:szCs w:val="24"/>
          <w:lang w:val="fr-FR"/>
        </w:rPr>
        <w:t>, Robert Boyd</w:t>
      </w:r>
      <w:r>
        <w:rPr>
          <w:sz w:val="24"/>
          <w:szCs w:val="24"/>
          <w:vertAlign w:val="superscript"/>
          <w:lang w:val="fr-FR"/>
        </w:rPr>
        <w:t>4,5</w:t>
      </w:r>
      <w:r>
        <w:rPr>
          <w:sz w:val="24"/>
          <w:szCs w:val="24"/>
          <w:lang w:val="fr-FR"/>
        </w:rPr>
        <w:t>, Alex Mesoudi</w:t>
      </w:r>
      <w:r>
        <w:rPr>
          <w:sz w:val="24"/>
          <w:szCs w:val="24"/>
          <w:vertAlign w:val="superscript"/>
          <w:lang w:val="fr-FR"/>
        </w:rPr>
        <w:t>1</w:t>
      </w:r>
    </w:p>
    <w:p w:rsidR="00381B35" w:rsidRDefault="00381B35">
      <w:pPr>
        <w:rPr>
          <w:bCs/>
          <w:color w:val="000000"/>
          <w:sz w:val="24"/>
          <w:szCs w:val="24"/>
          <w:vertAlign w:val="superscript"/>
          <w:lang w:val="fr-FR"/>
        </w:rPr>
      </w:pPr>
    </w:p>
    <w:p w:rsidR="00381B35" w:rsidRDefault="00381B35">
      <w:pPr>
        <w:rPr>
          <w:bCs/>
          <w:color w:val="000000"/>
          <w:sz w:val="24"/>
          <w:szCs w:val="24"/>
          <w:vertAlign w:val="superscript"/>
          <w:lang w:val="fr-FR"/>
        </w:rPr>
      </w:pPr>
    </w:p>
    <w:p w:rsidR="00381B35" w:rsidRDefault="002E48AF">
      <w:pPr>
        <w:rPr>
          <w:sz w:val="24"/>
          <w:szCs w:val="24"/>
          <w:lang w:val="en-GB"/>
        </w:rPr>
      </w:pPr>
      <w:r>
        <w:rPr>
          <w:bCs/>
          <w:color w:val="000000"/>
          <w:sz w:val="24"/>
          <w:szCs w:val="24"/>
          <w:vertAlign w:val="superscript"/>
          <w:lang w:val="en-GB"/>
        </w:rPr>
        <w:t xml:space="preserve">1 </w:t>
      </w:r>
      <w:r>
        <w:rPr>
          <w:sz w:val="24"/>
          <w:szCs w:val="24"/>
          <w:lang w:val="en-GB"/>
        </w:rPr>
        <w:t xml:space="preserve">Human Behaviour and Cultural Evolution Group, Department of Biosciences, University of Exeter, Penryn TR10 9FE, United Kingdom. </w:t>
      </w:r>
    </w:p>
    <w:p w:rsidR="00381B35" w:rsidRDefault="002E48AF">
      <w:pPr>
        <w:rPr>
          <w:sz w:val="24"/>
          <w:szCs w:val="24"/>
          <w:lang w:val="en-GB"/>
        </w:rPr>
      </w:pPr>
      <w:r>
        <w:rPr>
          <w:bCs/>
          <w:color w:val="000000"/>
          <w:sz w:val="24"/>
          <w:szCs w:val="24"/>
          <w:vertAlign w:val="superscript"/>
          <w:lang w:val="en-GB"/>
        </w:rPr>
        <w:t xml:space="preserve">2 </w:t>
      </w:r>
      <w:r>
        <w:rPr>
          <w:sz w:val="24"/>
          <w:szCs w:val="24"/>
          <w:lang w:val="en-GB"/>
        </w:rPr>
        <w:t xml:space="preserve">Laboratory for Experimental Anthropology – ETHICS (EA 7446), Catholic University of Lille, 59016 Lille, France. </w:t>
      </w:r>
    </w:p>
    <w:p w:rsidR="00381B35" w:rsidRDefault="002E48AF">
      <w:pPr>
        <w:rPr>
          <w:sz w:val="24"/>
          <w:szCs w:val="24"/>
          <w:lang w:val="en-GB"/>
        </w:rPr>
      </w:pPr>
      <w:r>
        <w:rPr>
          <w:sz w:val="24"/>
          <w:szCs w:val="24"/>
          <w:vertAlign w:val="superscript"/>
          <w:lang w:val="en-GB"/>
        </w:rPr>
        <w:t>3</w:t>
      </w:r>
      <w:r>
        <w:rPr>
          <w:sz w:val="24"/>
          <w:szCs w:val="24"/>
          <w:lang w:val="en-GB"/>
        </w:rPr>
        <w:t xml:space="preserve"> Toulouse School of Economics (TSM-Research), Centre National de la Recherche Scientifique, University of Toulouse Capitole, Toulouse 31015, France. </w:t>
      </w:r>
    </w:p>
    <w:p w:rsidR="00381B35" w:rsidRDefault="002E48AF">
      <w:pPr>
        <w:rPr>
          <w:sz w:val="24"/>
          <w:szCs w:val="24"/>
          <w:lang w:val="en-GB"/>
        </w:rPr>
      </w:pPr>
      <w:r>
        <w:rPr>
          <w:bCs/>
          <w:color w:val="000000"/>
          <w:sz w:val="24"/>
          <w:szCs w:val="24"/>
          <w:vertAlign w:val="superscript"/>
          <w:lang w:val="en-GB"/>
        </w:rPr>
        <w:t xml:space="preserve">4 </w:t>
      </w:r>
      <w:r>
        <w:rPr>
          <w:sz w:val="24"/>
          <w:szCs w:val="24"/>
          <w:lang w:val="en-GB"/>
        </w:rPr>
        <w:t xml:space="preserve">Institute of Human Origins, Arizona State University, Tempe, AZ 85287, USA. </w:t>
      </w:r>
    </w:p>
    <w:p w:rsidR="00381B35" w:rsidRDefault="002E48AF">
      <w:pPr>
        <w:rPr>
          <w:sz w:val="24"/>
          <w:szCs w:val="24"/>
          <w:lang w:val="en-GB"/>
        </w:rPr>
      </w:pPr>
      <w:r>
        <w:rPr>
          <w:bCs/>
          <w:color w:val="000000"/>
          <w:sz w:val="24"/>
          <w:szCs w:val="24"/>
          <w:vertAlign w:val="superscript"/>
          <w:lang w:val="en-GB"/>
        </w:rPr>
        <w:t xml:space="preserve">5 </w:t>
      </w:r>
      <w:r>
        <w:rPr>
          <w:sz w:val="24"/>
          <w:szCs w:val="24"/>
          <w:lang w:val="en-GB"/>
        </w:rPr>
        <w:t>School of Human Evolution and Social Change, Arizona State University, Tempe, AZ 85287, USA.</w:t>
      </w:r>
    </w:p>
    <w:p w:rsidR="00381B35" w:rsidRDefault="00381B35">
      <w:pPr>
        <w:rPr>
          <w:sz w:val="24"/>
          <w:szCs w:val="24"/>
          <w:lang w:val="en-GB"/>
        </w:rPr>
      </w:pPr>
    </w:p>
    <w:p w:rsidR="00381B35" w:rsidRDefault="002E48AF">
      <w:pPr>
        <w:pStyle w:val="Paragraph"/>
        <w:ind w:firstLine="0"/>
      </w:pPr>
      <w:r>
        <w:t xml:space="preserve">*Correspondence to: </w:t>
      </w:r>
      <w:hyperlink r:id="rId7">
        <w:r>
          <w:rPr>
            <w:rStyle w:val="InternetLink"/>
          </w:rPr>
          <w:t>maxime.derex@gmail.com</w:t>
        </w:r>
      </w:hyperlink>
    </w:p>
    <w:p w:rsidR="00381B35" w:rsidRDefault="00381B35">
      <w:pPr>
        <w:pStyle w:val="Paragraph"/>
        <w:ind w:firstLine="0"/>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381B35">
      <w:pPr>
        <w:pStyle w:val="Corps"/>
        <w:spacing w:line="360" w:lineRule="auto"/>
        <w:jc w:val="both"/>
        <w:rPr>
          <w:rFonts w:ascii="Times New Roman" w:hAnsi="Times New Roman" w:cs="Times New Roman"/>
          <w:b/>
          <w:sz w:val="24"/>
          <w:szCs w:val="24"/>
        </w:rPr>
      </w:pPr>
    </w:p>
    <w:p w:rsidR="00381B35" w:rsidRDefault="002E48AF">
      <w:pPr>
        <w:pStyle w:val="Corps"/>
        <w:spacing w:line="360" w:lineRule="auto"/>
        <w:jc w:val="both"/>
      </w:pPr>
      <w:r>
        <w:rPr>
          <w:rFonts w:ascii="Times New Roman" w:hAnsi="Times New Roman" w:cs="Times New Roman"/>
          <w:b/>
          <w:sz w:val="24"/>
          <w:szCs w:val="24"/>
        </w:rPr>
        <w:lastRenderedPageBreak/>
        <w:t xml:space="preserve">Bows and arrows, houses, and kayaks are just a few examples of </w:t>
      </w:r>
      <w:r w:rsidR="00AE1C1B">
        <w:rPr>
          <w:rFonts w:ascii="Times New Roman" w:hAnsi="Times New Roman" w:cs="Times New Roman"/>
          <w:b/>
          <w:sz w:val="24"/>
          <w:szCs w:val="24"/>
        </w:rPr>
        <w:t>the highly-optimized tools</w:t>
      </w:r>
      <w:r>
        <w:rPr>
          <w:rFonts w:ascii="Times New Roman" w:hAnsi="Times New Roman" w:cs="Times New Roman"/>
          <w:b/>
          <w:sz w:val="24"/>
          <w:szCs w:val="24"/>
        </w:rPr>
        <w:t xml:space="preserve"> that humans produced and used to colonize new</w:t>
      </w:r>
      <w:r w:rsidR="004C648E">
        <w:rPr>
          <w:rFonts w:ascii="Times New Roman" w:hAnsi="Times New Roman" w:cs="Times New Roman"/>
          <w:b/>
          <w:sz w:val="24"/>
          <w:szCs w:val="24"/>
        </w:rPr>
        <w:t xml:space="preserve"> </w:t>
      </w:r>
      <w:r>
        <w:rPr>
          <w:rFonts w:ascii="Times New Roman" w:hAnsi="Times New Roman" w:cs="Times New Roman"/>
          <w:b/>
          <w:sz w:val="24"/>
          <w:szCs w:val="24"/>
        </w:rPr>
        <w:t>environments</w:t>
      </w:r>
      <w:r>
        <w:rPr>
          <w:b/>
          <w:sz w:val="24"/>
          <w:szCs w:val="24"/>
          <w:vertAlign w:val="superscript"/>
        </w:rPr>
        <w:t>1,2</w:t>
      </w:r>
      <w:r>
        <w:rPr>
          <w:rFonts w:ascii="Times New Roman" w:hAnsi="Times New Roman" w:cs="Times New Roman"/>
          <w:b/>
          <w:sz w:val="24"/>
          <w:szCs w:val="24"/>
        </w:rPr>
        <w:t>. Because there is much evidence that humans’ cognitive abilities are unparalleled</w:t>
      </w:r>
      <w:r>
        <w:rPr>
          <w:b/>
          <w:sz w:val="24"/>
          <w:szCs w:val="24"/>
          <w:vertAlign w:val="superscript"/>
        </w:rPr>
        <w:t>3,4</w:t>
      </w:r>
      <w:r>
        <w:rPr>
          <w:rFonts w:ascii="Times New Roman" w:hAnsi="Times New Roman" w:cs="Times New Roman"/>
          <w:b/>
          <w:sz w:val="24"/>
          <w:szCs w:val="24"/>
        </w:rPr>
        <w:t>, many believe that such technologies resulted from our superior causal reasoning abilities</w:t>
      </w:r>
      <w:r>
        <w:rPr>
          <w:b/>
          <w:sz w:val="24"/>
          <w:szCs w:val="24"/>
          <w:vertAlign w:val="superscript"/>
        </w:rPr>
        <w:t>5-7</w:t>
      </w:r>
      <w:r>
        <w:rPr>
          <w:rFonts w:ascii="Times New Roman" w:hAnsi="Times New Roman" w:cs="Times New Roman"/>
          <w:b/>
          <w:sz w:val="24"/>
          <w:szCs w:val="24"/>
        </w:rPr>
        <w:t>. However, others have stressed that the high dimensionality of human technologies make them very hard to understand causally</w:t>
      </w:r>
      <w:r>
        <w:rPr>
          <w:b/>
          <w:sz w:val="24"/>
          <w:szCs w:val="24"/>
          <w:vertAlign w:val="superscript"/>
        </w:rPr>
        <w:t>8</w:t>
      </w:r>
      <w:r>
        <w:rPr>
          <w:rFonts w:ascii="Times New Roman" w:hAnsi="Times New Roman" w:cs="Times New Roman"/>
          <w:b/>
          <w:sz w:val="24"/>
          <w:szCs w:val="24"/>
        </w:rPr>
        <w:t>. Instead, they argue that optimized technologies emerge through the retention of small improvements across generations without requiring understanding of how these technologies work</w:t>
      </w:r>
      <w:r>
        <w:rPr>
          <w:b/>
          <w:sz w:val="24"/>
          <w:szCs w:val="24"/>
          <w:vertAlign w:val="superscript"/>
        </w:rPr>
        <w:t>1,9</w:t>
      </w:r>
      <w:r>
        <w:rPr>
          <w:rFonts w:ascii="Times New Roman" w:hAnsi="Times New Roman" w:cs="Times New Roman"/>
          <w:b/>
          <w:sz w:val="24"/>
          <w:szCs w:val="24"/>
        </w:rPr>
        <w:t xml:space="preserve">. </w:t>
      </w:r>
      <w:r>
        <w:rPr>
          <w:rFonts w:ascii="Times New Roman" w:hAnsi="Times New Roman" w:cs="Times New Roman"/>
          <w:b/>
          <w:color w:val="000000"/>
          <w:sz w:val="24"/>
          <w:szCs w:val="24"/>
          <w:u w:color="000000"/>
        </w:rPr>
        <w:t xml:space="preserve">Here, we </w:t>
      </w:r>
      <w:r w:rsidR="004C648E">
        <w:rPr>
          <w:rFonts w:ascii="Times New Roman" w:hAnsi="Times New Roman" w:cs="Times New Roman"/>
          <w:b/>
          <w:color w:val="000000"/>
          <w:sz w:val="24"/>
          <w:szCs w:val="24"/>
          <w:u w:color="000000"/>
        </w:rPr>
        <w:t xml:space="preserve">show </w:t>
      </w:r>
      <w:r>
        <w:rPr>
          <w:rFonts w:ascii="Times New Roman" w:hAnsi="Times New Roman" w:cs="Times New Roman"/>
          <w:b/>
          <w:color w:val="000000"/>
          <w:sz w:val="24"/>
          <w:szCs w:val="24"/>
          <w:u w:color="000000"/>
        </w:rPr>
        <w:t xml:space="preserve">that a physical artifact becomes progressively optimized across generations of social learners </w:t>
      </w:r>
      <w:r>
        <w:rPr>
          <w:rFonts w:ascii="Times New Roman" w:hAnsi="Times New Roman" w:cs="Times New Roman"/>
          <w:b/>
          <w:sz w:val="24"/>
          <w:szCs w:val="24"/>
        </w:rPr>
        <w:t xml:space="preserve">in the absence of explicit causal understanding. Moreover, we </w:t>
      </w:r>
      <w:r w:rsidR="004C648E">
        <w:rPr>
          <w:rFonts w:ascii="Times New Roman" w:hAnsi="Times New Roman" w:cs="Times New Roman"/>
          <w:b/>
          <w:sz w:val="24"/>
          <w:szCs w:val="24"/>
        </w:rPr>
        <w:t xml:space="preserve">find </w:t>
      </w:r>
      <w:r>
        <w:rPr>
          <w:rFonts w:ascii="Times New Roman" w:hAnsi="Times New Roman" w:cs="Times New Roman"/>
          <w:b/>
          <w:sz w:val="24"/>
          <w:szCs w:val="24"/>
        </w:rPr>
        <w:t xml:space="preserve">that the transmission of causal models across generations </w:t>
      </w:r>
      <w:r w:rsidR="00076AC3">
        <w:rPr>
          <w:rFonts w:ascii="Times New Roman" w:hAnsi="Times New Roman" w:cs="Times New Roman"/>
          <w:b/>
          <w:sz w:val="24"/>
          <w:szCs w:val="24"/>
        </w:rPr>
        <w:t xml:space="preserve">has </w:t>
      </w:r>
      <w:r>
        <w:rPr>
          <w:rFonts w:ascii="Times New Roman" w:hAnsi="Times New Roman" w:cs="Times New Roman"/>
          <w:b/>
          <w:sz w:val="24"/>
          <w:szCs w:val="24"/>
        </w:rPr>
        <w:t xml:space="preserve">no noticeable effect on the pace </w:t>
      </w:r>
      <w:r w:rsidRPr="00DA0E1B">
        <w:rPr>
          <w:rFonts w:ascii="Times New Roman" w:hAnsi="Times New Roman" w:cs="Times New Roman"/>
          <w:b/>
          <w:sz w:val="24"/>
          <w:szCs w:val="24"/>
        </w:rPr>
        <w:t xml:space="preserve">of cultural </w:t>
      </w:r>
      <w:r w:rsidR="00DA0E1B" w:rsidRPr="00DA0E1B">
        <w:rPr>
          <w:rFonts w:ascii="Times New Roman" w:hAnsi="Times New Roman" w:cs="Times New Roman"/>
          <w:b/>
          <w:sz w:val="24"/>
          <w:szCs w:val="24"/>
        </w:rPr>
        <w:t>evolution</w:t>
      </w:r>
      <w:r w:rsidRPr="00DA0E1B">
        <w:rPr>
          <w:rFonts w:ascii="Times New Roman" w:hAnsi="Times New Roman" w:cs="Times New Roman"/>
          <w:b/>
          <w:sz w:val="24"/>
          <w:szCs w:val="24"/>
        </w:rPr>
        <w:t xml:space="preserve">. </w:t>
      </w:r>
      <w:r w:rsidR="00250FC8" w:rsidRPr="00DA0E1B">
        <w:rPr>
          <w:rFonts w:ascii="Times New Roman" w:hAnsi="Times New Roman" w:cs="Times New Roman"/>
          <w:b/>
          <w:sz w:val="24"/>
          <w:szCs w:val="24"/>
        </w:rPr>
        <w:t>The reason</w:t>
      </w:r>
      <w:r w:rsidR="00250FC8">
        <w:rPr>
          <w:rFonts w:ascii="Times New Roman" w:hAnsi="Times New Roman" w:cs="Times New Roman"/>
          <w:b/>
          <w:color w:val="000000"/>
          <w:sz w:val="24"/>
          <w:szCs w:val="24"/>
          <w:u w:color="000000"/>
        </w:rPr>
        <w:t xml:space="preserve"> is that </w:t>
      </w:r>
      <w:r>
        <w:rPr>
          <w:rFonts w:ascii="Times New Roman" w:hAnsi="Times New Roman" w:cs="Times New Roman"/>
          <w:b/>
          <w:color w:val="000000"/>
          <w:sz w:val="24"/>
          <w:szCs w:val="24"/>
          <w:u w:color="000000"/>
        </w:rPr>
        <w:t xml:space="preserve">participants </w:t>
      </w:r>
      <w:r>
        <w:rPr>
          <w:rFonts w:ascii="Times New Roman" w:hAnsi="Times New Roman" w:cs="Times New Roman"/>
          <w:b/>
          <w:sz w:val="24"/>
          <w:szCs w:val="24"/>
        </w:rPr>
        <w:t xml:space="preserve">do not spontaneously create multidimensional </w:t>
      </w:r>
      <w:r>
        <w:rPr>
          <w:rFonts w:ascii="Times New Roman" w:hAnsi="Times New Roman" w:cs="Times New Roman"/>
          <w:b/>
          <w:color w:val="000000"/>
          <w:sz w:val="24"/>
          <w:szCs w:val="24"/>
          <w:u w:color="000000"/>
        </w:rPr>
        <w:t xml:space="preserve">causal theories </w:t>
      </w:r>
      <w:r>
        <w:rPr>
          <w:rFonts w:ascii="Times New Roman" w:hAnsi="Times New Roman" w:cs="Times New Roman"/>
          <w:b/>
          <w:sz w:val="24"/>
          <w:szCs w:val="24"/>
        </w:rPr>
        <w:t xml:space="preserve">but instead mainly produce simplistic models related to a salient dimension. Finally, we show that the transmission of these inaccurate theories </w:t>
      </w:r>
      <w:r>
        <w:rPr>
          <w:rFonts w:ascii="Times New Roman" w:hAnsi="Times New Roman" w:cs="Times New Roman"/>
          <w:b/>
          <w:color w:val="000000"/>
          <w:sz w:val="24"/>
          <w:szCs w:val="24"/>
          <w:u w:color="000000"/>
        </w:rPr>
        <w:t>constrain</w:t>
      </w:r>
      <w:r w:rsidR="00076AC3">
        <w:rPr>
          <w:rFonts w:ascii="Times New Roman" w:hAnsi="Times New Roman" w:cs="Times New Roman"/>
          <w:b/>
          <w:color w:val="000000"/>
          <w:sz w:val="24"/>
          <w:szCs w:val="24"/>
          <w:u w:color="000000"/>
        </w:rPr>
        <w:t>s</w:t>
      </w:r>
      <w:r>
        <w:rPr>
          <w:rFonts w:ascii="Times New Roman" w:hAnsi="Times New Roman" w:cs="Times New Roman"/>
          <w:b/>
          <w:color w:val="000000"/>
          <w:sz w:val="24"/>
          <w:szCs w:val="24"/>
          <w:u w:color="000000"/>
        </w:rPr>
        <w:t xml:space="preserve"> </w:t>
      </w:r>
      <w:r w:rsidR="004C648E">
        <w:rPr>
          <w:rFonts w:ascii="Times New Roman" w:hAnsi="Times New Roman" w:cs="Times New Roman"/>
          <w:b/>
          <w:color w:val="000000"/>
          <w:sz w:val="24"/>
          <w:szCs w:val="24"/>
          <w:u w:color="000000"/>
        </w:rPr>
        <w:t xml:space="preserve">learners’ </w:t>
      </w:r>
      <w:r>
        <w:rPr>
          <w:rFonts w:ascii="Times New Roman" w:hAnsi="Times New Roman" w:cs="Times New Roman"/>
          <w:b/>
          <w:color w:val="000000" w:themeColor="text1"/>
          <w:sz w:val="24"/>
          <w:szCs w:val="24"/>
          <w:u w:color="000000"/>
        </w:rPr>
        <w:t xml:space="preserve">exploration </w:t>
      </w:r>
      <w:r>
        <w:rPr>
          <w:rFonts w:ascii="Times New Roman" w:hAnsi="Times New Roman" w:cs="Times New Roman"/>
          <w:b/>
          <w:color w:val="000000"/>
          <w:sz w:val="24"/>
          <w:szCs w:val="24"/>
          <w:u w:color="000000"/>
        </w:rPr>
        <w:t xml:space="preserve">and has downstream effects on their understanding. These results indicate that </w:t>
      </w:r>
      <w:r w:rsidR="004C648E">
        <w:rPr>
          <w:rFonts w:ascii="Times New Roman" w:hAnsi="Times New Roman" w:cs="Times New Roman"/>
          <w:b/>
          <w:color w:val="000000"/>
          <w:sz w:val="24"/>
          <w:szCs w:val="24"/>
          <w:u w:color="000000"/>
        </w:rPr>
        <w:t xml:space="preserve">complex </w:t>
      </w:r>
      <w:r>
        <w:rPr>
          <w:rFonts w:ascii="Times New Roman" w:hAnsi="Times New Roman" w:cs="Times New Roman"/>
          <w:b/>
          <w:color w:val="000000"/>
          <w:sz w:val="24"/>
          <w:szCs w:val="24"/>
          <w:u w:color="000000"/>
        </w:rPr>
        <w:t xml:space="preserve">technologies </w:t>
      </w:r>
      <w:r w:rsidR="00250FC8">
        <w:rPr>
          <w:rFonts w:ascii="Times New Roman" w:hAnsi="Times New Roman" w:cs="Times New Roman"/>
          <w:b/>
          <w:color w:val="000000"/>
          <w:sz w:val="24"/>
          <w:szCs w:val="24"/>
          <w:u w:color="000000"/>
        </w:rPr>
        <w:t xml:space="preserve">need </w:t>
      </w:r>
      <w:r>
        <w:rPr>
          <w:rFonts w:ascii="Times New Roman" w:hAnsi="Times New Roman" w:cs="Times New Roman"/>
          <w:b/>
          <w:color w:val="000000"/>
          <w:sz w:val="24"/>
          <w:szCs w:val="24"/>
          <w:u w:color="000000"/>
        </w:rPr>
        <w:t>not result from enhanced causal reasoning but instead can emerge from the accumulation of improvements made across generations</w:t>
      </w:r>
      <w:r w:rsidR="00AE1C1B">
        <w:rPr>
          <w:rFonts w:ascii="Times New Roman" w:hAnsi="Times New Roman" w:cs="Times New Roman"/>
          <w:b/>
          <w:color w:val="000000"/>
          <w:sz w:val="24"/>
          <w:szCs w:val="24"/>
          <w:u w:color="000000"/>
        </w:rPr>
        <w:t>.</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 xml:space="preserve">According to the </w:t>
      </w:r>
      <w:r>
        <w:rPr>
          <w:rFonts w:ascii="Times New Roman" w:hAnsi="Times New Roman" w:cs="Times New Roman"/>
          <w:i/>
          <w:iCs/>
          <w:sz w:val="24"/>
          <w:szCs w:val="24"/>
        </w:rPr>
        <w:t>cognitive niche</w:t>
      </w:r>
      <w:r>
        <w:rPr>
          <w:rFonts w:ascii="Times New Roman" w:hAnsi="Times New Roman" w:cs="Times New Roman"/>
          <w:sz w:val="24"/>
          <w:szCs w:val="24"/>
        </w:rPr>
        <w:t xml:space="preserve"> hypothesis, natural selection enhanced our ancestors’ ability to think creatively, plan and engage in causal reasoning about their environment </w:t>
      </w:r>
      <w:r>
        <w:rPr>
          <w:sz w:val="24"/>
          <w:szCs w:val="24"/>
          <w:vertAlign w:val="superscript"/>
        </w:rPr>
        <w:t>5,6</w:t>
      </w:r>
      <w:r>
        <w:rPr>
          <w:rFonts w:ascii="Times New Roman" w:hAnsi="Times New Roman" w:cs="Times New Roman"/>
          <w:sz w:val="24"/>
          <w:szCs w:val="24"/>
        </w:rPr>
        <w:t xml:space="preserve">, and these enhancements enabled the production of more efficient technologies that powered human expansion </w:t>
      </w:r>
      <w:r>
        <w:rPr>
          <w:sz w:val="24"/>
          <w:szCs w:val="24"/>
          <w:vertAlign w:val="superscript"/>
        </w:rPr>
        <w:t>10,11</w:t>
      </w:r>
      <w:r>
        <w:rPr>
          <w:rFonts w:ascii="Times New Roman" w:hAnsi="Times New Roman" w:cs="Times New Roman"/>
          <w:sz w:val="24"/>
          <w:szCs w:val="24"/>
        </w:rPr>
        <w:t>. Our remarkable reasoning abilities certainly contribute to the development of sophisticated technologies</w:t>
      </w:r>
      <w:r w:rsidR="005C715A">
        <w:rPr>
          <w:rFonts w:ascii="Times New Roman" w:hAnsi="Times New Roman" w:cs="Times New Roman"/>
          <w:sz w:val="24"/>
          <w:szCs w:val="24"/>
        </w:rPr>
        <w:t xml:space="preserve"> </w:t>
      </w:r>
      <w:r w:rsidR="005C715A">
        <w:rPr>
          <w:sz w:val="24"/>
          <w:szCs w:val="24"/>
          <w:vertAlign w:val="superscript"/>
        </w:rPr>
        <w:t>12</w:t>
      </w:r>
      <w:r>
        <w:rPr>
          <w:rFonts w:ascii="Times New Roman" w:hAnsi="Times New Roman" w:cs="Times New Roman"/>
          <w:sz w:val="24"/>
          <w:szCs w:val="24"/>
        </w:rPr>
        <w:t>. Yet, others have stressed that</w:t>
      </w:r>
      <w:r w:rsidR="00250FC8">
        <w:rPr>
          <w:rFonts w:ascii="Times New Roman" w:hAnsi="Times New Roman" w:cs="Times New Roman"/>
          <w:sz w:val="24"/>
          <w:szCs w:val="24"/>
        </w:rPr>
        <w:t xml:space="preserve"> even </w:t>
      </w:r>
      <w:r w:rsidR="003E7994">
        <w:rPr>
          <w:rFonts w:ascii="Times New Roman" w:hAnsi="Times New Roman" w:cs="Times New Roman"/>
          <w:sz w:val="24"/>
          <w:szCs w:val="24"/>
        </w:rPr>
        <w:t>in traditional</w:t>
      </w:r>
      <w:r w:rsidR="00250FC8">
        <w:rPr>
          <w:rFonts w:ascii="Times New Roman" w:hAnsi="Times New Roman" w:cs="Times New Roman"/>
          <w:sz w:val="24"/>
          <w:szCs w:val="24"/>
        </w:rPr>
        <w:t xml:space="preserve"> societies</w:t>
      </w:r>
      <w:r>
        <w:rPr>
          <w:rFonts w:ascii="Times New Roman" w:hAnsi="Times New Roman" w:cs="Times New Roman"/>
          <w:sz w:val="24"/>
          <w:szCs w:val="24"/>
        </w:rPr>
        <w:t xml:space="preserve"> human technology is </w:t>
      </w:r>
      <w:r w:rsidR="00250FC8">
        <w:rPr>
          <w:rFonts w:ascii="Times New Roman" w:hAnsi="Times New Roman" w:cs="Times New Roman"/>
          <w:sz w:val="24"/>
          <w:szCs w:val="24"/>
        </w:rPr>
        <w:t xml:space="preserve">often </w:t>
      </w:r>
      <w:r>
        <w:rPr>
          <w:rFonts w:ascii="Times New Roman" w:hAnsi="Times New Roman" w:cs="Times New Roman"/>
          <w:sz w:val="24"/>
          <w:szCs w:val="24"/>
        </w:rPr>
        <w:t xml:space="preserve">too complex to be the product of human ingenuity </w:t>
      </w:r>
      <w:r w:rsidRPr="003E7994">
        <w:rPr>
          <w:rFonts w:ascii="Times New Roman" w:hAnsi="Times New Roman" w:cs="Times New Roman"/>
          <w:i/>
          <w:sz w:val="24"/>
          <w:szCs w:val="24"/>
        </w:rPr>
        <w:t>alone</w:t>
      </w:r>
      <w:r>
        <w:rPr>
          <w:rFonts w:ascii="Times New Roman" w:hAnsi="Times New Roman" w:cs="Times New Roman"/>
          <w:sz w:val="24"/>
          <w:szCs w:val="24"/>
        </w:rPr>
        <w:t xml:space="preserve"> </w:t>
      </w:r>
      <w:r>
        <w:rPr>
          <w:sz w:val="24"/>
          <w:szCs w:val="24"/>
          <w:vertAlign w:val="superscript"/>
        </w:rPr>
        <w:t>8,9</w:t>
      </w:r>
      <w:r>
        <w:rPr>
          <w:rFonts w:ascii="Times New Roman" w:hAnsi="Times New Roman" w:cs="Times New Roman"/>
          <w:sz w:val="24"/>
          <w:szCs w:val="24"/>
        </w:rPr>
        <w:t xml:space="preserve">. Constructing a well-designed bow, for example, requires solving a difficult multi-dimensional optimization problem </w:t>
      </w:r>
      <w:r>
        <w:rPr>
          <w:sz w:val="24"/>
          <w:szCs w:val="24"/>
          <w:vertAlign w:val="superscript"/>
        </w:rPr>
        <w:t>1</w:t>
      </w:r>
      <w:r w:rsidR="005C715A">
        <w:rPr>
          <w:sz w:val="24"/>
          <w:szCs w:val="24"/>
          <w:vertAlign w:val="superscript"/>
        </w:rPr>
        <w:t>3</w:t>
      </w:r>
      <w:r>
        <w:rPr>
          <w:rFonts w:ascii="Times New Roman" w:hAnsi="Times New Roman" w:cs="Times New Roman"/>
          <w:sz w:val="24"/>
          <w:szCs w:val="24"/>
        </w:rPr>
        <w:t xml:space="preserve">. The </w:t>
      </w:r>
      <w:r>
        <w:rPr>
          <w:rFonts w:ascii="Times New Roman" w:hAnsi="Times New Roman" w:cs="Times New Roman"/>
          <w:i/>
          <w:iCs/>
          <w:sz w:val="24"/>
          <w:szCs w:val="24"/>
        </w:rPr>
        <w:t xml:space="preserve">cultural niche </w:t>
      </w:r>
      <w:r>
        <w:rPr>
          <w:rFonts w:ascii="Times New Roman" w:hAnsi="Times New Roman" w:cs="Times New Roman"/>
          <w:sz w:val="24"/>
          <w:szCs w:val="24"/>
        </w:rPr>
        <w:t xml:space="preserve">hypothesis suggests that complex technologies like bows result from the accumulation of many, mostly small, often poorly understood improvements made across generations linked by cultural transmission </w:t>
      </w:r>
      <w:r>
        <w:rPr>
          <w:sz w:val="24"/>
          <w:szCs w:val="24"/>
          <w:vertAlign w:val="superscript"/>
        </w:rPr>
        <w:t>1,9,1</w:t>
      </w:r>
      <w:r w:rsidR="005C715A">
        <w:rPr>
          <w:sz w:val="24"/>
          <w:szCs w:val="24"/>
          <w:vertAlign w:val="superscript"/>
        </w:rPr>
        <w:t>4</w:t>
      </w:r>
      <w:r>
        <w:rPr>
          <w:rFonts w:ascii="Times New Roman" w:hAnsi="Times New Roman" w:cs="Times New Roman"/>
          <w:sz w:val="24"/>
          <w:szCs w:val="24"/>
        </w:rPr>
        <w:t>. Over time, the selective retention of improvements gives rise to highly optimized solutions in the absence of explicit understanding about how these solutions work.</w:t>
      </w:r>
    </w:p>
    <w:p w:rsidR="00381B35" w:rsidRDefault="002E48AF">
      <w:pPr>
        <w:pStyle w:val="Corps"/>
        <w:spacing w:line="360" w:lineRule="auto"/>
        <w:ind w:firstLine="708"/>
        <w:jc w:val="both"/>
      </w:pPr>
      <w:r>
        <w:rPr>
          <w:rFonts w:ascii="Times New Roman" w:hAnsi="Times New Roman" w:cs="Times New Roman"/>
          <w:sz w:val="24"/>
          <w:szCs w:val="24"/>
        </w:rPr>
        <w:lastRenderedPageBreak/>
        <w:t xml:space="preserve">To test the hypothesis that </w:t>
      </w:r>
      <w:r>
        <w:rPr>
          <w:rFonts w:ascii="Times New Roman" w:hAnsi="Times New Roman" w:cs="Times New Roman"/>
          <w:color w:val="000000"/>
          <w:sz w:val="24"/>
          <w:szCs w:val="24"/>
          <w:u w:color="000000"/>
        </w:rPr>
        <w:t xml:space="preserve">the selective retention of </w:t>
      </w:r>
      <w:r>
        <w:rPr>
          <w:rFonts w:ascii="Times New Roman" w:hAnsi="Times New Roman" w:cs="Times New Roman"/>
          <w:sz w:val="24"/>
          <w:szCs w:val="24"/>
        </w:rPr>
        <w:t>beneficial changes over generations can produce cultural adaptations without individual understanding, we asked successive ‘cultural generations’ of participants (French university students) to optimize a physical system and measured participants’ understanding of how the device worked at each generation. The physical system was a wheel that traveled down a 1-meter long inclined track. The wheel had 4 radial spokes, and one weight could be moved along each spoke</w:t>
      </w:r>
      <w:r w:rsidR="008D6123">
        <w:rPr>
          <w:rFonts w:ascii="Times New Roman" w:hAnsi="Times New Roman" w:cs="Times New Roman"/>
          <w:sz w:val="24"/>
          <w:szCs w:val="24"/>
        </w:rPr>
        <w:t xml:space="preserve"> (Figure 1.A-D)</w:t>
      </w:r>
      <w:r>
        <w:rPr>
          <w:rFonts w:ascii="Times New Roman" w:hAnsi="Times New Roman" w:cs="Times New Roman"/>
          <w:sz w:val="24"/>
          <w:szCs w:val="24"/>
        </w:rPr>
        <w:t xml:space="preserve">. Participants were organized into chains of 5 individuals. Each participant had 5 trials to minimize the time it took for the wheel to reach the end of the track. All participants (except those in the first generation) were provided with the last two configurations and associated scores of the previous participant in their chain so as to simulate overlapping generations. Participants were informed that their last two trials would be transmitted to the next participant in the chain, and that their reward depended both on their own performance and on the performance of the next participant in the chain. We collected data from 14 chains of 5 participants in this "Configurations" treatment. </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 xml:space="preserve">The wheel system we used in this experiment suits our purpose for several reasons. First, it is unfamiliar (cognitive studies show that western students have poor understanding of wheel dynamics </w:t>
      </w:r>
      <w:r>
        <w:rPr>
          <w:sz w:val="24"/>
          <w:szCs w:val="24"/>
          <w:vertAlign w:val="superscript"/>
        </w:rPr>
        <w:t>1</w:t>
      </w:r>
      <w:r w:rsidR="005C715A">
        <w:rPr>
          <w:sz w:val="24"/>
          <w:szCs w:val="24"/>
          <w:vertAlign w:val="superscript"/>
        </w:rPr>
        <w:t>5</w:t>
      </w:r>
      <w:r>
        <w:rPr>
          <w:rFonts w:ascii="Times New Roman" w:hAnsi="Times New Roman" w:cs="Times New Roman"/>
          <w:sz w:val="24"/>
          <w:szCs w:val="24"/>
        </w:rPr>
        <w:t xml:space="preserve">), so participants cannot rely on acquired knowledge to solve the task. Second, the performance of the wheel depends solely on the laws of physics, and not on arbitrary principles that could compromise the ecological validity of our results. Finally, although the physics of the system are by no means trivial, the optimization problem is low-dimensional, which provides a conservative test of our hypotheses, compared to the many-dimensional problem of optimizing, for example, the performance of a bow </w:t>
      </w:r>
      <w:r>
        <w:rPr>
          <w:sz w:val="24"/>
          <w:szCs w:val="24"/>
          <w:vertAlign w:val="superscript"/>
        </w:rPr>
        <w:t>1</w:t>
      </w:r>
      <w:r w:rsidR="005C715A">
        <w:rPr>
          <w:sz w:val="24"/>
          <w:szCs w:val="24"/>
          <w:vertAlign w:val="superscript"/>
        </w:rPr>
        <w:t>3</w:t>
      </w:r>
      <w:r>
        <w:rPr>
          <w:rFonts w:ascii="Times New Roman" w:hAnsi="Times New Roman" w:cs="Times New Roman"/>
          <w:sz w:val="24"/>
          <w:szCs w:val="24"/>
        </w:rPr>
        <w:t>.</w:t>
      </w:r>
    </w:p>
    <w:p w:rsidR="00E507A3"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w:t>
      </w:r>
      <w:r w:rsidR="00250FC8">
        <w:rPr>
          <w:rFonts w:ascii="Times New Roman" w:hAnsi="Times New Roman" w:cs="Times New Roman"/>
          <w:sz w:val="24"/>
          <w:szCs w:val="24"/>
        </w:rPr>
        <w:t xml:space="preserve">time required for the </w:t>
      </w:r>
      <w:r>
        <w:rPr>
          <w:rFonts w:ascii="Times New Roman" w:hAnsi="Times New Roman" w:cs="Times New Roman"/>
          <w:sz w:val="24"/>
          <w:szCs w:val="24"/>
        </w:rPr>
        <w:t>wheel</w:t>
      </w:r>
      <w:r w:rsidR="00250FC8">
        <w:rPr>
          <w:rFonts w:ascii="Times New Roman" w:hAnsi="Times New Roman" w:cs="Times New Roman"/>
          <w:sz w:val="24"/>
          <w:szCs w:val="24"/>
        </w:rPr>
        <w:t xml:space="preserve"> to </w:t>
      </w:r>
      <w:r w:rsidR="003E7994">
        <w:rPr>
          <w:rFonts w:ascii="Times New Roman" w:hAnsi="Times New Roman" w:cs="Times New Roman"/>
          <w:sz w:val="24"/>
          <w:szCs w:val="24"/>
        </w:rPr>
        <w:t xml:space="preserve">cover the track </w:t>
      </w:r>
      <w:r>
        <w:rPr>
          <w:rFonts w:ascii="Times New Roman" w:hAnsi="Times New Roman" w:cs="Times New Roman"/>
          <w:sz w:val="24"/>
          <w:szCs w:val="24"/>
        </w:rPr>
        <w:t xml:space="preserve">depends on just two variables: its moment of inertia and </w:t>
      </w:r>
      <w:r w:rsidR="00D97105">
        <w:rPr>
          <w:rFonts w:ascii="Times New Roman" w:hAnsi="Times New Roman" w:cs="Times New Roman"/>
          <w:sz w:val="24"/>
          <w:szCs w:val="24"/>
        </w:rPr>
        <w:t xml:space="preserve">the position of its </w:t>
      </w:r>
      <w:r w:rsidR="00D16365">
        <w:rPr>
          <w:rFonts w:ascii="Times New Roman" w:hAnsi="Times New Roman" w:cs="Times New Roman"/>
          <w:sz w:val="24"/>
          <w:szCs w:val="24"/>
        </w:rPr>
        <w:t>centre</w:t>
      </w:r>
      <w:r w:rsidR="00D97105">
        <w:rPr>
          <w:rFonts w:ascii="Times New Roman" w:hAnsi="Times New Roman" w:cs="Times New Roman"/>
          <w:sz w:val="24"/>
          <w:szCs w:val="24"/>
        </w:rPr>
        <w:t xml:space="preserve"> of mass</w:t>
      </w:r>
      <w:r>
        <w:rPr>
          <w:rFonts w:ascii="Times New Roman" w:hAnsi="Times New Roman" w:cs="Times New Roman"/>
          <w:sz w:val="24"/>
          <w:szCs w:val="24"/>
        </w:rPr>
        <w:t xml:space="preserve"> (see Methods). This allowed us to rigorously measure participants’ causal understanding of the system after they completed their 5 trials</w:t>
      </w:r>
      <w:r w:rsidR="008D6123">
        <w:rPr>
          <w:rFonts w:ascii="Times New Roman" w:hAnsi="Times New Roman" w:cs="Times New Roman"/>
          <w:sz w:val="24"/>
          <w:szCs w:val="24"/>
        </w:rPr>
        <w:t xml:space="preserve"> (Figure 1.E)</w:t>
      </w:r>
      <w:r>
        <w:rPr>
          <w:rFonts w:ascii="Times New Roman" w:hAnsi="Times New Roman" w:cs="Times New Roman"/>
          <w:sz w:val="24"/>
          <w:szCs w:val="24"/>
        </w:rPr>
        <w:t xml:space="preserve">. Participants’ understanding was evaluated by presenting them with pairs of wheels that differed in their configurations, and asking them to predict which wheel would reach the bottom of the rails first. A participant who understands </w:t>
      </w:r>
      <w:r w:rsidR="00250FC8">
        <w:rPr>
          <w:rFonts w:ascii="Times New Roman" w:hAnsi="Times New Roman" w:cs="Times New Roman"/>
          <w:sz w:val="24"/>
          <w:szCs w:val="24"/>
        </w:rPr>
        <w:t xml:space="preserve">the effects of varying the </w:t>
      </w:r>
      <w:r>
        <w:rPr>
          <w:rFonts w:ascii="Times New Roman" w:hAnsi="Times New Roman" w:cs="Times New Roman"/>
          <w:sz w:val="24"/>
          <w:szCs w:val="24"/>
        </w:rPr>
        <w:t>moment of inertia should predict that a wheel with 4 weights close to the axis would cover the track quicker than a wheel with 4 weights farther from the axis (Fig</w:t>
      </w:r>
      <w:r w:rsidR="001A5F63">
        <w:rPr>
          <w:rFonts w:ascii="Times New Roman" w:hAnsi="Times New Roman" w:cs="Times New Roman"/>
          <w:sz w:val="24"/>
          <w:szCs w:val="24"/>
        </w:rPr>
        <w:t>ures</w:t>
      </w:r>
      <w:r>
        <w:rPr>
          <w:rFonts w:ascii="Times New Roman" w:hAnsi="Times New Roman" w:cs="Times New Roman"/>
          <w:sz w:val="24"/>
          <w:szCs w:val="24"/>
        </w:rPr>
        <w:t xml:space="preserve"> 1A and B). Similarly, a participant who understands </w:t>
      </w:r>
      <w:r w:rsidR="00250FC8">
        <w:rPr>
          <w:rFonts w:ascii="Times New Roman" w:hAnsi="Times New Roman" w:cs="Times New Roman"/>
          <w:sz w:val="24"/>
          <w:szCs w:val="24"/>
        </w:rPr>
        <w:t xml:space="preserve">the </w:t>
      </w:r>
      <w:r w:rsidR="00D16365">
        <w:rPr>
          <w:rFonts w:ascii="Times New Roman" w:hAnsi="Times New Roman" w:cs="Times New Roman"/>
          <w:sz w:val="24"/>
          <w:szCs w:val="24"/>
        </w:rPr>
        <w:t xml:space="preserve">effects </w:t>
      </w:r>
      <w:r w:rsidR="00250FC8">
        <w:rPr>
          <w:rFonts w:ascii="Times New Roman" w:hAnsi="Times New Roman" w:cs="Times New Roman"/>
          <w:sz w:val="24"/>
          <w:szCs w:val="24"/>
        </w:rPr>
        <w:t xml:space="preserve">of </w:t>
      </w:r>
      <w:r w:rsidR="00D97105">
        <w:rPr>
          <w:rFonts w:ascii="Times New Roman" w:hAnsi="Times New Roman" w:cs="Times New Roman"/>
          <w:sz w:val="24"/>
          <w:szCs w:val="24"/>
        </w:rPr>
        <w:t>varying the position of the wheel’s centre of mass</w:t>
      </w:r>
      <w:r>
        <w:rPr>
          <w:rFonts w:ascii="Times New Roman" w:hAnsi="Times New Roman" w:cs="Times New Roman"/>
          <w:sz w:val="24"/>
          <w:szCs w:val="24"/>
        </w:rPr>
        <w:t xml:space="preserve"> should make correct predictions </w:t>
      </w:r>
      <w:r>
        <w:rPr>
          <w:rFonts w:ascii="Times New Roman" w:hAnsi="Times New Roman" w:cs="Times New Roman"/>
          <w:sz w:val="24"/>
          <w:szCs w:val="24"/>
        </w:rPr>
        <w:lastRenderedPageBreak/>
        <w:t>about the</w:t>
      </w:r>
      <w:r w:rsidR="001A5F63">
        <w:rPr>
          <w:rFonts w:ascii="Times New Roman" w:hAnsi="Times New Roman" w:cs="Times New Roman"/>
          <w:sz w:val="24"/>
          <w:szCs w:val="24"/>
        </w:rPr>
        <w:t xml:space="preserve"> configurations displayed in Figures</w:t>
      </w:r>
      <w:r>
        <w:rPr>
          <w:rFonts w:ascii="Times New Roman" w:hAnsi="Times New Roman" w:cs="Times New Roman"/>
          <w:sz w:val="24"/>
          <w:szCs w:val="24"/>
        </w:rPr>
        <w:t xml:space="preserve"> 1C and D. The test comprised 10 pairs of wheels: 5 in which wheels varied in their moment of inertia, 5 in which wheels varied in </w:t>
      </w:r>
      <w:r w:rsidR="00D97105">
        <w:rPr>
          <w:rFonts w:ascii="Times New Roman" w:hAnsi="Times New Roman" w:cs="Times New Roman"/>
          <w:sz w:val="24"/>
          <w:szCs w:val="24"/>
        </w:rPr>
        <w:t xml:space="preserve">the position of their </w:t>
      </w:r>
      <w:r w:rsidR="00BF4663">
        <w:rPr>
          <w:noProof/>
          <w:lang w:val="fr-FR" w:eastAsia="fr-FR"/>
        </w:rPr>
        <w:drawing>
          <wp:anchor distT="0" distB="0" distL="114300" distR="114300" simplePos="0" relativeHeight="251658240" behindDoc="0" locked="0" layoutInCell="1" allowOverlap="1">
            <wp:simplePos x="0" y="0"/>
            <wp:positionH relativeFrom="margin">
              <wp:align>right</wp:align>
            </wp:positionH>
            <wp:positionV relativeFrom="paragraph">
              <wp:posOffset>882319</wp:posOffset>
            </wp:positionV>
            <wp:extent cx="5935980" cy="2178050"/>
            <wp:effectExtent l="0" t="0" r="762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35980" cy="2178050"/>
                    </a:xfrm>
                    <a:prstGeom prst="rect">
                      <a:avLst/>
                    </a:prstGeom>
                  </pic:spPr>
                </pic:pic>
              </a:graphicData>
            </a:graphic>
            <wp14:sizeRelH relativeFrom="margin">
              <wp14:pctWidth>0</wp14:pctWidth>
            </wp14:sizeRelH>
            <wp14:sizeRelV relativeFrom="margin">
              <wp14:pctHeight>0</wp14:pctHeight>
            </wp14:sizeRelV>
          </wp:anchor>
        </w:drawing>
      </w:r>
      <w:r w:rsidR="00D97105">
        <w:rPr>
          <w:rFonts w:ascii="Times New Roman" w:hAnsi="Times New Roman" w:cs="Times New Roman"/>
          <w:sz w:val="24"/>
          <w:szCs w:val="24"/>
        </w:rPr>
        <w:t>centre of mass</w:t>
      </w:r>
      <w:r>
        <w:rPr>
          <w:rFonts w:ascii="Times New Roman" w:hAnsi="Times New Roman" w:cs="Times New Roman"/>
          <w:sz w:val="24"/>
          <w:szCs w:val="24"/>
        </w:rPr>
        <w:t xml:space="preserve">. </w:t>
      </w:r>
    </w:p>
    <w:p w:rsidR="00BF4663" w:rsidRDefault="00BF4663" w:rsidP="00BF4663">
      <w:pPr>
        <w:spacing w:line="276" w:lineRule="auto"/>
        <w:jc w:val="both"/>
        <w:rPr>
          <w:sz w:val="24"/>
          <w:szCs w:val="24"/>
          <w:lang w:val="en-GB"/>
        </w:rPr>
      </w:pPr>
      <w:r>
        <w:rPr>
          <w:b/>
          <w:sz w:val="24"/>
          <w:szCs w:val="24"/>
          <w:lang w:val="en-GB"/>
        </w:rPr>
        <w:t>Figure 1</w:t>
      </w:r>
      <w:r>
        <w:rPr>
          <w:sz w:val="24"/>
          <w:szCs w:val="24"/>
          <w:lang w:val="en-GB"/>
        </w:rPr>
        <w:t xml:space="preserve"> |</w:t>
      </w:r>
      <w:r>
        <w:rPr>
          <w:b/>
          <w:sz w:val="24"/>
          <w:szCs w:val="24"/>
          <w:lang w:val="en-GB"/>
        </w:rPr>
        <w:t xml:space="preserve"> Experimental task and design. </w:t>
      </w:r>
      <w:r>
        <w:rPr>
          <w:sz w:val="24"/>
          <w:szCs w:val="24"/>
          <w:lang w:val="en-GB"/>
        </w:rPr>
        <w:t xml:space="preserve">A) Illustration of the physical system used in the experiment. </w:t>
      </w:r>
      <w:r>
        <w:rPr>
          <w:sz w:val="24"/>
          <w:szCs w:val="24"/>
        </w:rPr>
        <w:t xml:space="preserve">The wheel had 4 radial spokes, and one weight could be moved along each spoke. </w:t>
      </w:r>
      <w:r>
        <w:rPr>
          <w:sz w:val="24"/>
          <w:szCs w:val="24"/>
          <w:lang w:val="en-GB"/>
        </w:rPr>
        <w:t xml:space="preserve">The time </w:t>
      </w:r>
      <w:r>
        <w:rPr>
          <w:sz w:val="24"/>
          <w:szCs w:val="24"/>
        </w:rPr>
        <w:t>it takes for the wheel to cover the track</w:t>
      </w:r>
      <w:r>
        <w:rPr>
          <w:sz w:val="24"/>
          <w:szCs w:val="24"/>
          <w:lang w:val="en-GB"/>
        </w:rPr>
        <w:t xml:space="preserve"> was determined by its moment of inertia and the position of its centre of mass. A-B) The moment of inertia depends on how mass is distributed around the axis. Wheel A has a smaller moment of inertia and spins faster than wheel B. C-D) A</w:t>
      </w:r>
      <w:r>
        <w:rPr>
          <w:sz w:val="24"/>
          <w:szCs w:val="24"/>
        </w:rPr>
        <w:t xml:space="preserve">symmetrical wheels do not have their </w:t>
      </w:r>
      <w:r>
        <w:rPr>
          <w:sz w:val="24"/>
          <w:szCs w:val="24"/>
          <w:lang w:val="en-GB"/>
        </w:rPr>
        <w:t>centre</w:t>
      </w:r>
      <w:r w:rsidRPr="00924040">
        <w:rPr>
          <w:sz w:val="24"/>
          <w:szCs w:val="24"/>
          <w:lang w:val="en-GB"/>
        </w:rPr>
        <w:t xml:space="preserve"> of mass on the axis of rotation</w:t>
      </w:r>
      <w:r>
        <w:rPr>
          <w:sz w:val="24"/>
          <w:szCs w:val="24"/>
          <w:lang w:val="en-GB"/>
        </w:rPr>
        <w:t xml:space="preserve">, which </w:t>
      </w:r>
      <w:r>
        <w:rPr>
          <w:sz w:val="24"/>
          <w:szCs w:val="24"/>
        </w:rPr>
        <w:t>can give wheels better initial acceleration</w:t>
      </w:r>
      <w:r>
        <w:rPr>
          <w:sz w:val="24"/>
          <w:szCs w:val="24"/>
          <w:lang w:val="en-GB"/>
        </w:rPr>
        <w:t xml:space="preserve">. Wheel C covers the distance faster than wheel D due to the higher initial position of its centre of mass. E) Participants were </w:t>
      </w:r>
      <w:r>
        <w:rPr>
          <w:sz w:val="24"/>
          <w:szCs w:val="24"/>
        </w:rPr>
        <w:t xml:space="preserve">organized into </w:t>
      </w:r>
      <w:r>
        <w:rPr>
          <w:sz w:val="24"/>
          <w:szCs w:val="24"/>
          <w:lang w:val="en-GB"/>
        </w:rPr>
        <w:t xml:space="preserve">chains of 5 individuals and had 5 trials each to improve their wheel. </w:t>
      </w:r>
      <w:r>
        <w:rPr>
          <w:sz w:val="24"/>
          <w:szCs w:val="24"/>
        </w:rPr>
        <w:t>All participants (except those in the first generation) were provided with the last two configurations (shaded grey) and associated scores of the previous participant in the chain (</w:t>
      </w:r>
      <w:r>
        <w:rPr>
          <w:sz w:val="24"/>
          <w:szCs w:val="24"/>
          <w:lang w:val="en-GB"/>
        </w:rPr>
        <w:t xml:space="preserve">“Configurations” treatment). </w:t>
      </w:r>
      <w:r>
        <w:rPr>
          <w:sz w:val="24"/>
          <w:szCs w:val="24"/>
        </w:rPr>
        <w:t xml:space="preserve">Participants’ </w:t>
      </w:r>
      <w:r>
        <w:rPr>
          <w:sz w:val="24"/>
          <w:szCs w:val="24"/>
          <w:lang w:val="en-GB"/>
        </w:rPr>
        <w:t xml:space="preserve">understanding was evaluated </w:t>
      </w:r>
      <w:r>
        <w:rPr>
          <w:sz w:val="24"/>
          <w:szCs w:val="24"/>
        </w:rPr>
        <w:t>after they completed their 5 trials</w:t>
      </w:r>
      <w:r>
        <w:rPr>
          <w:sz w:val="24"/>
          <w:szCs w:val="24"/>
          <w:lang w:val="en-GB"/>
        </w:rPr>
        <w:t xml:space="preserve"> by asking them to predict which of two wheels would cover the distance faster (e.g. A versus B, or C versus D). </w:t>
      </w:r>
    </w:p>
    <w:p w:rsidR="00BF4663" w:rsidRPr="00BF4663" w:rsidRDefault="00BF4663" w:rsidP="00BF4663">
      <w:pPr>
        <w:pStyle w:val="Corps"/>
        <w:spacing w:line="360" w:lineRule="auto"/>
        <w:ind w:firstLine="708"/>
        <w:jc w:val="both"/>
        <w:rPr>
          <w:rFonts w:ascii="Times New Roman" w:hAnsi="Times New Roman" w:cs="Times New Roman"/>
          <w:sz w:val="24"/>
          <w:szCs w:val="24"/>
          <w:lang w:val="en-GB"/>
        </w:rPr>
      </w:pPr>
    </w:p>
    <w:p w:rsidR="00E507A3"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i/>
          <w:iCs/>
          <w:sz w:val="24"/>
          <w:szCs w:val="24"/>
        </w:rPr>
        <w:t xml:space="preserve">cultural niche </w:t>
      </w:r>
      <w:r>
        <w:rPr>
          <w:rFonts w:ascii="Times New Roman" w:hAnsi="Times New Roman" w:cs="Times New Roman"/>
          <w:sz w:val="24"/>
          <w:szCs w:val="24"/>
        </w:rPr>
        <w:t xml:space="preserve">hypothesis predicts that the speed of the wheel will increase with generations, while participants’ understanding of the system will not improve over generations (preregistered hypothesis 1). </w:t>
      </w:r>
    </w:p>
    <w:p w:rsidR="003E7994" w:rsidRDefault="002E48AF">
      <w:pPr>
        <w:pStyle w:val="Corps"/>
        <w:spacing w:line="360" w:lineRule="auto"/>
        <w:ind w:firstLine="708"/>
        <w:jc w:val="both"/>
        <w:rPr>
          <w:rFonts w:ascii="Times New Roman" w:hAnsi="Times New Roman" w:cs="Times New Roman"/>
          <w:color w:val="000000"/>
          <w:sz w:val="24"/>
          <w:szCs w:val="24"/>
          <w:u w:color="000000"/>
        </w:rPr>
      </w:pPr>
      <w:r>
        <w:rPr>
          <w:rFonts w:ascii="Times New Roman" w:hAnsi="Times New Roman" w:cs="Times New Roman"/>
          <w:sz w:val="24"/>
          <w:szCs w:val="24"/>
        </w:rPr>
        <w:t xml:space="preserve">Results confirm these predictions. The average wheel speed </w:t>
      </w:r>
      <w:r w:rsidR="00BE526A">
        <w:rPr>
          <w:rFonts w:ascii="Times New Roman" w:hAnsi="Times New Roman" w:cs="Times New Roman"/>
          <w:sz w:val="24"/>
          <w:szCs w:val="24"/>
        </w:rPr>
        <w:t>(</w:t>
      </w:r>
      <w:r w:rsidR="003E7994">
        <w:rPr>
          <w:rFonts w:ascii="Times New Roman" w:hAnsi="Times New Roman" w:cs="Times New Roman"/>
          <w:sz w:val="24"/>
          <w:szCs w:val="24"/>
        </w:rPr>
        <w:t>calculated</w:t>
      </w:r>
      <w:r w:rsidR="00BE526A">
        <w:rPr>
          <w:rFonts w:ascii="Times New Roman" w:hAnsi="Times New Roman" w:cs="Times New Roman"/>
          <w:sz w:val="24"/>
          <w:szCs w:val="24"/>
        </w:rPr>
        <w:t xml:space="preserve"> as 1m/descent time) </w:t>
      </w:r>
      <w:r>
        <w:rPr>
          <w:rFonts w:ascii="Times New Roman" w:hAnsi="Times New Roman" w:cs="Times New Roman"/>
          <w:sz w:val="24"/>
          <w:szCs w:val="24"/>
        </w:rPr>
        <w:t>increased across generations (Generation 95% Confidence Intervals: (1.58, 9.02), mean = 5.37 m/h</w:t>
      </w:r>
      <w:r>
        <w:rPr>
          <w:rFonts w:ascii="Times New Roman" w:hAnsi="Times New Roman" w:cs="Times New Roman"/>
          <w:color w:val="000000"/>
          <w:sz w:val="24"/>
          <w:szCs w:val="24"/>
          <w:u w:color="000000"/>
        </w:rPr>
        <w:t>, Figure 2.A</w:t>
      </w:r>
      <w:r>
        <w:rPr>
          <w:rFonts w:ascii="Times New Roman" w:hAnsi="Times New Roman" w:cs="Times New Roman"/>
          <w:sz w:val="24"/>
          <w:szCs w:val="24"/>
        </w:rPr>
        <w:t xml:space="preserve">) while participants’ understanding did </w:t>
      </w:r>
      <w:r>
        <w:rPr>
          <w:rFonts w:ascii="Times New Roman" w:hAnsi="Times New Roman" w:cs="Times New Roman"/>
          <w:color w:val="000000"/>
          <w:sz w:val="24"/>
          <w:szCs w:val="24"/>
          <w:u w:color="000000"/>
        </w:rPr>
        <w:t xml:space="preserve">not (Generation 95% CI: (-0.34, 0.25), mean = -0.04, Figure 2.B). </w:t>
      </w:r>
      <w:r>
        <w:rPr>
          <w:rFonts w:ascii="Times New Roman" w:hAnsi="Times New Roman" w:cs="Times New Roman"/>
          <w:sz w:val="24"/>
          <w:szCs w:val="24"/>
        </w:rPr>
        <w:t xml:space="preserve">The average wheel speed produced by first generation participants on their last trial was 123.6 m/h (95% Highest Posterior Density Interval: (117.3, 130.6)) and their </w:t>
      </w:r>
      <w:r>
        <w:rPr>
          <w:rFonts w:ascii="Times New Roman" w:hAnsi="Times New Roman" w:cs="Times New Roman"/>
          <w:sz w:val="24"/>
          <w:szCs w:val="24"/>
        </w:rPr>
        <w:lastRenderedPageBreak/>
        <w:t xml:space="preserve">understanding score was 4.60 (95% HPDI: (3.83, 5.53)). After 5 generations, average wheel speed increased to 145.7 m/h (95% HPDI: (138.5, 152.4)) while participants’ understanding remained the same (95% HPDI: (3.65, 5.39), mean = 4.47). Given that the maximum possible speed was about 154 m/h, these results </w:t>
      </w:r>
      <w:r>
        <w:rPr>
          <w:rFonts w:ascii="Times New Roman" w:hAnsi="Times New Roman" w:cs="Times New Roman"/>
          <w:color w:val="000000"/>
          <w:sz w:val="24"/>
          <w:szCs w:val="24"/>
          <w:u w:color="000000"/>
        </w:rPr>
        <w:t xml:space="preserve">indicate an optimization of 71% after only four cultural generations. This confirms that the retention of improvements over generations produces highly optimized solutions </w:t>
      </w:r>
      <w:r w:rsidRPr="003E7994">
        <w:rPr>
          <w:rFonts w:ascii="Times New Roman" w:hAnsi="Times New Roman" w:cs="Times New Roman"/>
          <w:color w:val="auto"/>
          <w:sz w:val="24"/>
          <w:szCs w:val="24"/>
          <w:u w:color="000000"/>
        </w:rPr>
        <w:t xml:space="preserve">and </w:t>
      </w:r>
      <w:r w:rsidRPr="003E7994">
        <w:rPr>
          <w:rFonts w:ascii="Times New Roman" w:hAnsi="Times New Roman" w:cs="Times New Roman"/>
          <w:color w:val="auto"/>
          <w:sz w:val="24"/>
          <w:szCs w:val="24"/>
        </w:rPr>
        <w:t xml:space="preserve">need not depend on the emergence of more accurate causal models. </w:t>
      </w:r>
    </w:p>
    <w:p w:rsidR="00381B35" w:rsidRDefault="002E48AF">
      <w:pPr>
        <w:pStyle w:val="Corps"/>
        <w:spacing w:line="360" w:lineRule="auto"/>
        <w:ind w:firstLine="708"/>
        <w:jc w:val="both"/>
      </w:pPr>
      <w:r>
        <w:rPr>
          <w:rFonts w:ascii="Times New Roman" w:hAnsi="Times New Roman" w:cs="Times New Roman"/>
          <w:sz w:val="24"/>
          <w:szCs w:val="24"/>
        </w:rPr>
        <w:t xml:space="preserve">To further investigate the relationship between cultural accumulation and individual understanding, we ran a second “Configurations + Theory” treatment with another 14 chains of 5 participants, in which participants could also formulate an explicit written theory about the physical system and transmit it to the next participant in the chain. The cultural transmission of explicit causal theories might affect both the optimization and the understanding of the physical system (preregistered hypothesis 2). One possibility is that theory transmission increases both individual understanding and wheel performance. For example, participants who have a correct representation of the wheel dynamics might enhance others’ performance by helping them notice the effects of varying specific parameters. The effects of theory transmission, however, depend on the probability that participants generate useful theories. If participants produce incorrect theories, theory transmission would prevent individuals from noticing relevant parameters and detrimentally affect their performance. Inheriting a theory can also constrain participants’ exploration behavior (preregistered hypothesis 3). For example, cognitive scientists have shown that children who are told the function of a toy engage in more limited exploration and are less likely to discover alternative functions than children ignorant of the toy’s function </w:t>
      </w:r>
      <w:r>
        <w:rPr>
          <w:sz w:val="24"/>
          <w:szCs w:val="24"/>
          <w:vertAlign w:val="superscript"/>
        </w:rPr>
        <w:t>1</w:t>
      </w:r>
      <w:r w:rsidR="005C715A">
        <w:rPr>
          <w:sz w:val="24"/>
          <w:szCs w:val="24"/>
          <w:vertAlign w:val="superscript"/>
        </w:rPr>
        <w:t>6</w:t>
      </w:r>
      <w:r>
        <w:rPr>
          <w:rFonts w:ascii="Times New Roman" w:hAnsi="Times New Roman" w:cs="Times New Roman"/>
          <w:sz w:val="24"/>
          <w:szCs w:val="24"/>
        </w:rPr>
        <w:t xml:space="preserve">, see also </w:t>
      </w:r>
      <w:r w:rsidR="00B65D46">
        <w:rPr>
          <w:sz w:val="24"/>
          <w:szCs w:val="24"/>
          <w:vertAlign w:val="superscript"/>
        </w:rPr>
        <w:t>1</w:t>
      </w:r>
      <w:r w:rsidR="005C715A">
        <w:rPr>
          <w:sz w:val="24"/>
          <w:szCs w:val="24"/>
          <w:vertAlign w:val="superscript"/>
        </w:rPr>
        <w:t>7</w:t>
      </w:r>
      <w:r>
        <w:rPr>
          <w:rFonts w:ascii="Times New Roman" w:hAnsi="Times New Roman" w:cs="Times New Roman"/>
          <w:sz w:val="24"/>
          <w:szCs w:val="24"/>
        </w:rPr>
        <w:t xml:space="preserve">. In our experiment, theory transmission might shape the exploration of parameter space and have negative downstream effects on participants’ performance. </w:t>
      </w: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Results show that the average wheel speed increased at a similar rate in the "Configurations + Theory" as it did in the "Configurations" treatment (Treatment 95% CI: (-10.76, 18.13), mean = 3.52 m/h; Generation x Treatment 95% CI: (-7.07, 2.52), mean = -2.23 m/h, Figure 2.A) and that participants’ understanding again barely changed across generations, although participants in the very last generation had a slightly better understanding when they had inherited a theory (Treatment 95% CI: (-2.54, 0.31), mean = -1.14; Generation x Treatment 95% CI: (0.03, 0.81), mean = 0.44, Figure 2.B). Thus, these analyses do not provide substantial support for the idea that </w:t>
      </w:r>
      <w:r>
        <w:rPr>
          <w:rFonts w:ascii="Times New Roman" w:hAnsi="Times New Roman" w:cs="Times New Roman"/>
          <w:sz w:val="24"/>
          <w:szCs w:val="24"/>
        </w:rPr>
        <w:lastRenderedPageBreak/>
        <w:t xml:space="preserve">the transmission of explicit </w:t>
      </w:r>
      <w:r w:rsidRPr="005153EB">
        <w:rPr>
          <w:rFonts w:ascii="Times New Roman" w:hAnsi="Times New Roman" w:cs="Times New Roman"/>
          <w:sz w:val="24"/>
          <w:szCs w:val="24"/>
        </w:rPr>
        <w:t xml:space="preserve">causal theories affects wheel optimization and individual </w:t>
      </w:r>
      <w:r w:rsidR="00EB1D3A">
        <w:rPr>
          <w:noProof/>
          <w:lang w:val="fr-FR" w:eastAsia="fr-FR"/>
        </w:rPr>
        <w:drawing>
          <wp:anchor distT="0" distB="0" distL="114300" distR="114300" simplePos="0" relativeHeight="251659264" behindDoc="0" locked="0" layoutInCell="1" allowOverlap="1">
            <wp:simplePos x="0" y="0"/>
            <wp:positionH relativeFrom="margin">
              <wp:align>center</wp:align>
            </wp:positionH>
            <wp:positionV relativeFrom="paragraph">
              <wp:posOffset>675723</wp:posOffset>
            </wp:positionV>
            <wp:extent cx="4612640" cy="389572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12640" cy="3895725"/>
                    </a:xfrm>
                    <a:prstGeom prst="rect">
                      <a:avLst/>
                    </a:prstGeom>
                  </pic:spPr>
                </pic:pic>
              </a:graphicData>
            </a:graphic>
            <wp14:sizeRelH relativeFrom="margin">
              <wp14:pctWidth>0</wp14:pctWidth>
            </wp14:sizeRelH>
            <wp14:sizeRelV relativeFrom="margin">
              <wp14:pctHeight>0</wp14:pctHeight>
            </wp14:sizeRelV>
          </wp:anchor>
        </w:drawing>
      </w:r>
      <w:r w:rsidRPr="005153EB">
        <w:rPr>
          <w:rFonts w:ascii="Times New Roman" w:hAnsi="Times New Roman" w:cs="Times New Roman"/>
          <w:sz w:val="24"/>
          <w:szCs w:val="24"/>
        </w:rPr>
        <w:t xml:space="preserve">understanding. </w:t>
      </w:r>
    </w:p>
    <w:p w:rsidR="00EB1D3A" w:rsidRDefault="00EB1D3A" w:rsidP="00EB1D3A">
      <w:pPr>
        <w:spacing w:line="276" w:lineRule="auto"/>
        <w:jc w:val="both"/>
        <w:rPr>
          <w:sz w:val="24"/>
          <w:szCs w:val="24"/>
          <w:lang w:val="en-GB"/>
        </w:rPr>
      </w:pPr>
      <w:r>
        <w:rPr>
          <w:b/>
          <w:sz w:val="24"/>
          <w:szCs w:val="24"/>
          <w:lang w:val="en-GB"/>
        </w:rPr>
        <w:t>Figure 2</w:t>
      </w:r>
      <w:r>
        <w:rPr>
          <w:sz w:val="24"/>
          <w:szCs w:val="24"/>
          <w:lang w:val="en-GB"/>
        </w:rPr>
        <w:t xml:space="preserve"> |</w:t>
      </w:r>
      <w:r>
        <w:rPr>
          <w:b/>
          <w:sz w:val="24"/>
          <w:szCs w:val="24"/>
          <w:lang w:val="en-GB"/>
        </w:rPr>
        <w:t xml:space="preserve"> Participants produce faster wheels across generations but their understanding of the system does not increase. </w:t>
      </w:r>
      <w:r>
        <w:rPr>
          <w:sz w:val="24"/>
          <w:szCs w:val="24"/>
          <w:lang w:val="en-GB"/>
        </w:rPr>
        <w:t xml:space="preserve">A) Wheel performance across trials in the “Configurations” treatment (red bars and line) and “Configurations + Theory” treatment (blue bars and line). Vertical bars show the number of wheels that did not descend (i.e. failures) at each trial in each treatment. Coloured lines show the average speed for non-failure wheels at each trial in each treatment. B) Participants’ understanding score across generations in each treatment. Horizontal line shows expected score for random guessers. Error bars show s.e.m. Each treatment involved </w:t>
      </w:r>
      <w:r>
        <w:rPr>
          <w:sz w:val="24"/>
          <w:szCs w:val="24"/>
        </w:rPr>
        <w:t>14 chains each containing 5 individuals.</w:t>
      </w:r>
    </w:p>
    <w:p w:rsidR="00EB1D3A" w:rsidRPr="00EB1D3A" w:rsidRDefault="00EB1D3A">
      <w:pPr>
        <w:pStyle w:val="Corps"/>
        <w:spacing w:line="360" w:lineRule="auto"/>
        <w:ind w:firstLine="708"/>
        <w:jc w:val="both"/>
        <w:rPr>
          <w:rFonts w:ascii="Times New Roman" w:hAnsi="Times New Roman" w:cs="Times New Roman"/>
          <w:sz w:val="24"/>
          <w:szCs w:val="24"/>
          <w:lang w:val="en-GB"/>
        </w:rPr>
      </w:pPr>
    </w:p>
    <w:p w:rsidR="00381B35" w:rsidRDefault="002E48AF">
      <w:pPr>
        <w:pStyle w:val="Corps"/>
        <w:spacing w:line="360" w:lineRule="auto"/>
        <w:ind w:firstLine="708"/>
        <w:jc w:val="both"/>
        <w:rPr>
          <w:rFonts w:ascii="Times New Roman" w:hAnsi="Times New Roman" w:cs="Times New Roman"/>
          <w:sz w:val="24"/>
          <w:szCs w:val="24"/>
        </w:rPr>
      </w:pPr>
      <w:r w:rsidRPr="005153EB">
        <w:rPr>
          <w:rFonts w:ascii="Times New Roman" w:hAnsi="Times New Roman" w:cs="Times New Roman"/>
          <w:sz w:val="24"/>
          <w:szCs w:val="24"/>
        </w:rPr>
        <w:t>Exploratory analyses, however, reveal striking differences between treatments in participants’ exploration behavior (</w:t>
      </w:r>
      <w:r w:rsidR="006836B5" w:rsidRPr="005153EB">
        <w:rPr>
          <w:rFonts w:ascii="Times New Roman" w:hAnsi="Times New Roman" w:cs="Times New Roman"/>
          <w:sz w:val="24"/>
          <w:szCs w:val="24"/>
        </w:rPr>
        <w:t>Supplementary Figure 1</w:t>
      </w:r>
      <w:r w:rsidRPr="005153EB">
        <w:rPr>
          <w:rFonts w:ascii="Times New Roman" w:hAnsi="Times New Roman" w:cs="Times New Roman"/>
          <w:sz w:val="24"/>
          <w:szCs w:val="24"/>
        </w:rPr>
        <w:t>). To investigate the effect of theory transmission, participants’ theories were coded according to whether they</w:t>
      </w:r>
      <w:r>
        <w:rPr>
          <w:rFonts w:ascii="Times New Roman" w:hAnsi="Times New Roman" w:cs="Times New Roman"/>
          <w:sz w:val="24"/>
          <w:szCs w:val="24"/>
        </w:rPr>
        <w:t xml:space="preserve"> contained information related to moment of inertia, information related to </w:t>
      </w:r>
      <w:r w:rsidR="00F3360D">
        <w:rPr>
          <w:rFonts w:ascii="Times New Roman" w:hAnsi="Times New Roman" w:cs="Times New Roman"/>
          <w:sz w:val="24"/>
          <w:szCs w:val="24"/>
        </w:rPr>
        <w:t xml:space="preserve">the position of the </w:t>
      </w:r>
      <w:r w:rsidR="0061602E">
        <w:rPr>
          <w:rFonts w:ascii="Times New Roman" w:hAnsi="Times New Roman" w:cs="Times New Roman"/>
          <w:sz w:val="24"/>
          <w:szCs w:val="24"/>
        </w:rPr>
        <w:t xml:space="preserve">wheel’s </w:t>
      </w:r>
      <w:r w:rsidR="00F3360D">
        <w:rPr>
          <w:rFonts w:ascii="Times New Roman" w:hAnsi="Times New Roman" w:cs="Times New Roman"/>
          <w:sz w:val="24"/>
          <w:szCs w:val="24"/>
        </w:rPr>
        <w:t>centre of mass</w:t>
      </w:r>
      <w:r>
        <w:rPr>
          <w:rFonts w:ascii="Times New Roman" w:hAnsi="Times New Roman" w:cs="Times New Roman"/>
          <w:sz w:val="24"/>
          <w:szCs w:val="24"/>
        </w:rPr>
        <w:t>, both, or neither. Of the 56 participants who inherited a theory (all participants in the “Configurations + Theory” treatment except first-generation participants), 15 inherited an inertia-</w:t>
      </w:r>
      <w:r>
        <w:rPr>
          <w:rFonts w:ascii="Times New Roman" w:hAnsi="Times New Roman" w:cs="Times New Roman"/>
          <w:sz w:val="24"/>
          <w:szCs w:val="24"/>
        </w:rPr>
        <w:lastRenderedPageBreak/>
        <w:t xml:space="preserve">related theory, 17 inherited a </w:t>
      </w:r>
      <w:r w:rsidR="00D16365">
        <w:rPr>
          <w:rFonts w:ascii="Times New Roman" w:hAnsi="Times New Roman" w:cs="Times New Roman"/>
          <w:sz w:val="24"/>
          <w:szCs w:val="24"/>
        </w:rPr>
        <w:t>cent</w:t>
      </w:r>
      <w:r w:rsidR="00F3360D">
        <w:rPr>
          <w:rFonts w:ascii="Times New Roman" w:hAnsi="Times New Roman" w:cs="Times New Roman"/>
          <w:sz w:val="24"/>
          <w:szCs w:val="24"/>
        </w:rPr>
        <w:t>r</w:t>
      </w:r>
      <w:r w:rsidR="00D16365">
        <w:rPr>
          <w:rFonts w:ascii="Times New Roman" w:hAnsi="Times New Roman" w:cs="Times New Roman"/>
          <w:sz w:val="24"/>
          <w:szCs w:val="24"/>
        </w:rPr>
        <w:t>e</w:t>
      </w:r>
      <w:r w:rsidR="00F3360D">
        <w:rPr>
          <w:rFonts w:ascii="Times New Roman" w:hAnsi="Times New Roman" w:cs="Times New Roman"/>
          <w:sz w:val="24"/>
          <w:szCs w:val="24"/>
        </w:rPr>
        <w:t>-of-mass</w:t>
      </w:r>
      <w:r>
        <w:rPr>
          <w:rFonts w:ascii="Times New Roman" w:hAnsi="Times New Roman" w:cs="Times New Roman"/>
          <w:sz w:val="24"/>
          <w:szCs w:val="24"/>
        </w:rPr>
        <w:t xml:space="preserve">-related theory, 6 inherited a full theory and 18 inherited diverse, irrelevant theories. Participants who inherited an inertia theory mainly produced compact and balanced wheels (i.e. with low moment of inertia,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3B and F). In contrast, participants who inherited a </w:t>
      </w:r>
      <w:r w:rsidR="00D16365">
        <w:rPr>
          <w:rFonts w:ascii="Times New Roman" w:hAnsi="Times New Roman" w:cs="Times New Roman"/>
          <w:sz w:val="24"/>
          <w:szCs w:val="24"/>
        </w:rPr>
        <w:t>cent</w:t>
      </w:r>
      <w:r w:rsidR="00F3360D">
        <w:rPr>
          <w:rFonts w:ascii="Times New Roman" w:hAnsi="Times New Roman" w:cs="Times New Roman"/>
          <w:sz w:val="24"/>
          <w:szCs w:val="24"/>
        </w:rPr>
        <w:t>r</w:t>
      </w:r>
      <w:r w:rsidR="00D16365">
        <w:rPr>
          <w:rFonts w:ascii="Times New Roman" w:hAnsi="Times New Roman" w:cs="Times New Roman"/>
          <w:sz w:val="24"/>
          <w:szCs w:val="24"/>
        </w:rPr>
        <w:t>e</w:t>
      </w:r>
      <w:r w:rsidR="00F3360D">
        <w:rPr>
          <w:rFonts w:ascii="Times New Roman" w:hAnsi="Times New Roman" w:cs="Times New Roman"/>
          <w:sz w:val="24"/>
          <w:szCs w:val="24"/>
        </w:rPr>
        <w:t>-of-mass</w:t>
      </w:r>
      <w:r w:rsidR="00D16365">
        <w:rPr>
          <w:rFonts w:ascii="Times New Roman" w:hAnsi="Times New Roman" w:cs="Times New Roman"/>
          <w:sz w:val="24"/>
          <w:szCs w:val="24"/>
        </w:rPr>
        <w:t xml:space="preserve"> </w:t>
      </w:r>
      <w:r>
        <w:rPr>
          <w:rFonts w:ascii="Times New Roman" w:hAnsi="Times New Roman" w:cs="Times New Roman"/>
          <w:sz w:val="24"/>
          <w:szCs w:val="24"/>
        </w:rPr>
        <w:t xml:space="preserve">theory produced unbalanced wheels with their top and right weights at extreme positions (i.e. with </w:t>
      </w:r>
      <w:r w:rsidR="00D16365">
        <w:rPr>
          <w:rFonts w:ascii="Times New Roman" w:hAnsi="Times New Roman" w:cs="Times New Roman"/>
          <w:sz w:val="24"/>
          <w:szCs w:val="24"/>
        </w:rPr>
        <w:t xml:space="preserve">better </w:t>
      </w:r>
      <w:r>
        <w:rPr>
          <w:rFonts w:ascii="Times New Roman" w:hAnsi="Times New Roman" w:cs="Times New Roman"/>
          <w:sz w:val="24"/>
          <w:szCs w:val="24"/>
        </w:rPr>
        <w:t xml:space="preserve">initial acceleration, </w:t>
      </w:r>
      <w:r w:rsidR="006836B5">
        <w:rPr>
          <w:rFonts w:ascii="Times New Roman" w:hAnsi="Times New Roman" w:cs="Times New Roman"/>
          <w:sz w:val="24"/>
          <w:szCs w:val="24"/>
        </w:rPr>
        <w:t xml:space="preserve">Figure </w:t>
      </w:r>
      <w:r>
        <w:rPr>
          <w:rFonts w:ascii="Times New Roman" w:hAnsi="Times New Roman" w:cs="Times New Roman"/>
          <w:sz w:val="24"/>
          <w:szCs w:val="24"/>
        </w:rPr>
        <w:t>3C and G). The few participants who inherited a full theory produced compact and asymmetrical wheels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3D and H). For comparison purposes, participants in the "Configurations" treatment (who did not inherit any theory) generated a greater range of wheels, although their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tended to be </w:t>
      </w:r>
      <w:r w:rsidR="00EB1D3A">
        <w:rPr>
          <w:noProof/>
          <w:lang w:val="fr-FR" w:eastAsia="fr-FR"/>
        </w:rPr>
        <w:drawing>
          <wp:anchor distT="0" distB="0" distL="114300" distR="114300" simplePos="0" relativeHeight="251660288" behindDoc="0" locked="0" layoutInCell="1" allowOverlap="1">
            <wp:simplePos x="0" y="0"/>
            <wp:positionH relativeFrom="margin">
              <wp:align>center</wp:align>
            </wp:positionH>
            <wp:positionV relativeFrom="paragraph">
              <wp:posOffset>2488289</wp:posOffset>
            </wp:positionV>
            <wp:extent cx="4968875" cy="4349115"/>
            <wp:effectExtent l="0" t="0" r="317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968875" cy="43491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concentrated in the upper-right quadrant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3A and E). </w:t>
      </w:r>
    </w:p>
    <w:p w:rsidR="00EB1D3A" w:rsidRDefault="00EB1D3A" w:rsidP="00EB1D3A">
      <w:pPr>
        <w:spacing w:line="276" w:lineRule="auto"/>
        <w:jc w:val="both"/>
        <w:rPr>
          <w:sz w:val="24"/>
          <w:szCs w:val="24"/>
          <w:lang w:val="en-GB"/>
        </w:rPr>
      </w:pPr>
      <w:r>
        <w:rPr>
          <w:b/>
          <w:sz w:val="24"/>
          <w:szCs w:val="24"/>
          <w:lang w:val="en-GB"/>
        </w:rPr>
        <w:t>Figure 3</w:t>
      </w:r>
      <w:r>
        <w:rPr>
          <w:sz w:val="24"/>
          <w:szCs w:val="24"/>
          <w:lang w:val="en-GB"/>
        </w:rPr>
        <w:t xml:space="preserve"> |</w:t>
      </w:r>
      <w:r>
        <w:rPr>
          <w:b/>
          <w:sz w:val="24"/>
          <w:szCs w:val="24"/>
          <w:lang w:val="en-GB"/>
        </w:rPr>
        <w:t xml:space="preserve"> Inheriting a theory affects both participants’ exploration and understanding. </w:t>
      </w:r>
      <w:r>
        <w:rPr>
          <w:sz w:val="24"/>
          <w:szCs w:val="24"/>
          <w:lang w:val="en-GB"/>
        </w:rPr>
        <w:t xml:space="preserve">A-D) Heat maps illustrating the most frequent weights’ positions along each spoke. E-H) Heat maps illustrating the most frequent positions of the wheels’ centres of mass (blue dot shows the optimum centre of mass position). </w:t>
      </w:r>
      <w:r>
        <w:rPr>
          <w:sz w:val="24"/>
          <w:szCs w:val="24"/>
        </w:rPr>
        <w:t xml:space="preserve">Participants </w:t>
      </w:r>
      <w:r>
        <w:rPr>
          <w:sz w:val="24"/>
          <w:szCs w:val="24"/>
          <w:lang w:val="en-GB"/>
        </w:rPr>
        <w:t>who did not inherit any theory (</w:t>
      </w:r>
      <w:r w:rsidRPr="008931DC">
        <w:rPr>
          <w:i/>
          <w:sz w:val="24"/>
          <w:szCs w:val="24"/>
          <w:lang w:val="en-GB"/>
        </w:rPr>
        <w:t>N</w:t>
      </w:r>
      <w:r>
        <w:rPr>
          <w:sz w:val="24"/>
          <w:szCs w:val="24"/>
          <w:lang w:val="en-GB"/>
        </w:rPr>
        <w:t xml:space="preserve"> = 70) sampled various positions along each spoke (A) and their wheels’ centres of mass were concentrated in the upper-right quadrant (E). </w:t>
      </w:r>
      <w:r>
        <w:rPr>
          <w:sz w:val="24"/>
          <w:szCs w:val="24"/>
        </w:rPr>
        <w:t xml:space="preserve">Participants who inherited an inertia theory </w:t>
      </w:r>
      <w:r>
        <w:rPr>
          <w:sz w:val="24"/>
          <w:szCs w:val="24"/>
          <w:lang w:val="en-GB"/>
        </w:rPr>
        <w:t>(</w:t>
      </w:r>
      <w:r w:rsidRPr="008931DC">
        <w:rPr>
          <w:i/>
          <w:sz w:val="24"/>
          <w:szCs w:val="24"/>
          <w:lang w:val="en-GB"/>
        </w:rPr>
        <w:t>N</w:t>
      </w:r>
      <w:r>
        <w:rPr>
          <w:sz w:val="24"/>
          <w:szCs w:val="24"/>
          <w:lang w:val="en-GB"/>
        </w:rPr>
        <w:t xml:space="preserve"> = 15) </w:t>
      </w:r>
      <w:r>
        <w:rPr>
          <w:sz w:val="24"/>
          <w:szCs w:val="24"/>
        </w:rPr>
        <w:t>mainly produced compact and balanced wheels</w:t>
      </w:r>
      <w:r>
        <w:rPr>
          <w:sz w:val="24"/>
          <w:szCs w:val="24"/>
          <w:lang w:val="en-GB"/>
        </w:rPr>
        <w:t xml:space="preserve"> (B-F). </w:t>
      </w:r>
      <w:r>
        <w:rPr>
          <w:sz w:val="24"/>
          <w:szCs w:val="24"/>
        </w:rPr>
        <w:t xml:space="preserve">Participants who inherited a centre-of-mass theory </w:t>
      </w:r>
      <w:r>
        <w:rPr>
          <w:sz w:val="24"/>
          <w:szCs w:val="24"/>
          <w:lang w:val="en-GB"/>
        </w:rPr>
        <w:t>(</w:t>
      </w:r>
      <w:r w:rsidRPr="008931DC">
        <w:rPr>
          <w:i/>
          <w:sz w:val="24"/>
          <w:szCs w:val="24"/>
          <w:lang w:val="en-GB"/>
        </w:rPr>
        <w:t>N</w:t>
      </w:r>
      <w:r>
        <w:rPr>
          <w:sz w:val="24"/>
          <w:szCs w:val="24"/>
          <w:lang w:val="en-GB"/>
        </w:rPr>
        <w:t xml:space="preserve"> = 17)</w:t>
      </w:r>
      <w:r>
        <w:rPr>
          <w:sz w:val="24"/>
          <w:szCs w:val="24"/>
        </w:rPr>
        <w:t xml:space="preserve"> produced </w:t>
      </w:r>
      <w:r>
        <w:rPr>
          <w:sz w:val="24"/>
          <w:szCs w:val="24"/>
        </w:rPr>
        <w:lastRenderedPageBreak/>
        <w:t>unbalanced wheels with their top and right weights at extreme positions</w:t>
      </w:r>
      <w:r>
        <w:rPr>
          <w:sz w:val="24"/>
          <w:szCs w:val="24"/>
          <w:lang w:val="en-GB"/>
        </w:rPr>
        <w:t xml:space="preserve"> (C-G). </w:t>
      </w:r>
      <w:r>
        <w:rPr>
          <w:sz w:val="24"/>
          <w:szCs w:val="24"/>
        </w:rPr>
        <w:t xml:space="preserve">The few participants who inherited a full theory </w:t>
      </w:r>
      <w:r>
        <w:rPr>
          <w:sz w:val="24"/>
          <w:szCs w:val="24"/>
          <w:lang w:val="en-GB"/>
        </w:rPr>
        <w:t>(</w:t>
      </w:r>
      <w:r w:rsidRPr="008931DC">
        <w:rPr>
          <w:i/>
          <w:sz w:val="24"/>
          <w:szCs w:val="24"/>
          <w:lang w:val="en-GB"/>
        </w:rPr>
        <w:t>N</w:t>
      </w:r>
      <w:r>
        <w:rPr>
          <w:sz w:val="24"/>
          <w:szCs w:val="24"/>
          <w:lang w:val="en-GB"/>
        </w:rPr>
        <w:t xml:space="preserve"> = 6)</w:t>
      </w:r>
      <w:r>
        <w:rPr>
          <w:sz w:val="24"/>
          <w:szCs w:val="24"/>
        </w:rPr>
        <w:t xml:space="preserve"> produced compact and asymmetrical wheels</w:t>
      </w:r>
      <w:r>
        <w:rPr>
          <w:sz w:val="24"/>
          <w:szCs w:val="24"/>
          <w:lang w:val="en-GB"/>
        </w:rPr>
        <w:t xml:space="preserve"> (D-H). Inheriting an inertia theory reduces understanding about centre of mass and increases understanding about inertia, while inheriting a centre-of-mass theory increases understanding about centre of mass and reduces understanding about inertia (I). Horizontal line shows expected score for random guessers. Error bars show s.e.m. Black dots represent raw data with dot size representing the number of observations (I). </w:t>
      </w:r>
    </w:p>
    <w:p w:rsidR="00EB1D3A" w:rsidRPr="00EB1D3A" w:rsidRDefault="00EB1D3A">
      <w:pPr>
        <w:pStyle w:val="Corps"/>
        <w:spacing w:line="360" w:lineRule="auto"/>
        <w:ind w:firstLine="708"/>
        <w:jc w:val="both"/>
        <w:rPr>
          <w:rFonts w:ascii="Times New Roman" w:hAnsi="Times New Roman" w:cs="Times New Roman"/>
          <w:lang w:val="en-GB"/>
        </w:rPr>
      </w:pP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Furthermore, inherited theories strongly affected participant's understanding of the wheel system. Participants who did not inherit any theory (“Configurations” treatment) scored similarly (and better than chance) on questions about inertia and questions about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 </w:t>
      </w:r>
      <w:r>
        <w:rPr>
          <w:rFonts w:ascii="Times New Roman" w:hAnsi="Times New Roman" w:cs="Times New Roman"/>
          <w:sz w:val="24"/>
          <w:szCs w:val="24"/>
        </w:rPr>
        <w:t>(</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3I). In comparison, participants who inherited an inertia- or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-of-mass</w:t>
      </w:r>
      <w:r>
        <w:rPr>
          <w:rFonts w:ascii="Times New Roman" w:hAnsi="Times New Roman" w:cs="Times New Roman"/>
          <w:sz w:val="24"/>
          <w:szCs w:val="24"/>
        </w:rPr>
        <w:t xml:space="preserve">- related theory showed skewed understanding patterns. Inheriting an inertia-related theory increased their understanding of inertia, but decreased their understanding of </w:t>
      </w:r>
      <w:r w:rsidR="0061602E">
        <w:rPr>
          <w:rFonts w:ascii="Times New Roman" w:hAnsi="Times New Roman" w:cs="Times New Roman"/>
          <w:sz w:val="24"/>
          <w:szCs w:val="24"/>
        </w:rPr>
        <w:t>centre of mass</w:t>
      </w:r>
      <w:r>
        <w:rPr>
          <w:rFonts w:ascii="Times New Roman" w:hAnsi="Times New Roman" w:cs="Times New Roman"/>
          <w:sz w:val="24"/>
          <w:szCs w:val="24"/>
        </w:rPr>
        <w:t xml:space="preserve">; symmetrically, inheriting a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-of-mass</w:t>
      </w:r>
      <w:r>
        <w:rPr>
          <w:rFonts w:ascii="Times New Roman" w:hAnsi="Times New Roman" w:cs="Times New Roman"/>
          <w:sz w:val="24"/>
          <w:szCs w:val="24"/>
        </w:rPr>
        <w:t xml:space="preserve">-related theory increased their understanding of </w:t>
      </w:r>
      <w:r w:rsidR="0061602E">
        <w:rPr>
          <w:rFonts w:ascii="Times New Roman" w:hAnsi="Times New Roman" w:cs="Times New Roman"/>
          <w:sz w:val="24"/>
          <w:szCs w:val="24"/>
        </w:rPr>
        <w:t>centre of mass</w:t>
      </w:r>
      <w:r>
        <w:rPr>
          <w:rFonts w:ascii="Times New Roman" w:hAnsi="Times New Roman" w:cs="Times New Roman"/>
          <w:sz w:val="24"/>
          <w:szCs w:val="24"/>
        </w:rPr>
        <w:t>, but decreased their understanding about inertia. One explanation for this pattern is that inheriting a unidimensional theory makes individuals focus on the effect of one parameter while blinding them to the effects of others. However, participants’ understanding may also result from different exploration patterns. For instance, participants who received an inertia-related theory mainly produced balanced wheels (</w:t>
      </w:r>
      <w:r w:rsidR="006836B5">
        <w:rPr>
          <w:rFonts w:ascii="Times New Roman" w:hAnsi="Times New Roman" w:cs="Times New Roman"/>
          <w:sz w:val="24"/>
          <w:szCs w:val="24"/>
        </w:rPr>
        <w:t xml:space="preserve">Figure </w:t>
      </w:r>
      <w:r>
        <w:rPr>
          <w:rFonts w:ascii="Times New Roman" w:hAnsi="Times New Roman" w:cs="Times New Roman"/>
          <w:sz w:val="24"/>
          <w:szCs w:val="24"/>
        </w:rPr>
        <w:t xml:space="preserve">3F), which could have prevented them from observing the effect of varying the position of the wheel’s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To test this mechanism, we grouped participants who did not inherit any theory (i.e. from the “Configurations” treatment) into 3 categories: those who produced various types of wheels, those who only produced </w:t>
      </w:r>
      <w:r w:rsidRPr="005153EB">
        <w:rPr>
          <w:rFonts w:ascii="Times New Roman" w:hAnsi="Times New Roman" w:cs="Times New Roman"/>
          <w:sz w:val="24"/>
          <w:szCs w:val="24"/>
        </w:rPr>
        <w:t xml:space="preserve">balanced wheels, and those who only produced unbalanced wheels. Participants who produced various types of wheels scored similarly on questions about inertia and </w:t>
      </w:r>
      <w:r w:rsidR="0061602E">
        <w:rPr>
          <w:rFonts w:ascii="Times New Roman" w:hAnsi="Times New Roman" w:cs="Times New Roman"/>
          <w:sz w:val="24"/>
          <w:szCs w:val="24"/>
        </w:rPr>
        <w:t>centr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w:t>
      </w:r>
      <w:r w:rsidRPr="005153EB">
        <w:rPr>
          <w:rFonts w:ascii="Times New Roman" w:hAnsi="Times New Roman" w:cs="Times New Roman"/>
          <w:sz w:val="24"/>
          <w:szCs w:val="24"/>
        </w:rPr>
        <w:t xml:space="preserve">. However, participants who only produced balanced wheels showed better understanding of inertia than </w:t>
      </w:r>
      <w:r w:rsidR="00D16365">
        <w:rPr>
          <w:rFonts w:ascii="Times New Roman" w:hAnsi="Times New Roman" w:cs="Times New Roman"/>
          <w:sz w:val="24"/>
          <w:szCs w:val="24"/>
        </w:rPr>
        <w:t>cent</w:t>
      </w:r>
      <w:r w:rsidR="0061602E">
        <w:rPr>
          <w:rFonts w:ascii="Times New Roman" w:hAnsi="Times New Roman" w:cs="Times New Roman"/>
          <w:sz w:val="24"/>
          <w:szCs w:val="24"/>
        </w:rPr>
        <w:t>r</w:t>
      </w:r>
      <w:r w:rsidR="00D16365">
        <w:rPr>
          <w:rFonts w:ascii="Times New Roman" w:hAnsi="Times New Roman" w:cs="Times New Roman"/>
          <w:sz w:val="24"/>
          <w:szCs w:val="24"/>
        </w:rPr>
        <w:t>e</w:t>
      </w:r>
      <w:r w:rsidR="0061602E">
        <w:rPr>
          <w:rFonts w:ascii="Times New Roman" w:hAnsi="Times New Roman" w:cs="Times New Roman"/>
          <w:sz w:val="24"/>
          <w:szCs w:val="24"/>
        </w:rPr>
        <w:t xml:space="preserve"> of mass</w:t>
      </w:r>
      <w:r w:rsidRPr="005153EB">
        <w:rPr>
          <w:rFonts w:ascii="Times New Roman" w:hAnsi="Times New Roman" w:cs="Times New Roman"/>
          <w:sz w:val="24"/>
          <w:szCs w:val="24"/>
        </w:rPr>
        <w:t xml:space="preserve">, and participants who only produced unbalanced wheels showed better understanding of </w:t>
      </w:r>
      <w:r w:rsidR="0061602E">
        <w:rPr>
          <w:rFonts w:ascii="Times New Roman" w:hAnsi="Times New Roman" w:cs="Times New Roman"/>
          <w:sz w:val="24"/>
          <w:szCs w:val="24"/>
        </w:rPr>
        <w:t>centre of mass</w:t>
      </w:r>
      <w:r w:rsidR="0061602E" w:rsidRPr="005153EB" w:rsidDel="0061602E">
        <w:rPr>
          <w:rFonts w:ascii="Times New Roman" w:hAnsi="Times New Roman" w:cs="Times New Roman"/>
          <w:sz w:val="24"/>
          <w:szCs w:val="24"/>
        </w:rPr>
        <w:t xml:space="preserve"> </w:t>
      </w:r>
      <w:r w:rsidRPr="005153EB">
        <w:rPr>
          <w:rFonts w:ascii="Times New Roman" w:hAnsi="Times New Roman" w:cs="Times New Roman"/>
          <w:sz w:val="24"/>
          <w:szCs w:val="24"/>
        </w:rPr>
        <w:t>than inertia (</w:t>
      </w:r>
      <w:r w:rsidR="006836B5" w:rsidRPr="005153EB">
        <w:rPr>
          <w:rFonts w:ascii="Times New Roman" w:hAnsi="Times New Roman" w:cs="Times New Roman"/>
          <w:sz w:val="24"/>
          <w:szCs w:val="24"/>
        </w:rPr>
        <w:t>Supplementary Figure 2</w:t>
      </w:r>
      <w:r w:rsidRPr="005153EB">
        <w:rPr>
          <w:rFonts w:ascii="Times New Roman" w:hAnsi="Times New Roman" w:cs="Times New Roman"/>
          <w:sz w:val="24"/>
          <w:szCs w:val="24"/>
        </w:rPr>
        <w:t>). These</w:t>
      </w:r>
      <w:r>
        <w:rPr>
          <w:rFonts w:ascii="Times New Roman" w:hAnsi="Times New Roman" w:cs="Times New Roman"/>
          <w:sz w:val="24"/>
          <w:szCs w:val="24"/>
        </w:rPr>
        <w:t xml:space="preserve"> results suggest that the understanding patterns observed in participants who received unidimensional theories is likely the result of the canalizing effect of theory transmission on exploration. Note that in the present case, this canalizing effect is performance-neutral: with our 2-dimensional problem, better understanding of one dimension and worse understanding of one dimension simply compensate each other. For a many-dimensional </w:t>
      </w:r>
      <w:r>
        <w:rPr>
          <w:rFonts w:ascii="Times New Roman" w:hAnsi="Times New Roman" w:cs="Times New Roman"/>
          <w:sz w:val="24"/>
          <w:szCs w:val="24"/>
        </w:rPr>
        <w:lastRenderedPageBreak/>
        <w:t xml:space="preserve">problem, though, better understanding of one dimension is unlikely to compensate for worse understanding of all the others. </w:t>
      </w:r>
    </w:p>
    <w:p w:rsidR="00381B35" w:rsidRDefault="002E48AF">
      <w:pPr>
        <w:pStyle w:val="Corps"/>
        <w:spacing w:line="360" w:lineRule="auto"/>
        <w:ind w:firstLine="708"/>
        <w:jc w:val="both"/>
        <w:rPr>
          <w:rFonts w:ascii="Times New Roman" w:hAnsi="Times New Roman" w:cs="Times New Roman"/>
        </w:rPr>
      </w:pPr>
      <w:r>
        <w:rPr>
          <w:rFonts w:ascii="Times New Roman" w:hAnsi="Times New Roman" w:cs="Times New Roman"/>
          <w:sz w:val="24"/>
          <w:szCs w:val="24"/>
        </w:rPr>
        <w:t xml:space="preserve">As predicted by the </w:t>
      </w:r>
      <w:r>
        <w:rPr>
          <w:rFonts w:ascii="Times New Roman" w:hAnsi="Times New Roman" w:cs="Times New Roman"/>
          <w:i/>
          <w:iCs/>
          <w:sz w:val="24"/>
          <w:szCs w:val="24"/>
        </w:rPr>
        <w:t xml:space="preserve">cultural niche </w:t>
      </w:r>
      <w:r>
        <w:rPr>
          <w:rFonts w:ascii="Times New Roman" w:hAnsi="Times New Roman" w:cs="Times New Roman"/>
          <w:sz w:val="24"/>
          <w:szCs w:val="24"/>
        </w:rPr>
        <w:t xml:space="preserve">hypothesis </w:t>
      </w:r>
      <w:r>
        <w:rPr>
          <w:sz w:val="24"/>
          <w:szCs w:val="24"/>
          <w:vertAlign w:val="superscript"/>
        </w:rPr>
        <w:t>9</w:t>
      </w:r>
      <w:r>
        <w:rPr>
          <w:rFonts w:ascii="Times New Roman" w:hAnsi="Times New Roman" w:cs="Times New Roman"/>
          <w:i/>
          <w:iCs/>
          <w:sz w:val="24"/>
          <w:szCs w:val="24"/>
        </w:rPr>
        <w:t xml:space="preserve">, </w:t>
      </w:r>
      <w:r>
        <w:rPr>
          <w:rFonts w:ascii="Times New Roman" w:hAnsi="Times New Roman" w:cs="Times New Roman"/>
          <w:sz w:val="24"/>
          <w:szCs w:val="24"/>
        </w:rPr>
        <w:t xml:space="preserve">our experiment shows that highly optimized technologies can emerge from the accumulation of many improvements made across generations linked by cultural transmission, without the need for an accurate causal understanding of the system. Most participants actually produced incorrect or incomplete theories despite the relative simplicity of the </w:t>
      </w:r>
      <w:r>
        <w:rPr>
          <w:rFonts w:ascii="Times New Roman" w:hAnsi="Times New Roman" w:cs="Times New Roman"/>
          <w:color w:val="000000"/>
          <w:sz w:val="24"/>
          <w:szCs w:val="24"/>
          <w:u w:color="000000"/>
        </w:rPr>
        <w:t>physical system</w:t>
      </w:r>
      <w:r>
        <w:rPr>
          <w:rFonts w:ascii="Times New Roman" w:hAnsi="Times New Roman" w:cs="Times New Roman"/>
          <w:sz w:val="24"/>
          <w:szCs w:val="24"/>
        </w:rPr>
        <w:t xml:space="preserve">. These results are consistent with the view that individuals do not spontaneously create multidimensional representations of object motion </w:t>
      </w:r>
      <w:r>
        <w:rPr>
          <w:sz w:val="24"/>
          <w:szCs w:val="24"/>
          <w:vertAlign w:val="superscript"/>
        </w:rPr>
        <w:t>1</w:t>
      </w:r>
      <w:r w:rsidR="005C715A">
        <w:rPr>
          <w:sz w:val="24"/>
          <w:szCs w:val="24"/>
          <w:vertAlign w:val="superscript"/>
        </w:rPr>
        <w:t>5</w:t>
      </w:r>
      <w:r>
        <w:rPr>
          <w:rFonts w:ascii="Times New Roman" w:hAnsi="Times New Roman" w:cs="Times New Roman"/>
          <w:sz w:val="24"/>
          <w:szCs w:val="24"/>
        </w:rPr>
        <w:t xml:space="preserve">. Instead they mainly produce unidimensional models related to a specifically salient dimension </w:t>
      </w:r>
      <w:r>
        <w:rPr>
          <w:sz w:val="24"/>
          <w:szCs w:val="24"/>
          <w:vertAlign w:val="superscript"/>
        </w:rPr>
        <w:t>1</w:t>
      </w:r>
      <w:r w:rsidR="005C715A">
        <w:rPr>
          <w:sz w:val="24"/>
          <w:szCs w:val="24"/>
          <w:vertAlign w:val="superscript"/>
        </w:rPr>
        <w:t>8</w:t>
      </w:r>
      <w:r>
        <w:rPr>
          <w:rFonts w:ascii="Times New Roman" w:hAnsi="Times New Roman" w:cs="Times New Roman"/>
          <w:sz w:val="24"/>
          <w:szCs w:val="24"/>
        </w:rPr>
        <w:t xml:space="preserve">. Although evidence of individuals’ erroneous theories of motion are sometimes considered as experimental artefacts resulting from impoverished stimuli (such as using pictures to describe dynamical events; </w:t>
      </w:r>
      <w:r>
        <w:rPr>
          <w:sz w:val="24"/>
          <w:szCs w:val="24"/>
          <w:vertAlign w:val="superscript"/>
        </w:rPr>
        <w:t>1</w:t>
      </w:r>
      <w:r w:rsidR="005C715A">
        <w:rPr>
          <w:sz w:val="24"/>
          <w:szCs w:val="24"/>
          <w:vertAlign w:val="superscript"/>
        </w:rPr>
        <w:t>9</w:t>
      </w:r>
      <w:r>
        <w:rPr>
          <w:rFonts w:ascii="Times New Roman" w:hAnsi="Times New Roman" w:cs="Times New Roman"/>
          <w:sz w:val="24"/>
          <w:szCs w:val="24"/>
        </w:rPr>
        <w:t xml:space="preserve">), our results show that incomplete representations commonly emerge even when individuals directly observe and modify an actual physical object. As a consequence, the transmission of explicit theories across generations did not help participants produce more efficient wheels: inheriting a theory mostly constrained participants’ exploration, and prevented them from noticing the effects of relevant variables outside of the theory they received.  </w:t>
      </w:r>
    </w:p>
    <w:p w:rsidR="00381B35" w:rsidRDefault="002E48AF">
      <w:pPr>
        <w:pStyle w:val="Corps"/>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It is worth noting that despite exhibiting poor understanding of the experimental physical system, participants did not randomly explore the parameter space. For example, in both treatments, wheels were much more likely to have their </w:t>
      </w:r>
      <w:r w:rsidR="00573B32">
        <w:rPr>
          <w:rFonts w:ascii="Times New Roman" w:hAnsi="Times New Roman" w:cs="Times New Roman"/>
          <w:sz w:val="24"/>
          <w:szCs w:val="24"/>
        </w:rPr>
        <w:t>centre</w:t>
      </w:r>
      <w:r>
        <w:rPr>
          <w:rFonts w:ascii="Times New Roman" w:hAnsi="Times New Roman" w:cs="Times New Roman"/>
          <w:sz w:val="24"/>
          <w:szCs w:val="24"/>
        </w:rPr>
        <w:t xml:space="preserve"> of mass at the center of the wheel, or in the upper right quadrant. This indicates that participants had appropriate intuitions about how to maximize acceleration, and sampled the parameter space fairly efficiently in that regard. Our ability to restrict exploration to potentially useful portions of the design space certainly accelerated cultural evolution in our experiment. A greater focus on the determinants of biased exploration would be a fruitful area for further work.</w:t>
      </w:r>
      <w:r>
        <w:t xml:space="preserve"> </w:t>
      </w:r>
      <w:r>
        <w:rPr>
          <w:rFonts w:ascii="Times New Roman" w:hAnsi="Times New Roman" w:cs="Times New Roman"/>
          <w:sz w:val="24"/>
          <w:szCs w:val="24"/>
        </w:rPr>
        <w:t xml:space="preserve">Here, we cannot tell whether participants’ intuitions resulted from an implicit </w:t>
      </w:r>
      <w:r w:rsidRPr="005153EB">
        <w:rPr>
          <w:rFonts w:ascii="Times New Roman" w:hAnsi="Times New Roman" w:cs="Times New Roman"/>
          <w:sz w:val="24"/>
          <w:szCs w:val="24"/>
        </w:rPr>
        <w:t xml:space="preserve">physics engine, from past experience with analogous objects, or from western formal education (although physics or engineering background had no effect on participants’ understanding scores, </w:t>
      </w:r>
      <w:r w:rsidR="004F6AA9" w:rsidRPr="005153EB">
        <w:rPr>
          <w:rFonts w:ascii="Times New Roman" w:hAnsi="Times New Roman" w:cs="Times New Roman"/>
          <w:sz w:val="24"/>
          <w:szCs w:val="24"/>
        </w:rPr>
        <w:t xml:space="preserve">Supplementary Figure </w:t>
      </w:r>
      <w:r w:rsidR="006836B5" w:rsidRPr="005153EB">
        <w:rPr>
          <w:rFonts w:ascii="Times New Roman" w:hAnsi="Times New Roman" w:cs="Times New Roman"/>
          <w:sz w:val="24"/>
          <w:szCs w:val="24"/>
        </w:rPr>
        <w:t>3</w:t>
      </w:r>
      <w:r w:rsidRPr="005153EB">
        <w:rPr>
          <w:rFonts w:ascii="Times New Roman" w:hAnsi="Times New Roman" w:cs="Times New Roman"/>
          <w:sz w:val="24"/>
          <w:szCs w:val="24"/>
        </w:rPr>
        <w:t>). Future cross-cultural work involving non WEIRD participants should tell us whether this selective exploration</w:t>
      </w:r>
      <w:r>
        <w:rPr>
          <w:rFonts w:ascii="Times New Roman" w:hAnsi="Times New Roman" w:cs="Times New Roman"/>
          <w:sz w:val="24"/>
          <w:szCs w:val="24"/>
        </w:rPr>
        <w:t xml:space="preserve"> is culturally constructed or shared across populations </w:t>
      </w:r>
      <w:r w:rsidR="005C715A">
        <w:rPr>
          <w:sz w:val="24"/>
          <w:szCs w:val="24"/>
          <w:vertAlign w:val="superscript"/>
        </w:rPr>
        <w:t>20</w:t>
      </w:r>
      <w:r>
        <w:rPr>
          <w:rFonts w:ascii="Times New Roman" w:hAnsi="Times New Roman" w:cs="Times New Roman"/>
          <w:sz w:val="24"/>
          <w:szCs w:val="24"/>
        </w:rPr>
        <w:t xml:space="preserve">. In any case, our experiment indicates that one should be cautious when interpreting complex archaeological materials as evidence for sophisticated cognitive </w:t>
      </w:r>
      <w:r>
        <w:rPr>
          <w:rFonts w:ascii="Times New Roman" w:hAnsi="Times New Roman" w:cs="Times New Roman"/>
          <w:sz w:val="24"/>
          <w:szCs w:val="24"/>
        </w:rPr>
        <w:lastRenderedPageBreak/>
        <w:t xml:space="preserve">abilities (such as reasoning, problem-solving or planning), since these abilities are not the sole driver of technological sophistication </w:t>
      </w:r>
      <w:r>
        <w:rPr>
          <w:sz w:val="24"/>
          <w:szCs w:val="24"/>
          <w:vertAlign w:val="superscript"/>
        </w:rPr>
        <w:t>1,9</w:t>
      </w:r>
      <w:r>
        <w:rPr>
          <w:rFonts w:ascii="Times New Roman" w:hAnsi="Times New Roman" w:cs="Times New Roman"/>
          <w:sz w:val="24"/>
          <w:szCs w:val="24"/>
        </w:rPr>
        <w:t>.</w:t>
      </w:r>
      <w:r w:rsidR="00E97EBD">
        <w:rPr>
          <w:rFonts w:ascii="Times New Roman" w:hAnsi="Times New Roman" w:cs="Times New Roman"/>
          <w:sz w:val="24"/>
          <w:szCs w:val="24"/>
        </w:rPr>
        <w:t xml:space="preserve"> </w:t>
      </w:r>
      <w:r>
        <w:rPr>
          <w:rFonts w:ascii="Times New Roman" w:hAnsi="Times New Roman" w:cs="Times New Roman"/>
          <w:sz w:val="24"/>
          <w:szCs w:val="24"/>
        </w:rPr>
        <w:t>Understanding technological change demands a focus on individual cognition</w:t>
      </w:r>
      <w:r w:rsidR="00E963CC">
        <w:rPr>
          <w:rFonts w:ascii="Times New Roman" w:hAnsi="Times New Roman" w:cs="Times New Roman"/>
          <w:sz w:val="24"/>
          <w:szCs w:val="24"/>
        </w:rPr>
        <w:t xml:space="preserve"> </w:t>
      </w:r>
      <w:r w:rsidR="00E963CC">
        <w:rPr>
          <w:sz w:val="24"/>
          <w:szCs w:val="24"/>
          <w:vertAlign w:val="superscript"/>
        </w:rPr>
        <w:t>5,6</w:t>
      </w:r>
      <w:r>
        <w:rPr>
          <w:rFonts w:ascii="Times New Roman" w:hAnsi="Times New Roman" w:cs="Times New Roman"/>
          <w:sz w:val="24"/>
          <w:szCs w:val="24"/>
        </w:rPr>
        <w:t xml:space="preserve"> but also requires to give attention to factors affecting the pace of cultural accumulation, such as </w:t>
      </w:r>
      <w:r>
        <w:rPr>
          <w:rFonts w:ascii="Times New Roman" w:eastAsia="Times New Roman" w:hAnsi="Times New Roman" w:cs="Times New Roman"/>
          <w:color w:val="auto"/>
          <w:sz w:val="24"/>
          <w:szCs w:val="24"/>
        </w:rPr>
        <w:t>cultural transmission dynamics</w:t>
      </w:r>
      <w:r>
        <w:rPr>
          <w:rFonts w:ascii="Times New Roman" w:hAnsi="Times New Roman" w:cs="Times New Roman"/>
          <w:sz w:val="24"/>
          <w:szCs w:val="24"/>
        </w:rPr>
        <w:t xml:space="preserve"> and demography </w:t>
      </w:r>
      <w:r>
        <w:rPr>
          <w:sz w:val="24"/>
          <w:szCs w:val="24"/>
          <w:vertAlign w:val="superscript"/>
        </w:rPr>
        <w:t>2</w:t>
      </w:r>
      <w:r w:rsidR="005C715A">
        <w:rPr>
          <w:sz w:val="24"/>
          <w:szCs w:val="24"/>
          <w:vertAlign w:val="superscript"/>
        </w:rPr>
        <w:t>1</w:t>
      </w:r>
      <w:r>
        <w:rPr>
          <w:sz w:val="24"/>
          <w:szCs w:val="24"/>
          <w:vertAlign w:val="superscript"/>
        </w:rPr>
        <w:t>-2</w:t>
      </w:r>
      <w:r w:rsidR="005C715A">
        <w:rPr>
          <w:sz w:val="24"/>
          <w:szCs w:val="24"/>
          <w:vertAlign w:val="superscript"/>
        </w:rPr>
        <w:t>9</w:t>
      </w:r>
      <w:r w:rsidR="009C0A7C">
        <w:rPr>
          <w:rFonts w:ascii="Times New Roman" w:hAnsi="Times New Roman" w:cs="Times New Roman"/>
          <w:sz w:val="24"/>
          <w:szCs w:val="24"/>
        </w:rPr>
        <w:t>.</w:t>
      </w:r>
    </w:p>
    <w:p w:rsidR="00381B35" w:rsidRDefault="002E48AF">
      <w:pPr>
        <w:pStyle w:val="Refhead"/>
        <w:spacing w:before="0" w:after="0" w:line="360" w:lineRule="auto"/>
      </w:pPr>
      <w:r>
        <w:t>Methods:</w:t>
      </w:r>
    </w:p>
    <w:p w:rsidR="00145264" w:rsidRDefault="00145264" w:rsidP="00145264">
      <w:pPr>
        <w:spacing w:line="360" w:lineRule="auto"/>
        <w:jc w:val="both"/>
        <w:rPr>
          <w:sz w:val="24"/>
          <w:szCs w:val="24"/>
          <w:u w:val="single"/>
        </w:rPr>
      </w:pPr>
      <w:r>
        <w:rPr>
          <w:sz w:val="24"/>
          <w:szCs w:val="24"/>
          <w:u w:val="single"/>
        </w:rPr>
        <w:t>Participants</w:t>
      </w:r>
    </w:p>
    <w:p w:rsidR="00145264" w:rsidRDefault="00145264" w:rsidP="00145264">
      <w:pPr>
        <w:spacing w:line="360" w:lineRule="auto"/>
        <w:jc w:val="both"/>
        <w:rPr>
          <w:sz w:val="24"/>
          <w:szCs w:val="24"/>
        </w:rPr>
      </w:pPr>
      <w:r>
        <w:rPr>
          <w:sz w:val="24"/>
          <w:szCs w:val="24"/>
        </w:rPr>
        <w:t>In total, 140 participants took part in the study (70 women and 70 men). Participants were randomly selected from a database managed by Catholic University of Lille and recruited by email from various universities in Lille, France. The subjects ranged in age from 18 to 38 y (mean of 20.5, SD of 3.4). Participants received 3€ for participating and an additional amount ranging from 0 and 26€ depending on their own performance and the performance of the next participant in their chain (see below).</w:t>
      </w:r>
    </w:p>
    <w:p w:rsidR="00145264" w:rsidRDefault="00145264" w:rsidP="00145264">
      <w:pPr>
        <w:spacing w:line="360" w:lineRule="auto"/>
        <w:jc w:val="both"/>
        <w:rPr>
          <w:sz w:val="24"/>
          <w:szCs w:val="24"/>
          <w:u w:val="single"/>
        </w:rPr>
      </w:pPr>
      <w:r>
        <w:rPr>
          <w:sz w:val="24"/>
          <w:szCs w:val="24"/>
          <w:u w:val="single"/>
        </w:rPr>
        <w:t>Ethical statement</w:t>
      </w:r>
    </w:p>
    <w:p w:rsidR="00145264" w:rsidRDefault="00145264" w:rsidP="00145264">
      <w:pPr>
        <w:spacing w:line="360" w:lineRule="auto"/>
        <w:jc w:val="both"/>
        <w:rPr>
          <w:sz w:val="24"/>
          <w:szCs w:val="24"/>
        </w:rPr>
      </w:pPr>
      <w:r>
        <w:rPr>
          <w:sz w:val="24"/>
          <w:szCs w:val="24"/>
        </w:rPr>
        <w:t>The study was carried out in accordance with the ethical standards of the 1964 Declaration of Helsinki and the guidelines of the British Psychological Society’s Code of Human Research Ethics. All methods were approved by the University of Exeter Biosciences Research Ethics Committee (2018/2310) and the Catholic University of Lille Research Ethics Committee (2018-01-31-E). All participants provided written, informed consent before taking part in the experiment.</w:t>
      </w:r>
    </w:p>
    <w:p w:rsidR="00381B35" w:rsidRDefault="002E48AF">
      <w:pPr>
        <w:spacing w:line="360" w:lineRule="auto"/>
        <w:jc w:val="both"/>
        <w:rPr>
          <w:sz w:val="24"/>
          <w:szCs w:val="24"/>
          <w:u w:val="single"/>
        </w:rPr>
      </w:pPr>
      <w:r>
        <w:rPr>
          <w:sz w:val="24"/>
          <w:szCs w:val="24"/>
          <w:u w:val="single"/>
        </w:rPr>
        <w:t>Experimental apparatus</w:t>
      </w:r>
    </w:p>
    <w:p w:rsidR="00381B35" w:rsidRDefault="002E48AF">
      <w:pPr>
        <w:spacing w:line="360" w:lineRule="auto"/>
        <w:jc w:val="both"/>
        <w:rPr>
          <w:i/>
          <w:sz w:val="24"/>
          <w:szCs w:val="24"/>
          <w:lang w:val="en-GB"/>
        </w:rPr>
      </w:pPr>
      <w:r>
        <w:rPr>
          <w:i/>
          <w:sz w:val="24"/>
          <w:szCs w:val="24"/>
          <w:lang w:val="en-GB"/>
        </w:rPr>
        <w:t>Dynamics of the wheel</w:t>
      </w:r>
    </w:p>
    <w:p w:rsidR="00381B35" w:rsidRDefault="002E48AF">
      <w:pPr>
        <w:spacing w:line="360" w:lineRule="auto"/>
        <w:jc w:val="both"/>
        <w:rPr>
          <w:sz w:val="24"/>
          <w:szCs w:val="24"/>
        </w:rPr>
      </w:pPr>
      <w:r>
        <w:rPr>
          <w:sz w:val="24"/>
          <w:szCs w:val="24"/>
          <w:lang w:val="en-GB"/>
        </w:rPr>
        <w:t xml:space="preserve">The performance of the wheel </w:t>
      </w:r>
      <w:r>
        <w:rPr>
          <w:sz w:val="24"/>
          <w:szCs w:val="24"/>
        </w:rPr>
        <w:t xml:space="preserve">depends on two variables: its moment of inertia and </w:t>
      </w:r>
      <w:r w:rsidR="00D97105">
        <w:rPr>
          <w:sz w:val="24"/>
          <w:szCs w:val="24"/>
        </w:rPr>
        <w:t>the position of its centre of mass</w:t>
      </w:r>
      <w:r>
        <w:rPr>
          <w:sz w:val="24"/>
          <w:szCs w:val="24"/>
        </w:rPr>
        <w:t xml:space="preserve">. The wheel’s moment of inertia depends on how mass is distributed around its axis of rotation. Wheels with a smaller moment of inertia (i.e. wheels that have their weights closer </w:t>
      </w:r>
      <w:r w:rsidRPr="00A9222A">
        <w:rPr>
          <w:sz w:val="24"/>
          <w:szCs w:val="24"/>
        </w:rPr>
        <w:t>to the axis) require less torque to increase angular momentum and spin faster (Movie</w:t>
      </w:r>
      <w:r w:rsidR="00A9222A" w:rsidRPr="00A9222A">
        <w:rPr>
          <w:sz w:val="24"/>
          <w:szCs w:val="24"/>
        </w:rPr>
        <w:t xml:space="preserve">s are available at </w:t>
      </w:r>
      <w:hyperlink r:id="rId11" w:history="1">
        <w:r w:rsidR="00A9222A" w:rsidRPr="00A9222A">
          <w:rPr>
            <w:rStyle w:val="Hyperlink"/>
            <w:sz w:val="24"/>
            <w:szCs w:val="24"/>
          </w:rPr>
          <w:t>osf.io/afwmr</w:t>
        </w:r>
      </w:hyperlink>
      <w:r w:rsidRPr="00A9222A">
        <w:rPr>
          <w:sz w:val="24"/>
          <w:szCs w:val="24"/>
        </w:rPr>
        <w:t xml:space="preserve">). </w:t>
      </w:r>
      <w:r w:rsidR="00D16365">
        <w:rPr>
          <w:sz w:val="24"/>
          <w:szCs w:val="24"/>
          <w:lang w:val="en-GB"/>
        </w:rPr>
        <w:t>A</w:t>
      </w:r>
      <w:r w:rsidR="00D16365">
        <w:rPr>
          <w:sz w:val="24"/>
          <w:szCs w:val="24"/>
        </w:rPr>
        <w:t xml:space="preserve">symmetrical wheels do not have their </w:t>
      </w:r>
      <w:r w:rsidR="00D16365">
        <w:rPr>
          <w:sz w:val="24"/>
          <w:szCs w:val="24"/>
          <w:lang w:val="en-GB"/>
        </w:rPr>
        <w:t>centre</w:t>
      </w:r>
      <w:r w:rsidR="00D16365" w:rsidRPr="00924040">
        <w:rPr>
          <w:sz w:val="24"/>
          <w:szCs w:val="24"/>
          <w:lang w:val="en-GB"/>
        </w:rPr>
        <w:t xml:space="preserve"> of mass on the axis of rotation</w:t>
      </w:r>
      <w:r w:rsidR="00D16365">
        <w:rPr>
          <w:sz w:val="24"/>
          <w:szCs w:val="24"/>
          <w:lang w:val="en-GB"/>
        </w:rPr>
        <w:t xml:space="preserve">, which </w:t>
      </w:r>
      <w:r w:rsidR="00D16365">
        <w:rPr>
          <w:sz w:val="24"/>
          <w:szCs w:val="24"/>
        </w:rPr>
        <w:t xml:space="preserve">can give wheels better initial acceleration. </w:t>
      </w:r>
      <w:r>
        <w:rPr>
          <w:sz w:val="24"/>
          <w:szCs w:val="24"/>
        </w:rPr>
        <w:t xml:space="preserve">When the centre of mass of the wheel is in the wheel’s upper right quadrant, more energy is converted into angular kinetic energy so that the wheel will benefit from higher increases in angular momentum. Note that the same would occur with a </w:t>
      </w:r>
      <w:r w:rsidR="00573B32">
        <w:rPr>
          <w:sz w:val="24"/>
          <w:szCs w:val="24"/>
        </w:rPr>
        <w:t>centre</w:t>
      </w:r>
      <w:r>
        <w:rPr>
          <w:sz w:val="24"/>
          <w:szCs w:val="24"/>
        </w:rPr>
        <w:t xml:space="preserve"> of mass in the upper left quadrant. There, the wheel would rotate in the wrong direction and would go up on the rails (the kinetic energy would be converted into potential energy). </w:t>
      </w:r>
    </w:p>
    <w:p w:rsidR="00381B35" w:rsidRDefault="002E48AF">
      <w:pPr>
        <w:spacing w:line="360" w:lineRule="auto"/>
        <w:jc w:val="both"/>
        <w:rPr>
          <w:sz w:val="24"/>
          <w:szCs w:val="24"/>
        </w:rPr>
      </w:pPr>
      <w:r>
        <w:rPr>
          <w:sz w:val="24"/>
          <w:szCs w:val="24"/>
        </w:rPr>
        <w:lastRenderedPageBreak/>
        <w:t xml:space="preserve">In our </w:t>
      </w:r>
      <w:r w:rsidRPr="00A9222A">
        <w:rPr>
          <w:sz w:val="24"/>
          <w:szCs w:val="24"/>
        </w:rPr>
        <w:t xml:space="preserve">experiment, both the wheel’s moment of inertia and </w:t>
      </w:r>
      <w:r w:rsidR="00F3360D">
        <w:rPr>
          <w:sz w:val="24"/>
          <w:szCs w:val="24"/>
        </w:rPr>
        <w:t>the position of its centre of mass</w:t>
      </w:r>
      <w:r w:rsidRPr="00A9222A">
        <w:rPr>
          <w:sz w:val="24"/>
          <w:szCs w:val="24"/>
        </w:rPr>
        <w:t xml:space="preserve"> had to be taken into account to reach the best performance. </w:t>
      </w:r>
      <w:r w:rsidR="00F3360D">
        <w:rPr>
          <w:sz w:val="24"/>
          <w:szCs w:val="24"/>
        </w:rPr>
        <w:t xml:space="preserve">A higher centre of mass can produce better acceleration but it will </w:t>
      </w:r>
      <w:r w:rsidRPr="00A9222A">
        <w:rPr>
          <w:sz w:val="24"/>
          <w:szCs w:val="24"/>
        </w:rPr>
        <w:t>increas</w:t>
      </w:r>
      <w:r w:rsidR="00F3360D">
        <w:rPr>
          <w:sz w:val="24"/>
          <w:szCs w:val="24"/>
        </w:rPr>
        <w:t>e</w:t>
      </w:r>
      <w:r w:rsidRPr="00A9222A">
        <w:rPr>
          <w:sz w:val="24"/>
          <w:szCs w:val="24"/>
        </w:rPr>
        <w:t xml:space="preserve">the wheel’s moment of inertia and so there was a tradeoff between </w:t>
      </w:r>
      <w:r w:rsidR="00F3360D">
        <w:rPr>
          <w:sz w:val="24"/>
          <w:szCs w:val="24"/>
        </w:rPr>
        <w:t>maximizing acceleration</w:t>
      </w:r>
      <w:r w:rsidRPr="00A9222A">
        <w:rPr>
          <w:sz w:val="24"/>
          <w:szCs w:val="24"/>
        </w:rPr>
        <w:t xml:space="preserve"> and minimizing inertia (</w:t>
      </w:r>
      <w:r w:rsidR="005F5EA5" w:rsidRPr="00A9222A">
        <w:rPr>
          <w:sz w:val="24"/>
          <w:szCs w:val="24"/>
        </w:rPr>
        <w:t xml:space="preserve">Supplementary Figure </w:t>
      </w:r>
      <w:r w:rsidR="00A9222A" w:rsidRPr="00A9222A">
        <w:rPr>
          <w:sz w:val="24"/>
          <w:szCs w:val="24"/>
        </w:rPr>
        <w:t>4</w:t>
      </w:r>
      <w:r w:rsidRPr="00A9222A">
        <w:rPr>
          <w:sz w:val="24"/>
          <w:szCs w:val="24"/>
        </w:rPr>
        <w:t xml:space="preserve">). </w:t>
      </w:r>
      <w:r w:rsidR="00F3360D">
        <w:rPr>
          <w:sz w:val="24"/>
          <w:szCs w:val="24"/>
        </w:rPr>
        <w:t>Acceleration can be optimized</w:t>
      </w:r>
      <w:r>
        <w:rPr>
          <w:sz w:val="24"/>
          <w:szCs w:val="24"/>
        </w:rPr>
        <w:t xml:space="preserve"> in two different ways. One is keeping all weights close to the axis except the top one. The other is moving both the top and right weights away from the axis. This latter strategy can give the wheel better initial acceleration because the right weight has more leverage than the top weight to set the wheel in motion at its initial position (the top weight initially applies a vertical force on the axis which doesn’t affect the wheel’s angular momentum). However, the right weight will only fall from half the height of the top weight (assuming both weights are equally far from the axis) so less energy will eventually be converted into kinetic energy. </w:t>
      </w:r>
    </w:p>
    <w:p w:rsidR="00381B35" w:rsidRDefault="002E48AF">
      <w:pPr>
        <w:spacing w:line="360" w:lineRule="auto"/>
        <w:jc w:val="both"/>
        <w:rPr>
          <w:i/>
          <w:sz w:val="24"/>
          <w:szCs w:val="24"/>
        </w:rPr>
      </w:pPr>
      <w:r>
        <w:rPr>
          <w:i/>
          <w:sz w:val="24"/>
          <w:szCs w:val="24"/>
        </w:rPr>
        <w:t>Building of the wheel</w:t>
      </w:r>
    </w:p>
    <w:p w:rsidR="00381B35" w:rsidRDefault="002E48AF">
      <w:pPr>
        <w:spacing w:line="360" w:lineRule="auto"/>
        <w:jc w:val="both"/>
        <w:rPr>
          <w:bCs/>
          <w:sz w:val="24"/>
          <w:szCs w:val="24"/>
          <w:lang w:val="en-GB"/>
        </w:rPr>
      </w:pPr>
      <w:r>
        <w:rPr>
          <w:sz w:val="24"/>
          <w:szCs w:val="24"/>
        </w:rPr>
        <w:t>The wheel was built around a tube</w:t>
      </w:r>
      <w:r>
        <w:rPr>
          <w:sz w:val="24"/>
          <w:szCs w:val="24"/>
          <w:lang w:val="en-GB"/>
        </w:rPr>
        <w:t xml:space="preserve"> clamp designed to form a 90-degree angle between a 28 mm tube (which passed through the clamp) and four other 28 mm tubes (with 90-degree angles between contiguous tubes, </w:t>
      </w:r>
      <w:r w:rsidR="006836B5">
        <w:rPr>
          <w:bCs/>
          <w:sz w:val="24"/>
          <w:szCs w:val="24"/>
          <w:lang w:val="en-GB"/>
        </w:rPr>
        <w:t xml:space="preserve">Figure </w:t>
      </w:r>
      <w:r>
        <w:rPr>
          <w:bCs/>
          <w:sz w:val="24"/>
          <w:szCs w:val="24"/>
          <w:lang w:val="en-GB"/>
        </w:rPr>
        <w:t xml:space="preserve">1 and </w:t>
      </w:r>
      <w:r w:rsidR="006836B5" w:rsidRPr="006836B5">
        <w:rPr>
          <w:sz w:val="24"/>
          <w:szCs w:val="24"/>
        </w:rPr>
        <w:t>Supplementary Figure</w:t>
      </w:r>
      <w:r w:rsidR="006836B5">
        <w:rPr>
          <w:sz w:val="24"/>
          <w:szCs w:val="24"/>
        </w:rPr>
        <w:t xml:space="preserve"> </w:t>
      </w:r>
      <w:r w:rsidR="00A9222A">
        <w:rPr>
          <w:bCs/>
          <w:sz w:val="24"/>
          <w:szCs w:val="24"/>
          <w:lang w:val="en-GB"/>
        </w:rPr>
        <w:t>5</w:t>
      </w:r>
      <w:r w:rsidRPr="006836B5">
        <w:rPr>
          <w:bCs/>
          <w:sz w:val="24"/>
          <w:szCs w:val="24"/>
          <w:lang w:val="en-GB"/>
        </w:rPr>
        <w:t>A</w:t>
      </w:r>
      <w:r>
        <w:rPr>
          <w:bCs/>
          <w:sz w:val="24"/>
          <w:szCs w:val="24"/>
          <w:lang w:val="en-GB"/>
        </w:rPr>
        <w:t xml:space="preserve">). </w:t>
      </w:r>
      <w:r>
        <w:rPr>
          <w:sz w:val="24"/>
          <w:szCs w:val="24"/>
          <w:lang w:val="en-GB"/>
        </w:rPr>
        <w:t xml:space="preserve">The axis of the wheel was composed of a 10.5 cm long </w:t>
      </w:r>
      <w:r>
        <w:rPr>
          <w:bCs/>
          <w:sz w:val="24"/>
          <w:szCs w:val="24"/>
          <w:lang w:val="en-GB"/>
        </w:rPr>
        <w:t>bored-t</w:t>
      </w:r>
      <w:r>
        <w:rPr>
          <w:sz w:val="24"/>
          <w:szCs w:val="24"/>
          <w:lang w:val="en-GB"/>
        </w:rPr>
        <w:t xml:space="preserve">hrough wooden pole and an 8 mm </w:t>
      </w:r>
      <w:r>
        <w:rPr>
          <w:bCs/>
          <w:sz w:val="24"/>
          <w:szCs w:val="24"/>
          <w:lang w:val="en-GB"/>
        </w:rPr>
        <w:t xml:space="preserve">threaded steel rod in its centre. The threaded steel rod protruded </w:t>
      </w:r>
      <w:r>
        <w:rPr>
          <w:bCs/>
          <w:sz w:val="24"/>
          <w:szCs w:val="24"/>
          <w:lang w:val="en-GB" w:eastAsia="fr-FR"/>
        </w:rPr>
        <w:t>appr</w:t>
      </w:r>
      <w:r>
        <w:rPr>
          <w:sz w:val="24"/>
          <w:szCs w:val="24"/>
          <w:lang w:val="en-GB" w:eastAsia="fr-FR"/>
        </w:rPr>
        <w:t xml:space="preserve">oximately 4 cm past the end of the </w:t>
      </w:r>
      <w:r>
        <w:rPr>
          <w:sz w:val="24"/>
          <w:szCs w:val="24"/>
          <w:lang w:val="en-GB"/>
        </w:rPr>
        <w:t xml:space="preserve">wooden pole at each side and was covered with </w:t>
      </w:r>
      <w:r>
        <w:rPr>
          <w:bCs/>
          <w:sz w:val="24"/>
          <w:szCs w:val="24"/>
          <w:lang w:val="en-GB"/>
        </w:rPr>
        <w:t>pieces of 3 cm rubber tube in order to prevent the wheel from sliding on the rails. Flat washers were positioned on either side of the pieces of rubber tube to guide the wheel along the rails and limit potential friction. Two nuts held the materials in position. Two 500-gram weight plates were positioned along the axis of the wheel (one on each side of the clamp) in order to reduce the wheel’s moment of inertia and limit the occurrence of motionless or back-spinning configurations.</w:t>
      </w:r>
      <w:r>
        <w:rPr>
          <w:b/>
          <w:bCs/>
          <w:sz w:val="24"/>
          <w:szCs w:val="24"/>
          <w:lang w:val="en-GB"/>
        </w:rPr>
        <w:t xml:space="preserve"> </w:t>
      </w:r>
      <w:r>
        <w:rPr>
          <w:bCs/>
          <w:sz w:val="24"/>
          <w:szCs w:val="24"/>
          <w:lang w:val="en-GB"/>
        </w:rPr>
        <w:t>Two barbell clamp collar clips were used to lock the weight plates in position (</w:t>
      </w:r>
      <w:r w:rsidR="006836B5" w:rsidRPr="006836B5">
        <w:rPr>
          <w:sz w:val="24"/>
          <w:szCs w:val="24"/>
        </w:rPr>
        <w:t xml:space="preserve">Supplementary Figure </w:t>
      </w:r>
      <w:r w:rsidR="00A9222A">
        <w:rPr>
          <w:bCs/>
          <w:sz w:val="24"/>
          <w:szCs w:val="24"/>
          <w:lang w:val="en-GB"/>
        </w:rPr>
        <w:t>5</w:t>
      </w:r>
      <w:r>
        <w:rPr>
          <w:bCs/>
          <w:sz w:val="24"/>
          <w:szCs w:val="24"/>
          <w:lang w:val="en-GB"/>
        </w:rPr>
        <w:t xml:space="preserve">B). </w:t>
      </w:r>
      <w:r>
        <w:rPr>
          <w:sz w:val="24"/>
          <w:szCs w:val="24"/>
          <w:lang w:val="en-GB"/>
        </w:rPr>
        <w:t xml:space="preserve">Four 28 mm wooden poles formed the spokes of the wheel and were 41 cm long from the centre of the wheel. Pieces of red tape were positioned every 28 mm along the spokes in order to signal 12 discrete weights’ potential positions (closest position to the axis was 6.5 cm from the centre of the wheel). </w:t>
      </w:r>
      <w:r>
        <w:rPr>
          <w:bCs/>
          <w:sz w:val="24"/>
          <w:szCs w:val="24"/>
          <w:lang w:val="en-GB"/>
        </w:rPr>
        <w:t>Four barbell clamp collar clips were used as weights. Each was weighted with flat washers, screws and nuts (</w:t>
      </w:r>
      <w:r w:rsidR="006836B5" w:rsidRPr="006836B5">
        <w:rPr>
          <w:sz w:val="24"/>
          <w:szCs w:val="24"/>
        </w:rPr>
        <w:t xml:space="preserve">Supplementary Figure </w:t>
      </w:r>
      <w:r w:rsidR="00A9222A">
        <w:rPr>
          <w:bCs/>
          <w:sz w:val="24"/>
          <w:szCs w:val="24"/>
          <w:lang w:val="en-GB"/>
        </w:rPr>
        <w:t>5</w:t>
      </w:r>
      <w:r>
        <w:rPr>
          <w:bCs/>
          <w:sz w:val="24"/>
          <w:szCs w:val="24"/>
          <w:lang w:val="en-GB"/>
        </w:rPr>
        <w:t xml:space="preserve">C). The weight of a collar clip was about 100 grams. </w:t>
      </w:r>
    </w:p>
    <w:p w:rsidR="00381B35" w:rsidRDefault="002E48AF">
      <w:pPr>
        <w:spacing w:line="360" w:lineRule="auto"/>
        <w:jc w:val="both"/>
        <w:rPr>
          <w:bCs/>
          <w:sz w:val="24"/>
          <w:szCs w:val="24"/>
          <w:lang w:val="en-GB"/>
        </w:rPr>
      </w:pPr>
      <w:r>
        <w:rPr>
          <w:i/>
          <w:sz w:val="24"/>
          <w:szCs w:val="24"/>
        </w:rPr>
        <w:t>Building of the rails</w:t>
      </w:r>
    </w:p>
    <w:p w:rsidR="00381B35" w:rsidRPr="00145264" w:rsidRDefault="002E48AF" w:rsidP="00145264">
      <w:pPr>
        <w:pStyle w:val="Corps"/>
        <w:spacing w:after="0" w:line="360" w:lineRule="auto"/>
        <w:jc w:val="both"/>
        <w:rPr>
          <w:rFonts w:ascii="Times New Roman" w:hAnsi="Times New Roman" w:cs="Times New Roman"/>
          <w:sz w:val="24"/>
          <w:szCs w:val="24"/>
          <w:lang w:val="en-GB" w:eastAsia="fr-FR"/>
        </w:rPr>
      </w:pPr>
      <w:r>
        <w:rPr>
          <w:rFonts w:ascii="Times New Roman" w:hAnsi="Times New Roman" w:cs="Times New Roman"/>
          <w:sz w:val="24"/>
          <w:szCs w:val="24"/>
          <w:lang w:val="en-GB"/>
        </w:rPr>
        <w:lastRenderedPageBreak/>
        <w:t xml:space="preserve">Rails were built from 2 meter long plated steel slotted angles (20mm wide). A steel and aluminium structure held the rails </w:t>
      </w:r>
      <w:r>
        <w:rPr>
          <w:rFonts w:ascii="Times New Roman" w:hAnsi="Times New Roman" w:cs="Times New Roman"/>
          <w:sz w:val="24"/>
          <w:szCs w:val="24"/>
          <w:lang w:val="en-GB" w:eastAsia="fr-FR"/>
        </w:rPr>
        <w:t xml:space="preserve">at an incline of 14 degrees. Two push-button switches (made from computer mice) were located 92 cm apart on the rails and connected to a computer program </w:t>
      </w:r>
      <w:r>
        <w:rPr>
          <w:rFonts w:ascii="Times New Roman" w:hAnsi="Times New Roman" w:cs="Times New Roman"/>
          <w:bCs/>
          <w:sz w:val="24"/>
          <w:szCs w:val="24"/>
          <w:lang w:val="en-GB"/>
        </w:rPr>
        <w:t>(</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bCs/>
          <w:sz w:val="24"/>
          <w:szCs w:val="24"/>
          <w:lang w:val="en-GB"/>
        </w:rPr>
        <w:t>5</w:t>
      </w:r>
      <w:r>
        <w:rPr>
          <w:rFonts w:ascii="Times New Roman" w:hAnsi="Times New Roman" w:cs="Times New Roman"/>
          <w:bCs/>
          <w:sz w:val="24"/>
          <w:szCs w:val="24"/>
          <w:lang w:val="en-GB"/>
        </w:rPr>
        <w:t>B)</w:t>
      </w:r>
      <w:r>
        <w:rPr>
          <w:rFonts w:ascii="Times New Roman" w:hAnsi="Times New Roman" w:cs="Times New Roman"/>
          <w:sz w:val="24"/>
          <w:szCs w:val="24"/>
          <w:lang w:val="en-GB" w:eastAsia="fr-FR"/>
        </w:rPr>
        <w:t xml:space="preserve">. Two arrows indicated the positions of the switches (starting/ending points, </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sz w:val="24"/>
          <w:szCs w:val="24"/>
          <w:lang w:val="en-GB" w:eastAsia="fr-FR"/>
        </w:rPr>
        <w:t>5</w:t>
      </w:r>
      <w:r>
        <w:rPr>
          <w:rFonts w:ascii="Times New Roman" w:hAnsi="Times New Roman" w:cs="Times New Roman"/>
          <w:sz w:val="24"/>
          <w:szCs w:val="24"/>
          <w:lang w:val="en-GB" w:eastAsia="fr-FR"/>
        </w:rPr>
        <w:t>A). A mechanical lever maintained the wheel motionless, with 2 of its spokes parallel to the ground at its starting position.</w:t>
      </w:r>
      <w:r>
        <w:rPr>
          <w:sz w:val="24"/>
          <w:szCs w:val="24"/>
        </w:rPr>
        <w:t xml:space="preserve"> </w:t>
      </w:r>
    </w:p>
    <w:p w:rsidR="00381B35" w:rsidRDefault="002E48AF">
      <w:pPr>
        <w:spacing w:line="360" w:lineRule="auto"/>
        <w:jc w:val="both"/>
        <w:rPr>
          <w:sz w:val="24"/>
          <w:szCs w:val="24"/>
          <w:u w:val="single"/>
        </w:rPr>
      </w:pPr>
      <w:r>
        <w:rPr>
          <w:sz w:val="24"/>
          <w:szCs w:val="24"/>
          <w:u w:val="single"/>
        </w:rPr>
        <w:t>Procedure</w:t>
      </w:r>
    </w:p>
    <w:p w:rsidR="00381B35" w:rsidRDefault="002E48AF">
      <w:pPr>
        <w:spacing w:line="360" w:lineRule="auto"/>
        <w:jc w:val="both"/>
        <w:rPr>
          <w:sz w:val="24"/>
          <w:szCs w:val="24"/>
        </w:rPr>
      </w:pPr>
      <w:r>
        <w:rPr>
          <w:sz w:val="24"/>
          <w:szCs w:val="24"/>
        </w:rPr>
        <w:t xml:space="preserve">The experiment took place in an experimental room at the Laboratory for Experimental Anthropology at Catholic University of Lille. For each session (around 20 minutes long), a single individual was recruited and sat at a computer that was placed parallel to and at 2 meters from the experimental apparatus. Participants were randomly assigned to one condition of the experiment and one sex-segregated chain. Before starting the experiment, participants were asked to complete a consent form and were asked their age. At the end of the experiment, participants indicated whether they have an academic background in physics or engineering. Participants entered and left the room by two different doors to prevent any form of direct interactions between participants. Participants came back to the lab a few days after the experiment to get paid (once their final payoff was known, see below).  </w:t>
      </w:r>
    </w:p>
    <w:p w:rsidR="00381B35" w:rsidRDefault="002E48AF">
      <w:pPr>
        <w:spacing w:line="360" w:lineRule="auto"/>
        <w:jc w:val="both"/>
        <w:rPr>
          <w:sz w:val="24"/>
          <w:szCs w:val="24"/>
          <w:u w:val="single"/>
        </w:rPr>
      </w:pPr>
      <w:r>
        <w:rPr>
          <w:sz w:val="24"/>
          <w:szCs w:val="24"/>
          <w:u w:val="single"/>
        </w:rPr>
        <w:t>Experimental design</w:t>
      </w:r>
    </w:p>
    <w:p w:rsidR="00381B35" w:rsidRDefault="002E48AF">
      <w:pPr>
        <w:spacing w:line="360" w:lineRule="auto"/>
        <w:jc w:val="both"/>
        <w:rPr>
          <w:i/>
          <w:sz w:val="24"/>
          <w:szCs w:val="24"/>
        </w:rPr>
      </w:pPr>
      <w:r>
        <w:rPr>
          <w:i/>
          <w:sz w:val="24"/>
          <w:szCs w:val="24"/>
        </w:rPr>
        <w:t>Building phase</w:t>
      </w:r>
    </w:p>
    <w:p w:rsidR="00381B35" w:rsidRDefault="002E48AF">
      <w:pPr>
        <w:pStyle w:val="Corp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Each participant had 5 trials to minimize the time it took the wheel to cover about one meter on an inclined track. Weights could be placed on one of 12 discrete positions along 4 spokes which created a space of 20,736 </w:t>
      </w:r>
      <w:r w:rsidRPr="00A9222A">
        <w:rPr>
          <w:rFonts w:ascii="Times New Roman" w:hAnsi="Times New Roman" w:cs="Times New Roman"/>
          <w:sz w:val="24"/>
          <w:szCs w:val="24"/>
        </w:rPr>
        <w:t>unique configurations. Participants chose their configurations through a computer program using 4 sliders (</w:t>
      </w:r>
      <w:r w:rsidR="005F5EA5" w:rsidRPr="00A9222A">
        <w:rPr>
          <w:rFonts w:ascii="Times New Roman" w:hAnsi="Times New Roman" w:cs="Times New Roman"/>
          <w:sz w:val="24"/>
          <w:szCs w:val="24"/>
        </w:rPr>
        <w:t xml:space="preserve">Supplementary Figure </w:t>
      </w:r>
      <w:r w:rsidR="00A9222A" w:rsidRPr="00A9222A">
        <w:rPr>
          <w:rFonts w:ascii="Times New Roman" w:hAnsi="Times New Roman" w:cs="Times New Roman"/>
          <w:sz w:val="24"/>
          <w:szCs w:val="24"/>
        </w:rPr>
        <w:t>6</w:t>
      </w:r>
      <w:r w:rsidRPr="00A9222A">
        <w:rPr>
          <w:rFonts w:ascii="Times New Roman" w:hAnsi="Times New Roman" w:cs="Times New Roman"/>
          <w:sz w:val="24"/>
          <w:szCs w:val="24"/>
        </w:rPr>
        <w:t xml:space="preserve">). Once the configuration was confirmed by the participant, the experimenter positioned the weights on the physical wheel accordingly (the computer screen was projected onto a wall to the right of the participant in order to allow the experimenter to see the chosen configuration without interacting with the participant, </w:t>
      </w:r>
      <w:r w:rsidR="005F5EA5" w:rsidRPr="00A9222A">
        <w:rPr>
          <w:rFonts w:ascii="Times New Roman" w:hAnsi="Times New Roman" w:cs="Times New Roman"/>
          <w:bCs/>
          <w:sz w:val="24"/>
          <w:szCs w:val="24"/>
          <w:lang w:val="en-GB"/>
        </w:rPr>
        <w:t xml:space="preserve">Supplementary Figure </w:t>
      </w:r>
      <w:r w:rsidR="00A9222A" w:rsidRPr="00A9222A">
        <w:rPr>
          <w:rFonts w:ascii="Times New Roman" w:hAnsi="Times New Roman" w:cs="Times New Roman"/>
          <w:bCs/>
          <w:sz w:val="24"/>
          <w:szCs w:val="24"/>
          <w:lang w:val="en-GB"/>
        </w:rPr>
        <w:t>5</w:t>
      </w:r>
      <w:r w:rsidR="005F5EA5" w:rsidRPr="00A9222A">
        <w:rPr>
          <w:rFonts w:ascii="Times New Roman" w:hAnsi="Times New Roman" w:cs="Times New Roman"/>
          <w:bCs/>
          <w:sz w:val="24"/>
          <w:szCs w:val="24"/>
          <w:lang w:val="en-GB"/>
        </w:rPr>
        <w:t>A</w:t>
      </w:r>
      <w:r w:rsidRPr="00A9222A">
        <w:rPr>
          <w:rFonts w:ascii="Times New Roman" w:hAnsi="Times New Roman" w:cs="Times New Roman"/>
          <w:sz w:val="24"/>
          <w:szCs w:val="24"/>
        </w:rPr>
        <w:t>). The</w:t>
      </w:r>
      <w:r>
        <w:rPr>
          <w:rFonts w:ascii="Times New Roman" w:hAnsi="Times New Roman" w:cs="Times New Roman"/>
          <w:sz w:val="24"/>
          <w:szCs w:val="24"/>
        </w:rPr>
        <w:t xml:space="preserve"> wheel was then positioned on the rails and held motionless by a mechanical system before being released. Once released, the time it took the wheel to descend the track was automatically recorded by the computer program. The wheel’s average speed and associated payoff was then automatically displayed on the participant’s screen. Participants could consult their two last configurations between any trials. They had as much time as they needed to </w:t>
      </w:r>
      <w:r>
        <w:rPr>
          <w:rFonts w:ascii="Times New Roman" w:hAnsi="Times New Roman" w:cs="Times New Roman"/>
          <w:sz w:val="24"/>
          <w:szCs w:val="24"/>
        </w:rPr>
        <w:lastRenderedPageBreak/>
        <w:t xml:space="preserve">consult these configurations and choose their next one. After 3 trials, participants were reminded that their last two configurations will be transmitted to the next participant in the chain. After five trials, the program automatically switched to the test phase.   </w:t>
      </w:r>
    </w:p>
    <w:p w:rsidR="00381B35" w:rsidRDefault="002E48AF">
      <w:pPr>
        <w:spacing w:line="360" w:lineRule="auto"/>
        <w:jc w:val="both"/>
        <w:rPr>
          <w:i/>
          <w:sz w:val="24"/>
          <w:szCs w:val="24"/>
        </w:rPr>
      </w:pPr>
      <w:r>
        <w:rPr>
          <w:i/>
          <w:sz w:val="24"/>
          <w:szCs w:val="24"/>
        </w:rPr>
        <w:t>Testing phase</w:t>
      </w:r>
    </w:p>
    <w:p w:rsidR="00381B35" w:rsidRDefault="002E48AF">
      <w:pPr>
        <w:pStyle w:val="Corp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completing the task, participants were told that they would be presented with pairs of wheels and that they must guess which one of 2 wheels would descend the rails faster. They were also told that one of their answers will be randomly selected at the end of the test and that 5 euros will be added to their gain if that answer is correct. For each pair, participants could submit 3 possible answers: “Wheel 1”, “Wheel 2” or “No difference”. Participants could take as much time as needed before submitting their answer. Once an answer was submitted, another pair of wheels was displayed until participants compared 10 pairs of wheels. In 5 pairs, wheels varied in their moment of inertia, in the other 5, wheels varied in </w:t>
      </w:r>
      <w:r w:rsidR="00F3360D">
        <w:rPr>
          <w:rFonts w:ascii="Times New Roman" w:hAnsi="Times New Roman" w:cs="Times New Roman"/>
          <w:sz w:val="24"/>
          <w:szCs w:val="24"/>
        </w:rPr>
        <w:t>the position of their centre of mass</w:t>
      </w:r>
      <w:r>
        <w:rPr>
          <w:rFonts w:ascii="Times New Roman" w:hAnsi="Times New Roman" w:cs="Times New Roman"/>
          <w:sz w:val="24"/>
          <w:szCs w:val="24"/>
        </w:rPr>
        <w:t xml:space="preserve"> (</w:t>
      </w:r>
      <w:r w:rsidR="006836B5" w:rsidRPr="006836B5">
        <w:rPr>
          <w:rFonts w:ascii="Times New Roman" w:hAnsi="Times New Roman" w:cs="Times New Roman"/>
          <w:sz w:val="24"/>
          <w:szCs w:val="24"/>
        </w:rPr>
        <w:t xml:space="preserve">Supplementary Figure </w:t>
      </w:r>
      <w:r w:rsidR="00A9222A">
        <w:rPr>
          <w:rFonts w:ascii="Times New Roman" w:hAnsi="Times New Roman" w:cs="Times New Roman"/>
          <w:sz w:val="24"/>
          <w:szCs w:val="24"/>
        </w:rPr>
        <w:t>7</w:t>
      </w:r>
      <w:r>
        <w:rPr>
          <w:rFonts w:ascii="Times New Roman" w:hAnsi="Times New Roman" w:cs="Times New Roman"/>
          <w:sz w:val="24"/>
          <w:szCs w:val="24"/>
        </w:rPr>
        <w:t xml:space="preserve">). Participants were not told whether their guesses were correct. All participants were exposed to the same 10 pairs of wheels in the same order.  </w:t>
      </w:r>
    </w:p>
    <w:p w:rsidR="00381B35" w:rsidRDefault="002E48AF">
      <w:pPr>
        <w:spacing w:line="360" w:lineRule="auto"/>
        <w:jc w:val="both"/>
        <w:rPr>
          <w:i/>
          <w:sz w:val="24"/>
          <w:szCs w:val="24"/>
        </w:rPr>
      </w:pPr>
      <w:r>
        <w:rPr>
          <w:i/>
          <w:sz w:val="24"/>
          <w:szCs w:val="24"/>
        </w:rPr>
        <w:t>Experimental treatments</w:t>
      </w:r>
    </w:p>
    <w:p w:rsidR="001474BE" w:rsidRPr="001474BE" w:rsidRDefault="002E48AF" w:rsidP="001474BE">
      <w:pPr>
        <w:spacing w:line="360" w:lineRule="auto"/>
        <w:jc w:val="both"/>
        <w:rPr>
          <w:sz w:val="24"/>
          <w:szCs w:val="24"/>
          <w:lang w:val="en-GB"/>
        </w:rPr>
      </w:pPr>
      <w:r>
        <w:rPr>
          <w:sz w:val="24"/>
          <w:szCs w:val="24"/>
        </w:rPr>
        <w:t>Two treatments were run. In each treatment, participants were part of 14 chains each containing 5 individuals (exclusively males or exclusively females).</w:t>
      </w:r>
      <w:r w:rsidRPr="00BF4E66">
        <w:rPr>
          <w:sz w:val="24"/>
          <w:szCs w:val="24"/>
        </w:rPr>
        <w:t xml:space="preserve"> </w:t>
      </w:r>
      <w:r w:rsidR="00BF4E66" w:rsidRPr="00BF4E66">
        <w:rPr>
          <w:sz w:val="24"/>
          <w:szCs w:val="24"/>
        </w:rPr>
        <w:t xml:space="preserve">No statistical methods were used to pre-determine sample </w:t>
      </w:r>
      <w:r w:rsidR="00BF4E66">
        <w:rPr>
          <w:sz w:val="24"/>
          <w:szCs w:val="24"/>
        </w:rPr>
        <w:t>sizes but our sample sizes (i.e</w:t>
      </w:r>
      <w:r w:rsidR="00797206">
        <w:rPr>
          <w:sz w:val="24"/>
          <w:szCs w:val="24"/>
        </w:rPr>
        <w:t>.</w:t>
      </w:r>
      <w:r w:rsidR="00BF4E66">
        <w:rPr>
          <w:sz w:val="24"/>
          <w:szCs w:val="24"/>
        </w:rPr>
        <w:t xml:space="preserve"> number of independent chains) are larger than</w:t>
      </w:r>
      <w:r w:rsidR="00BF4E66" w:rsidRPr="00BF4E66">
        <w:rPr>
          <w:sz w:val="24"/>
          <w:szCs w:val="24"/>
        </w:rPr>
        <w:t xml:space="preserve"> those reported in previous publications</w:t>
      </w:r>
      <w:r w:rsidR="00797206" w:rsidRPr="00854E35">
        <w:rPr>
          <w:rFonts w:asciiTheme="minorHAnsi" w:hAnsiTheme="minorHAnsi" w:cstheme="minorHAnsi"/>
          <w:sz w:val="24"/>
          <w:szCs w:val="24"/>
          <w:vertAlign w:val="superscript"/>
        </w:rPr>
        <w:t>30,31</w:t>
      </w:r>
      <w:r w:rsidR="00BF4E66">
        <w:rPr>
          <w:sz w:val="24"/>
          <w:szCs w:val="24"/>
        </w:rPr>
        <w:t xml:space="preserve">. </w:t>
      </w:r>
      <w:r>
        <w:rPr>
          <w:sz w:val="24"/>
          <w:szCs w:val="24"/>
        </w:rPr>
        <w:t xml:space="preserve">All participants except those in the first generation were provided with social information. In the “Configurations” treatment (n = 70), the last two configurations and associated scores of the previous participant in the chain were provided to the next participant in the chain. </w:t>
      </w:r>
      <w:r>
        <w:rPr>
          <w:sz w:val="24"/>
          <w:szCs w:val="24"/>
          <w:lang w:val="en-GB"/>
        </w:rPr>
        <w:t xml:space="preserve">In the “Configurations + Theory” treatment (n =70), participants additionally received the previous participant’s theory about the physical system. Participants were asked to write their theory after the test phase was completed. Participants could not transmit information about the performance of a specific configuration in order to prevent individuals from extending the number of transmitted configurations as compared to the </w:t>
      </w:r>
      <w:r>
        <w:rPr>
          <w:sz w:val="24"/>
          <w:szCs w:val="24"/>
        </w:rPr>
        <w:t>“Configurations” treatment</w:t>
      </w:r>
      <w:r>
        <w:rPr>
          <w:sz w:val="24"/>
          <w:szCs w:val="24"/>
          <w:lang w:val="en-GB"/>
        </w:rPr>
        <w:t>.  Theories had to be less than 340 characters long and always started with “The wheel covers the distance faster when...”. Social information was available all along the building phase and could be consulted between any trials in both treatments.</w:t>
      </w:r>
      <w:r w:rsidR="001474BE">
        <w:rPr>
          <w:sz w:val="24"/>
          <w:szCs w:val="24"/>
          <w:lang w:val="en-GB"/>
        </w:rPr>
        <w:t xml:space="preserve"> </w:t>
      </w:r>
      <w:r w:rsidR="001474BE" w:rsidRPr="001474BE">
        <w:rPr>
          <w:sz w:val="24"/>
          <w:szCs w:val="24"/>
          <w:lang w:val="en-GB"/>
        </w:rPr>
        <w:t xml:space="preserve">The organization of </w:t>
      </w:r>
      <w:r w:rsidR="001474BE" w:rsidRPr="001474BE">
        <w:rPr>
          <w:sz w:val="24"/>
          <w:szCs w:val="24"/>
        </w:rPr>
        <w:t>experimental conditions was randomized. Data collection and was not performed blind to the conditions of the experiments.</w:t>
      </w:r>
    </w:p>
    <w:p w:rsidR="00381B35" w:rsidRDefault="002E48AF">
      <w:pPr>
        <w:spacing w:line="360" w:lineRule="auto"/>
        <w:jc w:val="both"/>
        <w:rPr>
          <w:i/>
          <w:sz w:val="24"/>
          <w:szCs w:val="24"/>
        </w:rPr>
      </w:pPr>
      <w:r>
        <w:rPr>
          <w:i/>
          <w:sz w:val="24"/>
          <w:szCs w:val="24"/>
        </w:rPr>
        <w:lastRenderedPageBreak/>
        <w:t>Pre-experiment information</w:t>
      </w:r>
    </w:p>
    <w:p w:rsidR="00381B35" w:rsidRDefault="002E48AF">
      <w:pPr>
        <w:spacing w:line="360" w:lineRule="auto"/>
        <w:jc w:val="both"/>
        <w:rPr>
          <w:sz w:val="24"/>
          <w:szCs w:val="24"/>
        </w:rPr>
      </w:pPr>
      <w:r>
        <w:rPr>
          <w:sz w:val="24"/>
          <w:szCs w:val="24"/>
        </w:rPr>
        <w:t>Instructions could be read on a computer screen and stated that the participants’ task was to position 4 weights on a wheel in order to minimize the time it takes the wheel</w:t>
      </w:r>
      <w:r w:rsidR="005153EB">
        <w:rPr>
          <w:sz w:val="24"/>
          <w:szCs w:val="24"/>
        </w:rPr>
        <w:t xml:space="preserve"> to cover an inclined track (Supplementary Methods</w:t>
      </w:r>
      <w:r>
        <w:rPr>
          <w:sz w:val="24"/>
          <w:szCs w:val="24"/>
        </w:rPr>
        <w:t xml:space="preserve">). Participants were informed that they have 5 trials to do this and that their payoff will be determined by the performance of each of their wheels. Participants were told that they were part of a chain and so that the task was a collective one (despite being alone in the experimental room). They were informed that their last two configurations will be transmitted to the next participant in the chain and all participants except those in the first generation were also told that they were going to be provided with the last two configurations of the previous participant in the chain. In the </w:t>
      </w:r>
      <w:r>
        <w:rPr>
          <w:sz w:val="24"/>
          <w:szCs w:val="24"/>
          <w:lang w:val="en-GB"/>
        </w:rPr>
        <w:t xml:space="preserve">“Configurations + Theory” treatment, participants were also informed that they could write/receive a theory. </w:t>
      </w:r>
      <w:r>
        <w:rPr>
          <w:sz w:val="24"/>
          <w:szCs w:val="24"/>
        </w:rPr>
        <w:t xml:space="preserve">Finally, participants were told that their final gain will be determined by their own performance and the performance of the next participant in the chain. Participants did not know the length of the chain nor the speed of the best possible wheel.  </w:t>
      </w:r>
    </w:p>
    <w:p w:rsidR="00381B35" w:rsidRDefault="002E48AF">
      <w:pPr>
        <w:spacing w:line="360" w:lineRule="auto"/>
        <w:jc w:val="both"/>
        <w:rPr>
          <w:i/>
          <w:sz w:val="24"/>
          <w:szCs w:val="24"/>
        </w:rPr>
      </w:pPr>
      <w:r>
        <w:rPr>
          <w:i/>
          <w:sz w:val="24"/>
          <w:szCs w:val="24"/>
        </w:rPr>
        <w:t>Participants’ payoff</w:t>
      </w:r>
    </w:p>
    <w:p w:rsidR="00381B35" w:rsidRDefault="002E48AF">
      <w:pPr>
        <w:spacing w:line="360" w:lineRule="auto"/>
        <w:jc w:val="both"/>
        <w:rPr>
          <w:sz w:val="24"/>
          <w:szCs w:val="24"/>
        </w:rPr>
      </w:pPr>
      <w:r>
        <w:rPr>
          <w:sz w:val="24"/>
          <w:szCs w:val="24"/>
        </w:rPr>
        <w:t>The following equation determined the payoff of each wheel:</w:t>
      </w:r>
    </w:p>
    <w:p w:rsidR="00381B35" w:rsidRDefault="002E48AF">
      <w:pPr>
        <w:spacing w:line="360" w:lineRule="auto"/>
        <w:jc w:val="center"/>
        <w:rPr>
          <w:sz w:val="24"/>
          <w:szCs w:val="24"/>
        </w:rPr>
      </w:pPr>
      <w:r>
        <w:rPr>
          <w:sz w:val="24"/>
          <w:szCs w:val="24"/>
        </w:rPr>
        <w:t>[1 -  ((MaxSpeed – RecordedSpeed) / (MaxSpeed – MinSpeed))] x 3 + Bonus</w:t>
      </w:r>
    </w:p>
    <w:p w:rsidR="00381B35" w:rsidRDefault="002E48AF">
      <w:pPr>
        <w:spacing w:line="360" w:lineRule="auto"/>
        <w:jc w:val="both"/>
        <w:rPr>
          <w:sz w:val="24"/>
          <w:szCs w:val="24"/>
        </w:rPr>
      </w:pPr>
      <w:r>
        <w:rPr>
          <w:sz w:val="24"/>
          <w:szCs w:val="24"/>
        </w:rPr>
        <w:t xml:space="preserve">with MaxSpeed  = 160, MinSpeed = 96. RecordedSpeed was the recorded average speed of the wheel. Bonus took the value 0.2 for wheels that descended and 0 otherwise. </w:t>
      </w:r>
    </w:p>
    <w:p w:rsidR="00381B35" w:rsidRDefault="002E48AF">
      <w:pPr>
        <w:spacing w:line="360" w:lineRule="auto"/>
        <w:jc w:val="both"/>
        <w:rPr>
          <w:sz w:val="24"/>
          <w:szCs w:val="24"/>
        </w:rPr>
      </w:pPr>
      <w:r>
        <w:rPr>
          <w:sz w:val="24"/>
          <w:szCs w:val="24"/>
        </w:rPr>
        <w:t xml:space="preserve">Participants’ final payoff corresponded to the sum of the payoff of each of their wheels plus the payoff of the next participant’ first two wheels plus 5€ if they correctly answered the randomly selected test. Final participants in chains had their last two payoffs doubled (although they were not aware of this as they didn’t know that the chain was about to end). </w:t>
      </w:r>
    </w:p>
    <w:p w:rsidR="00381B35" w:rsidRDefault="002E48AF">
      <w:pPr>
        <w:spacing w:line="360" w:lineRule="auto"/>
        <w:jc w:val="both"/>
        <w:rPr>
          <w:sz w:val="24"/>
          <w:szCs w:val="24"/>
        </w:rPr>
      </w:pPr>
      <w:r>
        <w:rPr>
          <w:i/>
          <w:sz w:val="24"/>
          <w:szCs w:val="24"/>
        </w:rPr>
        <w:t>Theory coding</w:t>
      </w:r>
    </w:p>
    <w:p w:rsidR="00381B35" w:rsidRDefault="002E48AF">
      <w:pPr>
        <w:spacing w:line="360" w:lineRule="auto"/>
        <w:jc w:val="both"/>
        <w:rPr>
          <w:sz w:val="24"/>
          <w:szCs w:val="24"/>
        </w:rPr>
      </w:pPr>
      <w:r>
        <w:rPr>
          <w:sz w:val="24"/>
          <w:szCs w:val="24"/>
        </w:rPr>
        <w:t xml:space="preserve">5 individuals blind to the research question were explained the dynamics of the wheel (i.e. the respective role of inertia and </w:t>
      </w:r>
      <w:r w:rsidR="00F3360D">
        <w:rPr>
          <w:sz w:val="24"/>
          <w:szCs w:val="24"/>
        </w:rPr>
        <w:t xml:space="preserve">centre of mass </w:t>
      </w:r>
      <w:r>
        <w:rPr>
          <w:sz w:val="24"/>
          <w:szCs w:val="24"/>
        </w:rPr>
        <w:t xml:space="preserve">in the performance of the wheel) and were asked to code participants’ theories according to whether they contain accurate information related to moment of inertia and/or </w:t>
      </w:r>
      <w:r w:rsidR="00573B32">
        <w:rPr>
          <w:sz w:val="24"/>
          <w:szCs w:val="24"/>
        </w:rPr>
        <w:t>centre of mass</w:t>
      </w:r>
      <w:r>
        <w:rPr>
          <w:sz w:val="24"/>
          <w:szCs w:val="24"/>
        </w:rPr>
        <w:t>. A theory contained information related to moment of inertia when it says that the wheels goes faster when its weights are close to the axis (e.g. “</w:t>
      </w:r>
      <w:r>
        <w:rPr>
          <w:i/>
          <w:sz w:val="24"/>
          <w:szCs w:val="24"/>
        </w:rPr>
        <w:t>The wheel covers the track faster when its weights are balanced and close to the axis.</w:t>
      </w:r>
      <w:r>
        <w:rPr>
          <w:sz w:val="24"/>
          <w:szCs w:val="24"/>
        </w:rPr>
        <w:t xml:space="preserve">”). A theory contained information related to </w:t>
      </w:r>
      <w:r w:rsidR="00573B32">
        <w:rPr>
          <w:sz w:val="24"/>
          <w:szCs w:val="24"/>
        </w:rPr>
        <w:t>centre of mass</w:t>
      </w:r>
      <w:r>
        <w:rPr>
          <w:sz w:val="24"/>
          <w:szCs w:val="24"/>
        </w:rPr>
        <w:t xml:space="preserve"> when it says that the wheel goes faster when its </w:t>
      </w:r>
      <w:r w:rsidR="00573B32">
        <w:rPr>
          <w:sz w:val="24"/>
          <w:szCs w:val="24"/>
        </w:rPr>
        <w:t>centre</w:t>
      </w:r>
      <w:r>
        <w:rPr>
          <w:sz w:val="24"/>
          <w:szCs w:val="24"/>
        </w:rPr>
        <w:t xml:space="preserve"> of mass is in the upper-right quadrant (e.g. “</w:t>
      </w:r>
      <w:r>
        <w:rPr>
          <w:i/>
          <w:sz w:val="24"/>
          <w:szCs w:val="24"/>
        </w:rPr>
        <w:t xml:space="preserve">The wheel covers the track faster when its top </w:t>
      </w:r>
      <w:r>
        <w:rPr>
          <w:i/>
          <w:sz w:val="24"/>
          <w:szCs w:val="24"/>
        </w:rPr>
        <w:lastRenderedPageBreak/>
        <w:t>and right weights are farther from the axis than its bottom and left weights.</w:t>
      </w:r>
      <w:r>
        <w:rPr>
          <w:sz w:val="24"/>
          <w:szCs w:val="24"/>
        </w:rPr>
        <w:t>”). A few theories contained information about both principles (e.g. “</w:t>
      </w:r>
      <w:r>
        <w:rPr>
          <w:i/>
          <w:sz w:val="24"/>
          <w:szCs w:val="24"/>
        </w:rPr>
        <w:t>The wheel covers the track faster when its weights are balanced and close to the axis. Furthermore the wheel has a better initial acceleration when the top and rights weights are slightly farther away from the axis.”</w:t>
      </w:r>
      <w:r>
        <w:rPr>
          <w:sz w:val="24"/>
          <w:szCs w:val="24"/>
        </w:rPr>
        <w:t xml:space="preserve">). Cohen’s kappa coefficients reveal </w:t>
      </w:r>
      <w:r>
        <w:rPr>
          <w:color w:val="222222"/>
          <w:sz w:val="24"/>
          <w:szCs w:val="24"/>
          <w:shd w:val="clear" w:color="auto" w:fill="FFFFFF"/>
        </w:rPr>
        <w:t xml:space="preserve">almost perfect agreement between raters </w:t>
      </w:r>
      <w:r>
        <w:rPr>
          <w:sz w:val="24"/>
          <w:szCs w:val="24"/>
        </w:rPr>
        <w:t xml:space="preserve">(0.81 for inertia and 0.85 for </w:t>
      </w:r>
      <w:r w:rsidR="00573B32">
        <w:rPr>
          <w:sz w:val="24"/>
          <w:szCs w:val="24"/>
        </w:rPr>
        <w:t>centre</w:t>
      </w:r>
      <w:r w:rsidR="0061602E">
        <w:rPr>
          <w:sz w:val="24"/>
          <w:szCs w:val="24"/>
        </w:rPr>
        <w:t xml:space="preserve"> of mass</w:t>
      </w:r>
      <w:r>
        <w:rPr>
          <w:sz w:val="24"/>
          <w:szCs w:val="24"/>
        </w:rPr>
        <w:t xml:space="preserve">). </w:t>
      </w:r>
    </w:p>
    <w:p w:rsidR="00381B35" w:rsidRDefault="002E48AF">
      <w:pPr>
        <w:spacing w:line="360" w:lineRule="auto"/>
        <w:jc w:val="both"/>
        <w:rPr>
          <w:sz w:val="24"/>
          <w:szCs w:val="24"/>
          <w:u w:val="single"/>
        </w:rPr>
      </w:pPr>
      <w:r>
        <w:rPr>
          <w:sz w:val="24"/>
          <w:szCs w:val="24"/>
          <w:u w:val="single"/>
        </w:rPr>
        <w:t>Statistical analyses and models output</w:t>
      </w:r>
    </w:p>
    <w:p w:rsidR="00381B35" w:rsidRDefault="002E48AF">
      <w:pPr>
        <w:spacing w:line="360" w:lineRule="auto"/>
        <w:jc w:val="both"/>
        <w:rPr>
          <w:sz w:val="24"/>
          <w:szCs w:val="24"/>
        </w:rPr>
      </w:pPr>
      <w:r>
        <w:rPr>
          <w:sz w:val="24"/>
          <w:szCs w:val="24"/>
        </w:rPr>
        <w:t xml:space="preserve">We ran a series of Bayesian multi-level models in R </w:t>
      </w:r>
      <w:r w:rsidR="005C715A">
        <w:rPr>
          <w:sz w:val="24"/>
          <w:szCs w:val="24"/>
          <w:vertAlign w:val="superscript"/>
        </w:rPr>
        <w:t>3</w:t>
      </w:r>
      <w:r w:rsidR="00797206">
        <w:rPr>
          <w:sz w:val="24"/>
          <w:szCs w:val="24"/>
          <w:vertAlign w:val="superscript"/>
        </w:rPr>
        <w:t>2</w:t>
      </w:r>
      <w:r>
        <w:rPr>
          <w:sz w:val="24"/>
          <w:szCs w:val="24"/>
        </w:rPr>
        <w:t xml:space="preserve">.  Models were fitted using map2stan in the </w:t>
      </w:r>
      <w:r>
        <w:rPr>
          <w:i/>
          <w:sz w:val="24"/>
          <w:szCs w:val="24"/>
        </w:rPr>
        <w:t>rethinking</w:t>
      </w:r>
      <w:r>
        <w:rPr>
          <w:sz w:val="24"/>
          <w:szCs w:val="24"/>
        </w:rPr>
        <w:t xml:space="preserve"> package </w:t>
      </w:r>
      <w:r w:rsidR="005C715A">
        <w:rPr>
          <w:sz w:val="24"/>
          <w:szCs w:val="24"/>
          <w:vertAlign w:val="superscript"/>
        </w:rPr>
        <w:t>3</w:t>
      </w:r>
      <w:r w:rsidR="00797206">
        <w:rPr>
          <w:sz w:val="24"/>
          <w:szCs w:val="24"/>
          <w:vertAlign w:val="superscript"/>
        </w:rPr>
        <w:t>3</w:t>
      </w:r>
      <w:r>
        <w:rPr>
          <w:sz w:val="24"/>
          <w:szCs w:val="24"/>
        </w:rPr>
        <w:t xml:space="preserve"> and 95% credible intervals were used to make inferences. </w:t>
      </w:r>
    </w:p>
    <w:p w:rsidR="00381B35" w:rsidRDefault="002E48AF">
      <w:pPr>
        <w:spacing w:line="360" w:lineRule="auto"/>
        <w:jc w:val="both"/>
        <w:rPr>
          <w:i/>
          <w:sz w:val="24"/>
          <w:szCs w:val="24"/>
        </w:rPr>
      </w:pPr>
      <w:r>
        <w:rPr>
          <w:i/>
          <w:sz w:val="24"/>
          <w:szCs w:val="24"/>
        </w:rPr>
        <w:t>Analysis 1</w:t>
      </w:r>
    </w:p>
    <w:p w:rsidR="00381B35" w:rsidRDefault="002E48AF">
      <w:pPr>
        <w:spacing w:line="360" w:lineRule="auto"/>
        <w:jc w:val="both"/>
        <w:rPr>
          <w:sz w:val="24"/>
          <w:szCs w:val="24"/>
        </w:rPr>
      </w:pPr>
      <w:r>
        <w:rPr>
          <w:sz w:val="24"/>
          <w:szCs w:val="24"/>
        </w:rPr>
        <w:t xml:space="preserve">Preregistered analysis 1 investigated the average speed of wheels across generations in the Configurations treatment. Wheels that did not go down were attributed a speed of 0. Data were restricted to participants’ last two trials in order to limit the occurrence of wheels that did not descend in the dataset. We fitted a linear model with “Speed” as the outcome variable, “Trial”, “Generation” as predictor variables and “Player’s identity” and “Chain’s identity” as random effects (see </w:t>
      </w:r>
      <w:r w:rsidR="005F5EA5" w:rsidRPr="00BE283A">
        <w:rPr>
          <w:sz w:val="24"/>
          <w:szCs w:val="24"/>
        </w:rPr>
        <w:t xml:space="preserve">Supplementary Table </w:t>
      </w:r>
      <w:r w:rsidRPr="00BE283A">
        <w:rPr>
          <w:sz w:val="24"/>
          <w:szCs w:val="24"/>
        </w:rPr>
        <w:t>1 for model</w:t>
      </w:r>
      <w:r>
        <w:rPr>
          <w:sz w:val="24"/>
          <w:szCs w:val="24"/>
        </w:rPr>
        <w:t xml:space="preserve"> output). </w:t>
      </w:r>
    </w:p>
    <w:p w:rsidR="00381B35" w:rsidRDefault="002E48AF">
      <w:pPr>
        <w:spacing w:line="360" w:lineRule="auto"/>
        <w:jc w:val="both"/>
        <w:rPr>
          <w:i/>
          <w:sz w:val="24"/>
          <w:szCs w:val="24"/>
        </w:rPr>
      </w:pPr>
      <w:r>
        <w:rPr>
          <w:i/>
          <w:sz w:val="24"/>
          <w:szCs w:val="24"/>
        </w:rPr>
        <w:t>Analysis 2</w:t>
      </w:r>
    </w:p>
    <w:p w:rsidR="00381B35" w:rsidRDefault="002E48AF">
      <w:pPr>
        <w:spacing w:line="360" w:lineRule="auto"/>
        <w:jc w:val="both"/>
        <w:rPr>
          <w:sz w:val="24"/>
          <w:szCs w:val="24"/>
        </w:rPr>
      </w:pPr>
      <w:r>
        <w:rPr>
          <w:sz w:val="24"/>
          <w:szCs w:val="24"/>
        </w:rPr>
        <w:t xml:space="preserve">Preregistered analysis 2 investigated understanding across generations in the Configurations treatment. We fitted a linear model with “Score” as the outcome variable, “Generation” as a predictor variable and “Chain’s identity” as a random </w:t>
      </w:r>
      <w:r w:rsidRPr="00BE283A">
        <w:rPr>
          <w:sz w:val="24"/>
          <w:szCs w:val="24"/>
        </w:rPr>
        <w:t xml:space="preserve">effect (see </w:t>
      </w:r>
      <w:r w:rsidR="005F5EA5" w:rsidRPr="00BE283A">
        <w:rPr>
          <w:sz w:val="24"/>
          <w:szCs w:val="24"/>
        </w:rPr>
        <w:t>Supplementary Table 2</w:t>
      </w:r>
      <w:r w:rsidRPr="00BE283A">
        <w:rPr>
          <w:sz w:val="24"/>
          <w:szCs w:val="24"/>
        </w:rPr>
        <w:t xml:space="preserve"> for</w:t>
      </w:r>
      <w:r>
        <w:rPr>
          <w:sz w:val="24"/>
          <w:szCs w:val="24"/>
        </w:rPr>
        <w:t xml:space="preserve"> model output).</w:t>
      </w:r>
    </w:p>
    <w:p w:rsidR="00381B35" w:rsidRDefault="002E48AF">
      <w:pPr>
        <w:spacing w:line="360" w:lineRule="auto"/>
        <w:jc w:val="both"/>
        <w:rPr>
          <w:i/>
          <w:sz w:val="24"/>
          <w:szCs w:val="24"/>
        </w:rPr>
      </w:pPr>
      <w:r>
        <w:rPr>
          <w:i/>
          <w:sz w:val="24"/>
          <w:szCs w:val="24"/>
        </w:rPr>
        <w:t>Analysis 3</w:t>
      </w:r>
    </w:p>
    <w:p w:rsidR="00381B35" w:rsidRPr="00A9222A" w:rsidRDefault="002E48AF">
      <w:pPr>
        <w:spacing w:line="360" w:lineRule="auto"/>
        <w:jc w:val="both"/>
        <w:rPr>
          <w:sz w:val="24"/>
          <w:szCs w:val="24"/>
        </w:rPr>
      </w:pPr>
      <w:r>
        <w:rPr>
          <w:sz w:val="24"/>
          <w:szCs w:val="24"/>
        </w:rPr>
        <w:t>Preregistered analysis 3 compared the average speed of wheels across generations between treatments. Wheels that did not go down were attributed a speed of 0. Data were restricted to participants’ last two trials in order to limit the occurrence of wheels that did not descend in the dataset. We fitted a linear model with “Speed” as the outcome variable, “Trial”, “Generation”, “Treatment”, “Trial:Treatment” and “Generation:Treatment” as predictor variables and “Player’s identity” and “Chain’s identity” as random effects (</w:t>
      </w:r>
      <w:r w:rsidRPr="00BE283A">
        <w:rPr>
          <w:sz w:val="24"/>
          <w:szCs w:val="24"/>
        </w:rPr>
        <w:t xml:space="preserve">see </w:t>
      </w:r>
      <w:r w:rsidR="005F5EA5" w:rsidRPr="00BE283A">
        <w:rPr>
          <w:sz w:val="24"/>
          <w:szCs w:val="24"/>
        </w:rPr>
        <w:t>Supplementary Table 3</w:t>
      </w:r>
      <w:r w:rsidRPr="00BE283A">
        <w:rPr>
          <w:sz w:val="24"/>
          <w:szCs w:val="24"/>
        </w:rPr>
        <w:t xml:space="preserve"> for model</w:t>
      </w:r>
      <w:r>
        <w:rPr>
          <w:sz w:val="24"/>
          <w:szCs w:val="24"/>
        </w:rPr>
        <w:t xml:space="preserve"> output). For this model, the chains were inefficient and the effective number of samples for </w:t>
      </w:r>
      <w:r w:rsidR="00AA2FE7">
        <w:rPr>
          <w:iCs/>
          <w:sz w:val="24"/>
          <w:szCs w:val="24"/>
        </w:rPr>
        <w:t>one</w:t>
      </w:r>
      <w:r>
        <w:rPr>
          <w:iCs/>
          <w:sz w:val="24"/>
          <w:szCs w:val="24"/>
        </w:rPr>
        <w:t xml:space="preserve"> parameter </w:t>
      </w:r>
      <w:r>
        <w:rPr>
          <w:sz w:val="24"/>
          <w:szCs w:val="24"/>
        </w:rPr>
        <w:t xml:space="preserve">was </w:t>
      </w:r>
      <w:r w:rsidRPr="00BE283A">
        <w:rPr>
          <w:sz w:val="24"/>
          <w:szCs w:val="24"/>
        </w:rPr>
        <w:t>low (</w:t>
      </w:r>
      <w:r w:rsidR="006836B5">
        <w:rPr>
          <w:sz w:val="24"/>
          <w:szCs w:val="24"/>
        </w:rPr>
        <w:t xml:space="preserve">see </w:t>
      </w:r>
      <w:r w:rsidR="005F5EA5" w:rsidRPr="00BE283A">
        <w:rPr>
          <w:sz w:val="24"/>
          <w:szCs w:val="24"/>
        </w:rPr>
        <w:t>Supplementary Table 3</w:t>
      </w:r>
      <w:r w:rsidRPr="00BE283A">
        <w:rPr>
          <w:sz w:val="24"/>
          <w:szCs w:val="24"/>
        </w:rPr>
        <w:t>). The</w:t>
      </w:r>
      <w:r>
        <w:rPr>
          <w:sz w:val="24"/>
          <w:szCs w:val="24"/>
        </w:rPr>
        <w:t xml:space="preserve"> robustness of the model estimates was checked by </w:t>
      </w:r>
      <w:r>
        <w:rPr>
          <w:sz w:val="24"/>
          <w:szCs w:val="24"/>
        </w:rPr>
        <w:lastRenderedPageBreak/>
        <w:t xml:space="preserve">running additional models (see </w:t>
      </w:r>
      <w:r w:rsidRPr="00A9222A">
        <w:rPr>
          <w:sz w:val="24"/>
          <w:szCs w:val="24"/>
        </w:rPr>
        <w:t>below). Additional models with more efficient sampling confirmed the reported results (</w:t>
      </w:r>
      <w:r w:rsidR="00A9222A" w:rsidRPr="00A9222A">
        <w:rPr>
          <w:sz w:val="24"/>
          <w:szCs w:val="24"/>
        </w:rPr>
        <w:t xml:space="preserve">Supplementary Tables 4 and 5 and </w:t>
      </w:r>
      <w:r w:rsidR="006836B5" w:rsidRPr="00A9222A">
        <w:rPr>
          <w:sz w:val="24"/>
          <w:szCs w:val="24"/>
        </w:rPr>
        <w:t xml:space="preserve">Supplementary Figure </w:t>
      </w:r>
      <w:r w:rsidR="00A9222A" w:rsidRPr="00A9222A">
        <w:rPr>
          <w:sz w:val="24"/>
          <w:szCs w:val="24"/>
        </w:rPr>
        <w:t>8</w:t>
      </w:r>
      <w:r w:rsidRPr="00A9222A">
        <w:rPr>
          <w:sz w:val="24"/>
          <w:szCs w:val="24"/>
        </w:rPr>
        <w:t xml:space="preserve">). </w:t>
      </w:r>
    </w:p>
    <w:p w:rsidR="00381B35" w:rsidRPr="00A9222A" w:rsidRDefault="002E48AF">
      <w:pPr>
        <w:spacing w:line="360" w:lineRule="auto"/>
        <w:jc w:val="both"/>
        <w:rPr>
          <w:i/>
          <w:sz w:val="24"/>
          <w:szCs w:val="24"/>
        </w:rPr>
      </w:pPr>
      <w:r w:rsidRPr="00A9222A">
        <w:rPr>
          <w:i/>
          <w:sz w:val="24"/>
          <w:szCs w:val="24"/>
        </w:rPr>
        <w:t>Analysis 4</w:t>
      </w:r>
    </w:p>
    <w:p w:rsidR="00381B35" w:rsidRPr="00A9222A" w:rsidRDefault="002E48AF">
      <w:pPr>
        <w:spacing w:line="360" w:lineRule="auto"/>
        <w:jc w:val="both"/>
        <w:rPr>
          <w:sz w:val="24"/>
          <w:szCs w:val="24"/>
        </w:rPr>
      </w:pPr>
      <w:r w:rsidRPr="00A9222A">
        <w:rPr>
          <w:sz w:val="24"/>
          <w:szCs w:val="24"/>
        </w:rPr>
        <w:t xml:space="preserve">Preregistered analysis 4 compared understanding across generations between treatments. We fitted a linear model with “Score” as the outcome variable, “Generation”, “Treatment” and “Generation:Treatment” as predictor variables and “Chain’s identity” as a random effect (see </w:t>
      </w:r>
      <w:r w:rsidR="005F5EA5" w:rsidRPr="00A9222A">
        <w:rPr>
          <w:sz w:val="24"/>
          <w:szCs w:val="24"/>
        </w:rPr>
        <w:t xml:space="preserve">Supplementary Table </w:t>
      </w:r>
      <w:r w:rsidR="001A5F63" w:rsidRPr="00A9222A">
        <w:rPr>
          <w:sz w:val="24"/>
          <w:szCs w:val="24"/>
        </w:rPr>
        <w:t>6</w:t>
      </w:r>
      <w:r w:rsidRPr="00A9222A">
        <w:rPr>
          <w:sz w:val="24"/>
          <w:szCs w:val="24"/>
        </w:rPr>
        <w:t xml:space="preserve"> for model output).</w:t>
      </w:r>
    </w:p>
    <w:p w:rsidR="00381B35" w:rsidRPr="00A9222A" w:rsidRDefault="002E48AF">
      <w:pPr>
        <w:spacing w:line="360" w:lineRule="auto"/>
        <w:jc w:val="both"/>
        <w:rPr>
          <w:b/>
          <w:sz w:val="24"/>
          <w:szCs w:val="24"/>
        </w:rPr>
      </w:pPr>
      <w:r w:rsidRPr="00A9222A">
        <w:rPr>
          <w:i/>
          <w:sz w:val="24"/>
          <w:szCs w:val="24"/>
        </w:rPr>
        <w:t>Deviation from preregistered analyses</w:t>
      </w:r>
    </w:p>
    <w:p w:rsidR="00381B35" w:rsidRDefault="002E48AF">
      <w:pPr>
        <w:pStyle w:val="SMText"/>
        <w:spacing w:line="360" w:lineRule="auto"/>
        <w:ind w:firstLine="0"/>
        <w:jc w:val="both"/>
        <w:rPr>
          <w:szCs w:val="24"/>
          <w:lang w:val="en-GB"/>
        </w:rPr>
      </w:pPr>
      <w:r w:rsidRPr="00A9222A">
        <w:rPr>
          <w:szCs w:val="24"/>
          <w:lang w:val="en-GB"/>
        </w:rPr>
        <w:t xml:space="preserve">In preregistered analysis 4, </w:t>
      </w:r>
      <w:r w:rsidRPr="00A9222A">
        <w:rPr>
          <w:szCs w:val="24"/>
        </w:rPr>
        <w:t xml:space="preserve">the outcome variable was “Score” and each participant was associated with 2 values in the dataset: one score for inertia, the other for </w:t>
      </w:r>
      <w:r w:rsidR="00573B32">
        <w:rPr>
          <w:szCs w:val="24"/>
        </w:rPr>
        <w:t>centre</w:t>
      </w:r>
      <w:r w:rsidR="0061602E">
        <w:rPr>
          <w:szCs w:val="24"/>
        </w:rPr>
        <w:t xml:space="preserve"> of mass</w:t>
      </w:r>
      <w:r w:rsidRPr="00A9222A">
        <w:rPr>
          <w:szCs w:val="24"/>
        </w:rPr>
        <w:t xml:space="preserve">. As compared to the analysis we ran, the preregistered model included </w:t>
      </w:r>
      <w:r w:rsidRPr="00A9222A">
        <w:rPr>
          <w:szCs w:val="24"/>
          <w:lang w:val="en-GB"/>
        </w:rPr>
        <w:t xml:space="preserve">“Physical Principle” and “Physical Principle: Treatment” as predictor variables </w:t>
      </w:r>
      <w:r w:rsidRPr="00A9222A">
        <w:rPr>
          <w:szCs w:val="24"/>
        </w:rPr>
        <w:t xml:space="preserve">and “Player’s identity” as random effect. However, analyses revealed that understanding scores about inertia and </w:t>
      </w:r>
      <w:r w:rsidR="00573B32">
        <w:rPr>
          <w:szCs w:val="24"/>
        </w:rPr>
        <w:t>centre</w:t>
      </w:r>
      <w:r w:rsidR="0061602E">
        <w:rPr>
          <w:szCs w:val="24"/>
        </w:rPr>
        <w:t xml:space="preserve"> of mass</w:t>
      </w:r>
      <w:r w:rsidR="0061602E" w:rsidRPr="00A9222A">
        <w:rPr>
          <w:szCs w:val="24"/>
        </w:rPr>
        <w:t xml:space="preserve"> </w:t>
      </w:r>
      <w:r w:rsidRPr="00A9222A">
        <w:rPr>
          <w:szCs w:val="24"/>
        </w:rPr>
        <w:t>were negatively correlated (</w:t>
      </w:r>
      <w:r w:rsidR="005F5EA5" w:rsidRPr="00A9222A">
        <w:rPr>
          <w:szCs w:val="24"/>
        </w:rPr>
        <w:t xml:space="preserve">Supplementary Figure </w:t>
      </w:r>
      <w:r w:rsidR="00A9222A" w:rsidRPr="00A9222A">
        <w:rPr>
          <w:szCs w:val="24"/>
        </w:rPr>
        <w:t>9</w:t>
      </w:r>
      <w:r w:rsidRPr="00A9222A">
        <w:rPr>
          <w:szCs w:val="24"/>
        </w:rPr>
        <w:t xml:space="preserve"> and </w:t>
      </w:r>
      <w:r w:rsidR="005F5EA5" w:rsidRPr="00A9222A">
        <w:rPr>
          <w:szCs w:val="24"/>
        </w:rPr>
        <w:t xml:space="preserve">Supplementary </w:t>
      </w:r>
      <w:r w:rsidRPr="00A9222A">
        <w:rPr>
          <w:szCs w:val="24"/>
        </w:rPr>
        <w:t xml:space="preserve">Table 7) and some individuals better understood inertia than </w:t>
      </w:r>
      <w:r w:rsidR="00573B32">
        <w:rPr>
          <w:szCs w:val="24"/>
        </w:rPr>
        <w:t>centre</w:t>
      </w:r>
      <w:r w:rsidR="0061602E">
        <w:rPr>
          <w:szCs w:val="24"/>
        </w:rPr>
        <w:t xml:space="preserve"> of mass</w:t>
      </w:r>
      <w:r w:rsidR="0061602E" w:rsidRPr="00A9222A">
        <w:rPr>
          <w:szCs w:val="24"/>
        </w:rPr>
        <w:t xml:space="preserve"> </w:t>
      </w:r>
      <w:r w:rsidRPr="00A9222A">
        <w:rPr>
          <w:szCs w:val="24"/>
        </w:rPr>
        <w:t xml:space="preserve">while others better understood </w:t>
      </w:r>
      <w:r w:rsidR="00573B32">
        <w:rPr>
          <w:szCs w:val="24"/>
        </w:rPr>
        <w:t>centre</w:t>
      </w:r>
      <w:r w:rsidR="0061602E">
        <w:rPr>
          <w:szCs w:val="24"/>
        </w:rPr>
        <w:t xml:space="preserve"> of mass</w:t>
      </w:r>
      <w:r w:rsidR="0061602E" w:rsidRPr="00A9222A">
        <w:rPr>
          <w:szCs w:val="24"/>
        </w:rPr>
        <w:t xml:space="preserve"> </w:t>
      </w:r>
      <w:r w:rsidRPr="00A9222A">
        <w:rPr>
          <w:szCs w:val="24"/>
        </w:rPr>
        <w:t>than inertia (Fig</w:t>
      </w:r>
      <w:r w:rsidR="001A5F63" w:rsidRPr="00A9222A">
        <w:rPr>
          <w:szCs w:val="24"/>
        </w:rPr>
        <w:t>ure</w:t>
      </w:r>
      <w:r w:rsidRPr="00A9222A">
        <w:rPr>
          <w:szCs w:val="24"/>
        </w:rPr>
        <w:t xml:space="preserve"> 3I and S</w:t>
      </w:r>
      <w:r w:rsidR="001A5F63" w:rsidRPr="00A9222A">
        <w:rPr>
          <w:szCs w:val="24"/>
        </w:rPr>
        <w:t xml:space="preserve">upplementary Figure </w:t>
      </w:r>
      <w:r w:rsidR="00A9222A" w:rsidRPr="00A9222A">
        <w:rPr>
          <w:szCs w:val="24"/>
        </w:rPr>
        <w:t>2</w:t>
      </w:r>
      <w:r w:rsidRPr="00A9222A">
        <w:rPr>
          <w:szCs w:val="24"/>
        </w:rPr>
        <w:t xml:space="preserve">). As a result, the preregistered model did not converge so we ran our analysis on aggregated score and removed the terms associated the variable </w:t>
      </w:r>
      <w:r w:rsidRPr="00A9222A">
        <w:rPr>
          <w:szCs w:val="24"/>
          <w:lang w:val="en-GB"/>
        </w:rPr>
        <w:t>“Physical Principle” in the reported model.</w:t>
      </w:r>
    </w:p>
    <w:p w:rsidR="001474BE" w:rsidRDefault="001474BE">
      <w:pPr>
        <w:pStyle w:val="SMText"/>
        <w:spacing w:line="360" w:lineRule="auto"/>
        <w:ind w:firstLine="0"/>
        <w:jc w:val="both"/>
        <w:rPr>
          <w:szCs w:val="24"/>
          <w:lang w:val="en-GB"/>
        </w:rPr>
      </w:pPr>
      <w:r>
        <w:t>Data analyses were not performed blind to the conditions of the experiments.</w:t>
      </w:r>
      <w:r w:rsidR="002D1330">
        <w:t xml:space="preserve"> No data points were excluded from the analyses. </w:t>
      </w:r>
    </w:p>
    <w:p w:rsidR="001474BE" w:rsidRDefault="001474BE" w:rsidP="001474BE">
      <w:pPr>
        <w:spacing w:line="360" w:lineRule="auto"/>
        <w:jc w:val="both"/>
        <w:rPr>
          <w:sz w:val="24"/>
          <w:szCs w:val="24"/>
          <w:u w:val="single"/>
        </w:rPr>
      </w:pPr>
      <w:r w:rsidRPr="00145264">
        <w:rPr>
          <w:sz w:val="24"/>
          <w:szCs w:val="24"/>
          <w:u w:val="single"/>
        </w:rPr>
        <w:t>Pre</w:t>
      </w:r>
      <w:r>
        <w:rPr>
          <w:sz w:val="24"/>
          <w:szCs w:val="24"/>
          <w:u w:val="single"/>
        </w:rPr>
        <w:t>-</w:t>
      </w:r>
      <w:r w:rsidRPr="00145264">
        <w:rPr>
          <w:sz w:val="24"/>
          <w:szCs w:val="24"/>
          <w:u w:val="single"/>
        </w:rPr>
        <w:t>registration</w:t>
      </w:r>
    </w:p>
    <w:p w:rsidR="001474BE" w:rsidRDefault="001474BE" w:rsidP="001474BE">
      <w:pPr>
        <w:spacing w:line="360" w:lineRule="auto"/>
        <w:jc w:val="both"/>
        <w:rPr>
          <w:sz w:val="24"/>
          <w:szCs w:val="24"/>
        </w:rPr>
      </w:pPr>
      <w:r w:rsidRPr="008E0C4C">
        <w:rPr>
          <w:sz w:val="24"/>
          <w:szCs w:val="24"/>
        </w:rPr>
        <w:t>The study was pre</w:t>
      </w:r>
      <w:r>
        <w:rPr>
          <w:sz w:val="24"/>
          <w:szCs w:val="24"/>
        </w:rPr>
        <w:t>-</w:t>
      </w:r>
      <w:r w:rsidRPr="008E0C4C">
        <w:rPr>
          <w:sz w:val="24"/>
          <w:szCs w:val="24"/>
        </w:rPr>
        <w:t>registered</w:t>
      </w:r>
      <w:r>
        <w:rPr>
          <w:sz w:val="24"/>
          <w:szCs w:val="24"/>
        </w:rPr>
        <w:t xml:space="preserve"> (https://osf.io/ge7cs). Pre-registration of the study design, hypotheses and analysis plan</w:t>
      </w:r>
      <w:r w:rsidRPr="008E0C4C">
        <w:rPr>
          <w:sz w:val="24"/>
          <w:szCs w:val="24"/>
        </w:rPr>
        <w:t xml:space="preserve"> </w:t>
      </w:r>
      <w:r>
        <w:rPr>
          <w:sz w:val="24"/>
          <w:szCs w:val="24"/>
        </w:rPr>
        <w:t xml:space="preserve">took place before any data were collected. </w:t>
      </w:r>
    </w:p>
    <w:p w:rsidR="00381B35" w:rsidRDefault="00F62705">
      <w:pPr>
        <w:pStyle w:val="Teaser"/>
        <w:rPr>
          <w:b/>
        </w:rPr>
      </w:pPr>
      <w:r w:rsidRPr="00F62705">
        <w:rPr>
          <w:b/>
        </w:rPr>
        <w:t>Data availability</w:t>
      </w:r>
    </w:p>
    <w:p w:rsidR="00F62705" w:rsidRDefault="00F62705" w:rsidP="00F62705">
      <w:pPr>
        <w:pStyle w:val="Teaser"/>
        <w:rPr>
          <w:rStyle w:val="Strong"/>
          <w:b w:val="0"/>
        </w:rPr>
      </w:pPr>
      <w:r>
        <w:t xml:space="preserve">The data that support the findings of this study are available at </w:t>
      </w:r>
      <w:hyperlink r:id="rId12" w:history="1">
        <w:r>
          <w:rPr>
            <w:rStyle w:val="Hyperlink"/>
          </w:rPr>
          <w:t>osf.io/afwmr</w:t>
        </w:r>
      </w:hyperlink>
      <w:r>
        <w:rPr>
          <w:rStyle w:val="Strong"/>
          <w:b w:val="0"/>
        </w:rPr>
        <w:t>.</w:t>
      </w:r>
    </w:p>
    <w:p w:rsidR="00F62705" w:rsidRDefault="00F62705" w:rsidP="00F62705">
      <w:pPr>
        <w:pStyle w:val="Teaser"/>
        <w:rPr>
          <w:b/>
        </w:rPr>
      </w:pPr>
      <w:r>
        <w:rPr>
          <w:b/>
        </w:rPr>
        <w:t>Code</w:t>
      </w:r>
      <w:r w:rsidRPr="00F62705">
        <w:rPr>
          <w:b/>
        </w:rPr>
        <w:t xml:space="preserve"> availability</w:t>
      </w:r>
    </w:p>
    <w:p w:rsidR="00F62705" w:rsidRDefault="00F62705" w:rsidP="00F62705">
      <w:pPr>
        <w:pStyle w:val="Teaser"/>
      </w:pPr>
      <w:r w:rsidRPr="00F62705">
        <w:rPr>
          <w:rStyle w:val="Emphasis"/>
          <w:i w:val="0"/>
        </w:rPr>
        <w:t>Codes used in this paper are ava</w:t>
      </w:r>
      <w:r>
        <w:rPr>
          <w:rStyle w:val="Emphasis"/>
          <w:i w:val="0"/>
        </w:rPr>
        <w:t xml:space="preserve">ilable at </w:t>
      </w:r>
      <w:hyperlink r:id="rId13" w:history="1">
        <w:r>
          <w:rPr>
            <w:rStyle w:val="Hyperlink"/>
          </w:rPr>
          <w:t>osf.io/afwmr</w:t>
        </w:r>
      </w:hyperlink>
      <w:r>
        <w:rPr>
          <w:rStyle w:val="m1936852336954316248gmail-scripted"/>
        </w:rPr>
        <w:t>.</w:t>
      </w:r>
    </w:p>
    <w:p w:rsidR="007F348D" w:rsidRPr="005461D0" w:rsidRDefault="002E48AF" w:rsidP="007F348D">
      <w:pPr>
        <w:pStyle w:val="Legend"/>
        <w:rPr>
          <w:b/>
        </w:rPr>
      </w:pPr>
      <w:r w:rsidRPr="005461D0">
        <w:rPr>
          <w:b/>
        </w:rPr>
        <w:t>References:</w:t>
      </w:r>
      <w:r w:rsidRPr="005461D0">
        <w:rPr>
          <w:b/>
          <w:color w:val="00000A"/>
          <w:u w:color="00000A"/>
        </w:rPr>
        <w:t xml:space="preserve"> </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Pr="0002298C">
        <w:rPr>
          <w:kern w:val="2"/>
          <w:sz w:val="24"/>
          <w:szCs w:val="24"/>
        </w:rPr>
        <w:tab/>
        <w:t xml:space="preserve">Henrich, J. </w:t>
      </w:r>
      <w:r w:rsidRPr="0002298C">
        <w:rPr>
          <w:i/>
          <w:kern w:val="2"/>
          <w:sz w:val="24"/>
          <w:szCs w:val="24"/>
        </w:rPr>
        <w:t>The secret of our success: how culture is driving human evolution, domesticating our species, and making us smarter</w:t>
      </w:r>
      <w:r w:rsidRPr="0002298C">
        <w:rPr>
          <w:kern w:val="2"/>
          <w:sz w:val="24"/>
          <w:szCs w:val="24"/>
        </w:rPr>
        <w:t>.  (Princeton University Press, 2015).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Pr="0002298C">
        <w:rPr>
          <w:kern w:val="2"/>
          <w:sz w:val="24"/>
          <w:szCs w:val="24"/>
        </w:rPr>
        <w:tab/>
        <w:t xml:space="preserve">Richerson, P. J. &amp; Boyd, R. </w:t>
      </w:r>
      <w:r w:rsidRPr="0002298C">
        <w:rPr>
          <w:i/>
          <w:kern w:val="2"/>
          <w:sz w:val="24"/>
          <w:szCs w:val="24"/>
        </w:rPr>
        <w:t>Not by genes alone</w:t>
      </w:r>
      <w:r w:rsidRPr="0002298C">
        <w:rPr>
          <w:kern w:val="2"/>
          <w:sz w:val="24"/>
          <w:szCs w:val="24"/>
        </w:rPr>
        <w:t>.  (University of Chicago Press, 2005).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lastRenderedPageBreak/>
        <w:t>3</w:t>
      </w:r>
      <w:r w:rsidRPr="0002298C">
        <w:rPr>
          <w:kern w:val="2"/>
          <w:sz w:val="24"/>
          <w:szCs w:val="24"/>
        </w:rPr>
        <w:tab/>
        <w:t xml:space="preserve">Povinelli, D. J. </w:t>
      </w:r>
      <w:r w:rsidRPr="0002298C">
        <w:rPr>
          <w:i/>
          <w:kern w:val="2"/>
          <w:sz w:val="24"/>
          <w:szCs w:val="24"/>
        </w:rPr>
        <w:t>World Without Weight: Perspectives on an Alien Mind</w:t>
      </w:r>
      <w:r w:rsidRPr="0002298C">
        <w:rPr>
          <w:kern w:val="2"/>
          <w:sz w:val="24"/>
          <w:szCs w:val="24"/>
        </w:rPr>
        <w:t>.  (Oxford University Press, 2011).</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4</w:t>
      </w:r>
      <w:r w:rsidRPr="0002298C">
        <w:rPr>
          <w:kern w:val="2"/>
          <w:sz w:val="24"/>
          <w:szCs w:val="24"/>
        </w:rPr>
        <w:tab/>
        <w:t xml:space="preserve">Reader, S. M. &amp; Laland, K. N. Social intelligence, innovation, and enhanced brain size in primates. </w:t>
      </w:r>
      <w:r>
        <w:rPr>
          <w:i/>
          <w:color w:val="00000A"/>
          <w:sz w:val="24"/>
          <w:szCs w:val="24"/>
          <w:u w:color="00000A"/>
        </w:rPr>
        <w:t>Proc. Natl. Acad. Sci. U.S.A</w:t>
      </w:r>
      <w:r w:rsidRPr="0002298C">
        <w:rPr>
          <w:kern w:val="2"/>
          <w:sz w:val="24"/>
          <w:szCs w:val="24"/>
        </w:rPr>
        <w:t xml:space="preserve"> </w:t>
      </w:r>
      <w:r w:rsidRPr="0002298C">
        <w:rPr>
          <w:b/>
          <w:kern w:val="2"/>
          <w:sz w:val="24"/>
          <w:szCs w:val="24"/>
        </w:rPr>
        <w:t>99</w:t>
      </w:r>
      <w:r w:rsidRPr="0002298C">
        <w:rPr>
          <w:kern w:val="2"/>
          <w:sz w:val="24"/>
          <w:szCs w:val="24"/>
        </w:rPr>
        <w:t>, 4436-4441, doi:10.1073/pnas.062041299 (2002).</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5</w:t>
      </w:r>
      <w:r w:rsidRPr="0002298C">
        <w:rPr>
          <w:kern w:val="2"/>
          <w:sz w:val="24"/>
          <w:szCs w:val="24"/>
        </w:rPr>
        <w:tab/>
        <w:t xml:space="preserve">Pinker, S. The cognitive niche: Coevolution of intelligence, sociality, and language. </w:t>
      </w:r>
      <w:r>
        <w:rPr>
          <w:i/>
          <w:color w:val="00000A"/>
          <w:sz w:val="24"/>
          <w:szCs w:val="24"/>
          <w:u w:color="00000A"/>
        </w:rPr>
        <w:t>Proc. Natl. Acad. Sci. U.S.A</w:t>
      </w:r>
      <w:r w:rsidRPr="0002298C">
        <w:rPr>
          <w:kern w:val="2"/>
          <w:sz w:val="24"/>
          <w:szCs w:val="24"/>
        </w:rPr>
        <w:t xml:space="preserve"> </w:t>
      </w:r>
      <w:r w:rsidRPr="0002298C">
        <w:rPr>
          <w:b/>
          <w:kern w:val="2"/>
          <w:sz w:val="24"/>
          <w:szCs w:val="24"/>
        </w:rPr>
        <w:t>107</w:t>
      </w:r>
      <w:r w:rsidRPr="0002298C">
        <w:rPr>
          <w:kern w:val="2"/>
          <w:sz w:val="24"/>
          <w:szCs w:val="24"/>
        </w:rPr>
        <w:t>, 8993-8999 doi:10.1073/pnas.0914630107 (2010).</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6</w:t>
      </w:r>
      <w:r w:rsidRPr="0002298C">
        <w:rPr>
          <w:kern w:val="2"/>
          <w:sz w:val="24"/>
          <w:szCs w:val="24"/>
        </w:rPr>
        <w:tab/>
        <w:t xml:space="preserve">Barrett, H. C., Cosmides, L. &amp; Tooby, J. The hominid entry into the cognitive niche. </w:t>
      </w:r>
      <w:r w:rsidRPr="0002298C">
        <w:rPr>
          <w:i/>
          <w:kern w:val="2"/>
          <w:sz w:val="24"/>
          <w:szCs w:val="24"/>
        </w:rPr>
        <w:t>Evolution of mind, fundamental questions and controversies</w:t>
      </w:r>
      <w:r w:rsidRPr="0002298C">
        <w:rPr>
          <w:kern w:val="2"/>
          <w:sz w:val="24"/>
          <w:szCs w:val="24"/>
        </w:rPr>
        <w:t>, 241-248 (2007).</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7</w:t>
      </w:r>
      <w:r w:rsidRPr="0002298C">
        <w:rPr>
          <w:kern w:val="2"/>
          <w:sz w:val="24"/>
          <w:szCs w:val="24"/>
        </w:rPr>
        <w:tab/>
        <w:t>Bingham, P</w:t>
      </w:r>
      <w:r w:rsidRPr="0070135B">
        <w:rPr>
          <w:kern w:val="2"/>
          <w:sz w:val="24"/>
          <w:szCs w:val="24"/>
        </w:rPr>
        <w:t>. M. Human Uniqueness</w:t>
      </w:r>
      <w:r w:rsidRPr="0002298C">
        <w:rPr>
          <w:kern w:val="2"/>
          <w:sz w:val="24"/>
          <w:szCs w:val="24"/>
        </w:rPr>
        <w:t xml:space="preserve">: A General Theory. </w:t>
      </w:r>
      <w:r w:rsidRPr="0002298C">
        <w:rPr>
          <w:i/>
          <w:kern w:val="2"/>
          <w:sz w:val="24"/>
          <w:szCs w:val="24"/>
        </w:rPr>
        <w:t>Q</w:t>
      </w:r>
      <w:r>
        <w:rPr>
          <w:i/>
          <w:kern w:val="2"/>
          <w:sz w:val="24"/>
          <w:szCs w:val="24"/>
        </w:rPr>
        <w:t xml:space="preserve">. </w:t>
      </w:r>
      <w:r w:rsidRPr="0002298C">
        <w:rPr>
          <w:i/>
          <w:kern w:val="2"/>
          <w:sz w:val="24"/>
          <w:szCs w:val="24"/>
        </w:rPr>
        <w:t>Rev</w:t>
      </w:r>
      <w:r>
        <w:rPr>
          <w:i/>
          <w:kern w:val="2"/>
          <w:sz w:val="24"/>
          <w:szCs w:val="24"/>
        </w:rPr>
        <w:t xml:space="preserve">. </w:t>
      </w:r>
      <w:r w:rsidRPr="0002298C">
        <w:rPr>
          <w:i/>
          <w:kern w:val="2"/>
          <w:sz w:val="24"/>
          <w:szCs w:val="24"/>
        </w:rPr>
        <w:t>Biol</w:t>
      </w:r>
      <w:r>
        <w:rPr>
          <w:i/>
          <w:kern w:val="2"/>
          <w:sz w:val="24"/>
          <w:szCs w:val="24"/>
        </w:rPr>
        <w:t>.</w:t>
      </w:r>
      <w:r w:rsidRPr="0002298C">
        <w:rPr>
          <w:kern w:val="2"/>
          <w:sz w:val="24"/>
          <w:szCs w:val="24"/>
        </w:rPr>
        <w:t xml:space="preserve"> </w:t>
      </w:r>
      <w:r w:rsidRPr="0002298C">
        <w:rPr>
          <w:b/>
          <w:kern w:val="2"/>
          <w:sz w:val="24"/>
          <w:szCs w:val="24"/>
        </w:rPr>
        <w:t>74</w:t>
      </w:r>
      <w:r w:rsidRPr="0002298C">
        <w:rPr>
          <w:kern w:val="2"/>
          <w:sz w:val="24"/>
          <w:szCs w:val="24"/>
        </w:rPr>
        <w:t>, 133-169 (1999).</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8</w:t>
      </w:r>
      <w:r w:rsidRPr="0002298C">
        <w:rPr>
          <w:kern w:val="2"/>
          <w:sz w:val="24"/>
          <w:szCs w:val="24"/>
        </w:rPr>
        <w:tab/>
        <w:t xml:space="preserve">Boyd, R., Richerson, P. J. &amp; Henrich, J. The cultural evolution of technology: facts and theories. </w:t>
      </w:r>
      <w:r w:rsidRPr="0002298C">
        <w:rPr>
          <w:i/>
          <w:kern w:val="2"/>
          <w:sz w:val="24"/>
          <w:szCs w:val="24"/>
        </w:rPr>
        <w:t>Cultural evolution: society, technology, language, and religion</w:t>
      </w:r>
      <w:r w:rsidRPr="0002298C">
        <w:rPr>
          <w:kern w:val="2"/>
          <w:sz w:val="24"/>
          <w:szCs w:val="24"/>
        </w:rPr>
        <w:t>, 119-142 (2013).</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9</w:t>
      </w:r>
      <w:r w:rsidRPr="0002298C">
        <w:rPr>
          <w:kern w:val="2"/>
          <w:sz w:val="24"/>
          <w:szCs w:val="24"/>
        </w:rPr>
        <w:tab/>
        <w:t xml:space="preserve">Boyd, R., Richerson, P. J. &amp; Henrich, J. The cultural niche: Why social learning is essential for human adaptation. </w:t>
      </w:r>
      <w:r w:rsidRPr="0002298C">
        <w:rPr>
          <w:i/>
          <w:kern w:val="2"/>
          <w:sz w:val="24"/>
          <w:szCs w:val="24"/>
        </w:rPr>
        <w:t>Proc. Natl. Acad. Sci. U. S. A.</w:t>
      </w:r>
      <w:r w:rsidRPr="0002298C">
        <w:rPr>
          <w:kern w:val="2"/>
          <w:sz w:val="24"/>
          <w:szCs w:val="24"/>
        </w:rPr>
        <w:t xml:space="preserve"> </w:t>
      </w:r>
      <w:r w:rsidRPr="0002298C">
        <w:rPr>
          <w:b/>
          <w:kern w:val="2"/>
          <w:sz w:val="24"/>
          <w:szCs w:val="24"/>
        </w:rPr>
        <w:t>108</w:t>
      </w:r>
      <w:r w:rsidRPr="0002298C">
        <w:rPr>
          <w:kern w:val="2"/>
          <w:sz w:val="24"/>
          <w:szCs w:val="24"/>
        </w:rPr>
        <w:t>, 10918-10925 (2011).</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10</w:t>
      </w:r>
      <w:r w:rsidRPr="0002298C">
        <w:rPr>
          <w:kern w:val="2"/>
          <w:sz w:val="24"/>
          <w:szCs w:val="24"/>
        </w:rPr>
        <w:tab/>
        <w:t xml:space="preserve">Kyriacou, A. &amp; Bruner, E. Innovation and the Evolution of Human Behavior Brain Evolution, Innovation, and Endocranial Variations in Fossil Hominids. </w:t>
      </w:r>
      <w:r w:rsidRPr="0002298C">
        <w:rPr>
          <w:i/>
          <w:kern w:val="2"/>
          <w:sz w:val="24"/>
          <w:szCs w:val="24"/>
        </w:rPr>
        <w:t>PaleoAnthropology</w:t>
      </w:r>
      <w:r w:rsidRPr="0002298C">
        <w:rPr>
          <w:kern w:val="2"/>
          <w:sz w:val="24"/>
          <w:szCs w:val="24"/>
        </w:rPr>
        <w:t xml:space="preserve"> </w:t>
      </w:r>
      <w:r w:rsidRPr="0002298C">
        <w:rPr>
          <w:b/>
          <w:kern w:val="2"/>
          <w:sz w:val="24"/>
          <w:szCs w:val="24"/>
        </w:rPr>
        <w:t>2011</w:t>
      </w:r>
      <w:r w:rsidRPr="0002298C">
        <w:rPr>
          <w:kern w:val="2"/>
          <w:sz w:val="24"/>
          <w:szCs w:val="24"/>
        </w:rPr>
        <w:t>, 130-143 (2011).</w:t>
      </w:r>
    </w:p>
    <w:p w:rsidR="007F348D" w:rsidRDefault="007F348D" w:rsidP="007F348D">
      <w:pPr>
        <w:autoSpaceDE w:val="0"/>
        <w:autoSpaceDN w:val="0"/>
        <w:adjustRightInd w:val="0"/>
        <w:ind w:left="720" w:hanging="720"/>
        <w:rPr>
          <w:kern w:val="2"/>
          <w:sz w:val="24"/>
          <w:szCs w:val="24"/>
        </w:rPr>
      </w:pPr>
      <w:r w:rsidRPr="0002298C">
        <w:rPr>
          <w:kern w:val="2"/>
          <w:sz w:val="24"/>
          <w:szCs w:val="24"/>
        </w:rPr>
        <w:t>11</w:t>
      </w:r>
      <w:r w:rsidRPr="0002298C">
        <w:rPr>
          <w:kern w:val="2"/>
          <w:sz w:val="24"/>
          <w:szCs w:val="24"/>
        </w:rPr>
        <w:tab/>
        <w:t xml:space="preserve">Fuentes, A. </w:t>
      </w:r>
      <w:r w:rsidRPr="0002298C">
        <w:rPr>
          <w:i/>
          <w:kern w:val="2"/>
          <w:sz w:val="24"/>
          <w:szCs w:val="24"/>
        </w:rPr>
        <w:t>The creative spark: How imagination made humans exceptional</w:t>
      </w:r>
      <w:r w:rsidRPr="0002298C">
        <w:rPr>
          <w:kern w:val="2"/>
          <w:sz w:val="24"/>
          <w:szCs w:val="24"/>
        </w:rPr>
        <w:t>.  (Penguin, 2017).</w:t>
      </w:r>
    </w:p>
    <w:p w:rsidR="005C715A" w:rsidRPr="0002298C" w:rsidRDefault="005C715A" w:rsidP="005C715A">
      <w:pPr>
        <w:autoSpaceDE w:val="0"/>
        <w:autoSpaceDN w:val="0"/>
        <w:adjustRightInd w:val="0"/>
        <w:ind w:left="720" w:hanging="720"/>
        <w:rPr>
          <w:kern w:val="2"/>
          <w:sz w:val="24"/>
          <w:szCs w:val="24"/>
        </w:rPr>
      </w:pPr>
      <w:r w:rsidRPr="0002298C">
        <w:rPr>
          <w:kern w:val="2"/>
          <w:sz w:val="24"/>
          <w:szCs w:val="24"/>
        </w:rPr>
        <w:t>12</w:t>
      </w:r>
      <w:r w:rsidRPr="0002298C">
        <w:rPr>
          <w:kern w:val="2"/>
          <w:sz w:val="24"/>
          <w:szCs w:val="24"/>
        </w:rPr>
        <w:tab/>
        <w:t xml:space="preserve">Derex, M. &amp; Boyd, R. </w:t>
      </w:r>
      <w:r>
        <w:rPr>
          <w:kern w:val="2"/>
          <w:sz w:val="24"/>
          <w:szCs w:val="24"/>
        </w:rPr>
        <w:t>The foundations of the human cultural niche</w:t>
      </w:r>
      <w:r w:rsidRPr="0002298C">
        <w:rPr>
          <w:kern w:val="2"/>
          <w:sz w:val="24"/>
          <w:szCs w:val="24"/>
        </w:rPr>
        <w:t xml:space="preserve">. </w:t>
      </w:r>
      <w:r>
        <w:rPr>
          <w:i/>
          <w:color w:val="00000A"/>
          <w:sz w:val="24"/>
          <w:szCs w:val="24"/>
          <w:u w:color="00000A"/>
        </w:rPr>
        <w:t>Nat. Commun.</w:t>
      </w:r>
      <w:r w:rsidRPr="0002298C">
        <w:rPr>
          <w:b/>
          <w:kern w:val="2"/>
          <w:sz w:val="24"/>
          <w:szCs w:val="24"/>
        </w:rPr>
        <w:t xml:space="preserve"> </w:t>
      </w:r>
      <w:r>
        <w:rPr>
          <w:b/>
          <w:kern w:val="2"/>
          <w:sz w:val="24"/>
          <w:szCs w:val="24"/>
        </w:rPr>
        <w:t>6</w:t>
      </w:r>
      <w:r>
        <w:rPr>
          <w:kern w:val="2"/>
          <w:sz w:val="24"/>
          <w:szCs w:val="24"/>
        </w:rPr>
        <w:t xml:space="preserve">, 8398 </w:t>
      </w:r>
      <w:r w:rsidRPr="0002298C">
        <w:rPr>
          <w:kern w:val="2"/>
          <w:sz w:val="24"/>
          <w:szCs w:val="24"/>
        </w:rPr>
        <w:t>(2016).</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3</w:t>
      </w:r>
      <w:r w:rsidRPr="0002298C">
        <w:rPr>
          <w:kern w:val="2"/>
          <w:sz w:val="24"/>
          <w:szCs w:val="24"/>
        </w:rPr>
        <w:tab/>
        <w:t xml:space="preserve">Baker, T. Bow design and performance. </w:t>
      </w:r>
      <w:r w:rsidRPr="0002298C">
        <w:rPr>
          <w:i/>
          <w:kern w:val="2"/>
          <w:sz w:val="24"/>
          <w:szCs w:val="24"/>
        </w:rPr>
        <w:t>The traditional bower’s Bible</w:t>
      </w:r>
      <w:r w:rsidRPr="0002298C">
        <w:rPr>
          <w:kern w:val="2"/>
          <w:sz w:val="24"/>
          <w:szCs w:val="24"/>
        </w:rPr>
        <w:t xml:space="preserve"> </w:t>
      </w:r>
      <w:r w:rsidRPr="0002298C">
        <w:rPr>
          <w:b/>
          <w:kern w:val="2"/>
          <w:sz w:val="24"/>
          <w:szCs w:val="24"/>
        </w:rPr>
        <w:t>1</w:t>
      </w:r>
      <w:r w:rsidRPr="0002298C">
        <w:rPr>
          <w:kern w:val="2"/>
          <w:sz w:val="24"/>
          <w:szCs w:val="24"/>
        </w:rPr>
        <w:t>, 43-116 (1992).</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4</w:t>
      </w:r>
      <w:r w:rsidRPr="0002298C">
        <w:rPr>
          <w:kern w:val="2"/>
          <w:sz w:val="24"/>
          <w:szCs w:val="24"/>
        </w:rPr>
        <w:tab/>
        <w:t xml:space="preserve">Muthukrishna, M. &amp; Henrich, J. Innovation in the collective brain. </w:t>
      </w:r>
      <w:r>
        <w:rPr>
          <w:i/>
          <w:color w:val="00000A"/>
          <w:sz w:val="24"/>
          <w:szCs w:val="24"/>
          <w:u w:color="00000A"/>
        </w:rPr>
        <w:t>Philos. Trans. R. Soc. B-Biol. Sci.</w:t>
      </w:r>
      <w:r>
        <w:rPr>
          <w:color w:val="00000A"/>
          <w:sz w:val="24"/>
          <w:szCs w:val="24"/>
          <w:u w:color="00000A"/>
        </w:rPr>
        <w:t xml:space="preserve"> </w:t>
      </w:r>
      <w:r w:rsidRPr="0002298C">
        <w:rPr>
          <w:b/>
          <w:kern w:val="2"/>
          <w:sz w:val="24"/>
          <w:szCs w:val="24"/>
        </w:rPr>
        <w:t>371</w:t>
      </w:r>
      <w:r w:rsidRPr="0002298C">
        <w:rPr>
          <w:kern w:val="2"/>
          <w:sz w:val="24"/>
          <w:szCs w:val="24"/>
        </w:rPr>
        <w:t>, doi:10.1098/rstb.2015.0192 (2016).</w:t>
      </w:r>
    </w:p>
    <w:p w:rsidR="007F348D" w:rsidRPr="0070135B" w:rsidRDefault="007F348D" w:rsidP="007F348D">
      <w:pPr>
        <w:autoSpaceDE w:val="0"/>
        <w:autoSpaceDN w:val="0"/>
        <w:adjustRightInd w:val="0"/>
        <w:ind w:left="720" w:hanging="720"/>
        <w:rPr>
          <w:kern w:val="2"/>
          <w:sz w:val="24"/>
          <w:szCs w:val="24"/>
          <w:lang w:val="fr-FR"/>
        </w:rPr>
      </w:pPr>
      <w:r w:rsidRPr="0002298C">
        <w:rPr>
          <w:kern w:val="2"/>
          <w:sz w:val="24"/>
          <w:szCs w:val="24"/>
        </w:rPr>
        <w:t>1</w:t>
      </w:r>
      <w:r w:rsidR="005C715A">
        <w:rPr>
          <w:kern w:val="2"/>
          <w:sz w:val="24"/>
          <w:szCs w:val="24"/>
        </w:rPr>
        <w:t>5</w:t>
      </w:r>
      <w:r w:rsidRPr="0002298C">
        <w:rPr>
          <w:kern w:val="2"/>
          <w:sz w:val="24"/>
          <w:szCs w:val="24"/>
        </w:rPr>
        <w:tab/>
        <w:t xml:space="preserve">Proffitt, D. R., Kaiser, M. K. &amp; Whelan, S. M. Understanding wheel dynamics. </w:t>
      </w:r>
      <w:r w:rsidRPr="007F348D">
        <w:rPr>
          <w:i/>
          <w:color w:val="00000A"/>
          <w:sz w:val="24"/>
          <w:szCs w:val="24"/>
          <w:u w:color="00000A"/>
          <w:lang w:val="fr-FR"/>
        </w:rPr>
        <w:t>Cogn. Psychol.</w:t>
      </w:r>
      <w:r w:rsidRPr="0070135B">
        <w:rPr>
          <w:kern w:val="2"/>
          <w:sz w:val="24"/>
          <w:szCs w:val="24"/>
          <w:lang w:val="fr-FR"/>
        </w:rPr>
        <w:t xml:space="preserve"> </w:t>
      </w:r>
      <w:r w:rsidRPr="0070135B">
        <w:rPr>
          <w:b/>
          <w:kern w:val="2"/>
          <w:sz w:val="24"/>
          <w:szCs w:val="24"/>
          <w:lang w:val="fr-FR"/>
        </w:rPr>
        <w:t>22</w:t>
      </w:r>
      <w:r w:rsidRPr="0070135B">
        <w:rPr>
          <w:kern w:val="2"/>
          <w:sz w:val="24"/>
          <w:szCs w:val="24"/>
          <w:lang w:val="fr-FR"/>
        </w:rPr>
        <w:t>, 342-373, doi:https://doi.org/10.1016/0010-0285(90)90007-Q (1990).</w:t>
      </w:r>
    </w:p>
    <w:p w:rsidR="007F348D" w:rsidRDefault="007F348D" w:rsidP="007F348D">
      <w:pPr>
        <w:autoSpaceDE w:val="0"/>
        <w:autoSpaceDN w:val="0"/>
        <w:adjustRightInd w:val="0"/>
        <w:ind w:left="720" w:hanging="720"/>
        <w:rPr>
          <w:kern w:val="2"/>
          <w:sz w:val="24"/>
          <w:szCs w:val="24"/>
        </w:rPr>
      </w:pPr>
      <w:r w:rsidRPr="00933399">
        <w:rPr>
          <w:kern w:val="2"/>
          <w:sz w:val="24"/>
          <w:szCs w:val="24"/>
          <w:lang w:val="fr-FR"/>
        </w:rPr>
        <w:t>1</w:t>
      </w:r>
      <w:r w:rsidR="005C715A" w:rsidRPr="00933399">
        <w:rPr>
          <w:kern w:val="2"/>
          <w:sz w:val="24"/>
          <w:szCs w:val="24"/>
          <w:lang w:val="fr-FR"/>
        </w:rPr>
        <w:t>6</w:t>
      </w:r>
      <w:r w:rsidRPr="00933399">
        <w:rPr>
          <w:kern w:val="2"/>
          <w:sz w:val="24"/>
          <w:szCs w:val="24"/>
          <w:lang w:val="fr-FR"/>
        </w:rPr>
        <w:tab/>
        <w:t>Bonawitz, E.</w:t>
      </w:r>
      <w:r w:rsidRPr="00933399">
        <w:rPr>
          <w:i/>
          <w:kern w:val="2"/>
          <w:sz w:val="24"/>
          <w:szCs w:val="24"/>
          <w:lang w:val="fr-FR"/>
        </w:rPr>
        <w:t xml:space="preserve"> et al.</w:t>
      </w:r>
      <w:r w:rsidRPr="00933399">
        <w:rPr>
          <w:kern w:val="2"/>
          <w:sz w:val="24"/>
          <w:szCs w:val="24"/>
          <w:lang w:val="fr-FR"/>
        </w:rPr>
        <w:t xml:space="preserve"> </w:t>
      </w:r>
      <w:r w:rsidRPr="0002298C">
        <w:rPr>
          <w:kern w:val="2"/>
          <w:sz w:val="24"/>
          <w:szCs w:val="24"/>
        </w:rPr>
        <w:t xml:space="preserve">The double-edged sword of pedagogy: Instruction limits spontaneous exploration and discovery. </w:t>
      </w:r>
      <w:r w:rsidRPr="0002298C">
        <w:rPr>
          <w:i/>
          <w:kern w:val="2"/>
          <w:sz w:val="24"/>
          <w:szCs w:val="24"/>
        </w:rPr>
        <w:t>Cognition</w:t>
      </w:r>
      <w:r w:rsidRPr="0002298C">
        <w:rPr>
          <w:kern w:val="2"/>
          <w:sz w:val="24"/>
          <w:szCs w:val="24"/>
        </w:rPr>
        <w:t xml:space="preserve"> </w:t>
      </w:r>
      <w:r w:rsidRPr="0002298C">
        <w:rPr>
          <w:b/>
          <w:kern w:val="2"/>
          <w:sz w:val="24"/>
          <w:szCs w:val="24"/>
        </w:rPr>
        <w:t>120</w:t>
      </w:r>
      <w:r w:rsidRPr="0002298C">
        <w:rPr>
          <w:kern w:val="2"/>
          <w:sz w:val="24"/>
          <w:szCs w:val="24"/>
        </w:rPr>
        <w:t>, 322-330, doi:http://dx.doi.org/10.1016/j.cognition.2010.10.001 (2011).</w:t>
      </w:r>
    </w:p>
    <w:p w:rsidR="007F348D" w:rsidRDefault="007F348D" w:rsidP="007F348D">
      <w:pPr>
        <w:autoSpaceDE w:val="0"/>
        <w:autoSpaceDN w:val="0"/>
        <w:adjustRightInd w:val="0"/>
        <w:ind w:left="720" w:hanging="720"/>
        <w:rPr>
          <w:kern w:val="2"/>
          <w:sz w:val="24"/>
          <w:szCs w:val="24"/>
        </w:rPr>
      </w:pPr>
      <w:r>
        <w:rPr>
          <w:kern w:val="2"/>
          <w:sz w:val="24"/>
          <w:szCs w:val="24"/>
        </w:rPr>
        <w:t>1</w:t>
      </w:r>
      <w:r w:rsidR="005C715A">
        <w:rPr>
          <w:kern w:val="2"/>
          <w:sz w:val="24"/>
          <w:szCs w:val="24"/>
        </w:rPr>
        <w:t>7</w:t>
      </w:r>
      <w:r>
        <w:rPr>
          <w:kern w:val="2"/>
          <w:sz w:val="24"/>
          <w:szCs w:val="24"/>
        </w:rPr>
        <w:tab/>
        <w:t xml:space="preserve">Wood, L. A., Kendal, R. L. &amp; Flynn, E. G. Does a peer model’s task proficiency influence children’s solution choice and innovation? </w:t>
      </w:r>
      <w:r>
        <w:rPr>
          <w:i/>
          <w:color w:val="00000A"/>
          <w:sz w:val="24"/>
          <w:szCs w:val="24"/>
          <w:u w:color="00000A"/>
        </w:rPr>
        <w:t>J. Exp. Child. Psychol.</w:t>
      </w:r>
      <w:r>
        <w:rPr>
          <w:kern w:val="2"/>
          <w:sz w:val="24"/>
          <w:szCs w:val="24"/>
        </w:rPr>
        <w:t xml:space="preserve"> </w:t>
      </w:r>
      <w:r>
        <w:rPr>
          <w:b/>
          <w:kern w:val="2"/>
          <w:sz w:val="24"/>
          <w:szCs w:val="24"/>
        </w:rPr>
        <w:t>139</w:t>
      </w:r>
      <w:r>
        <w:rPr>
          <w:kern w:val="2"/>
          <w:sz w:val="24"/>
          <w:szCs w:val="24"/>
        </w:rPr>
        <w:t>, 190-202 (2015).</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8</w:t>
      </w:r>
      <w:r w:rsidRPr="0002298C">
        <w:rPr>
          <w:kern w:val="2"/>
          <w:sz w:val="24"/>
          <w:szCs w:val="24"/>
        </w:rPr>
        <w:tab/>
        <w:t xml:space="preserve">Proffitt, D. R. &amp; Gilden, D. L. Understanding natural dynamics. </w:t>
      </w:r>
      <w:r>
        <w:rPr>
          <w:i/>
          <w:color w:val="00000A"/>
          <w:sz w:val="24"/>
          <w:szCs w:val="24"/>
          <w:u w:color="00000A"/>
        </w:rPr>
        <w:t>J. Exp. Psychol. Hum. Percept. Perform.</w:t>
      </w:r>
      <w:r>
        <w:rPr>
          <w:color w:val="00000A"/>
          <w:sz w:val="24"/>
          <w:szCs w:val="24"/>
          <w:u w:color="00000A"/>
        </w:rPr>
        <w:t xml:space="preserve"> </w:t>
      </w:r>
      <w:r w:rsidRPr="0002298C">
        <w:rPr>
          <w:b/>
          <w:kern w:val="2"/>
          <w:sz w:val="24"/>
          <w:szCs w:val="24"/>
        </w:rPr>
        <w:t>15</w:t>
      </w:r>
      <w:r w:rsidRPr="0002298C">
        <w:rPr>
          <w:kern w:val="2"/>
          <w:sz w:val="24"/>
          <w:szCs w:val="24"/>
        </w:rPr>
        <w:t>, 384 (1989).</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1</w:t>
      </w:r>
      <w:r w:rsidR="005C715A">
        <w:rPr>
          <w:kern w:val="2"/>
          <w:sz w:val="24"/>
          <w:szCs w:val="24"/>
        </w:rPr>
        <w:t>9</w:t>
      </w:r>
      <w:r w:rsidRPr="0002298C">
        <w:rPr>
          <w:kern w:val="2"/>
          <w:sz w:val="24"/>
          <w:szCs w:val="24"/>
        </w:rPr>
        <w:tab/>
        <w:t xml:space="preserve">Kubricht, J. R., Holyoak, K. J. &amp; Lu, H. Intuitive Physics: Current Research and Controversies. </w:t>
      </w:r>
      <w:r w:rsidRPr="0002298C">
        <w:rPr>
          <w:i/>
          <w:kern w:val="2"/>
          <w:sz w:val="24"/>
          <w:szCs w:val="24"/>
        </w:rPr>
        <w:t>Trends Cogn. Sci.</w:t>
      </w:r>
      <w:r w:rsidRPr="0002298C">
        <w:rPr>
          <w:kern w:val="2"/>
          <w:sz w:val="24"/>
          <w:szCs w:val="24"/>
        </w:rPr>
        <w:t xml:space="preserve"> </w:t>
      </w:r>
      <w:r w:rsidRPr="0002298C">
        <w:rPr>
          <w:b/>
          <w:kern w:val="2"/>
          <w:sz w:val="24"/>
          <w:szCs w:val="24"/>
        </w:rPr>
        <w:t>21</w:t>
      </w:r>
      <w:r w:rsidRPr="0002298C">
        <w:rPr>
          <w:kern w:val="2"/>
          <w:sz w:val="24"/>
          <w:szCs w:val="24"/>
        </w:rPr>
        <w:t>, 749-759, doi:10.1016/j.tics.2017.06.002 (2017).</w:t>
      </w:r>
    </w:p>
    <w:p w:rsidR="007F348D" w:rsidRPr="0002298C" w:rsidRDefault="005C715A" w:rsidP="007F348D">
      <w:pPr>
        <w:autoSpaceDE w:val="0"/>
        <w:autoSpaceDN w:val="0"/>
        <w:adjustRightInd w:val="0"/>
        <w:ind w:left="720" w:hanging="720"/>
        <w:rPr>
          <w:kern w:val="2"/>
          <w:sz w:val="24"/>
          <w:szCs w:val="24"/>
        </w:rPr>
      </w:pPr>
      <w:r>
        <w:rPr>
          <w:kern w:val="2"/>
          <w:sz w:val="24"/>
          <w:szCs w:val="24"/>
        </w:rPr>
        <w:t>20</w:t>
      </w:r>
      <w:r w:rsidR="007F348D" w:rsidRPr="0002298C">
        <w:rPr>
          <w:kern w:val="2"/>
          <w:sz w:val="24"/>
          <w:szCs w:val="24"/>
        </w:rPr>
        <w:tab/>
        <w:t xml:space="preserve">Henrich, J., Heine, S. J. &amp; Norenzayan, A. The weirdest people in the world? </w:t>
      </w:r>
      <w:r w:rsidR="007F348D" w:rsidRPr="0002298C">
        <w:rPr>
          <w:i/>
          <w:kern w:val="2"/>
          <w:sz w:val="24"/>
          <w:szCs w:val="24"/>
        </w:rPr>
        <w:t>Behav. Brain Sci.</w:t>
      </w:r>
      <w:r w:rsidR="007F348D" w:rsidRPr="0002298C">
        <w:rPr>
          <w:kern w:val="2"/>
          <w:sz w:val="24"/>
          <w:szCs w:val="24"/>
        </w:rPr>
        <w:t xml:space="preserve"> </w:t>
      </w:r>
      <w:r w:rsidR="007F348D" w:rsidRPr="0002298C">
        <w:rPr>
          <w:b/>
          <w:kern w:val="2"/>
          <w:sz w:val="24"/>
          <w:szCs w:val="24"/>
        </w:rPr>
        <w:t>33</w:t>
      </w:r>
      <w:r w:rsidR="007F348D" w:rsidRPr="0002298C">
        <w:rPr>
          <w:kern w:val="2"/>
          <w:sz w:val="24"/>
          <w:szCs w:val="24"/>
        </w:rPr>
        <w:t>, 61-83 (2010).</w:t>
      </w:r>
    </w:p>
    <w:p w:rsidR="007F348D" w:rsidRPr="0002298C"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1</w:t>
      </w:r>
      <w:r w:rsidRPr="0002298C">
        <w:rPr>
          <w:kern w:val="2"/>
          <w:sz w:val="24"/>
          <w:szCs w:val="24"/>
        </w:rPr>
        <w:tab/>
        <w:t xml:space="preserve">Henrich, J. Demography and cultural evolution: How adaptive cultural processes can produce maladaptive losses - The Tasmanian case. </w:t>
      </w:r>
      <w:r w:rsidRPr="0002298C">
        <w:rPr>
          <w:i/>
          <w:kern w:val="2"/>
          <w:sz w:val="24"/>
          <w:szCs w:val="24"/>
        </w:rPr>
        <w:t>Am. Antiq.</w:t>
      </w:r>
      <w:r w:rsidRPr="0002298C">
        <w:rPr>
          <w:kern w:val="2"/>
          <w:sz w:val="24"/>
          <w:szCs w:val="24"/>
        </w:rPr>
        <w:t xml:space="preserve"> </w:t>
      </w:r>
      <w:r w:rsidRPr="0002298C">
        <w:rPr>
          <w:b/>
          <w:kern w:val="2"/>
          <w:sz w:val="24"/>
          <w:szCs w:val="24"/>
        </w:rPr>
        <w:t>69</w:t>
      </w:r>
      <w:r w:rsidRPr="0002298C">
        <w:rPr>
          <w:kern w:val="2"/>
          <w:sz w:val="24"/>
          <w:szCs w:val="24"/>
        </w:rPr>
        <w:t>, 197-214 (2004).</w:t>
      </w:r>
    </w:p>
    <w:p w:rsidR="007F348D" w:rsidRPr="0002298C"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2</w:t>
      </w:r>
      <w:r w:rsidRPr="0002298C">
        <w:rPr>
          <w:kern w:val="2"/>
          <w:sz w:val="24"/>
          <w:szCs w:val="24"/>
        </w:rPr>
        <w:tab/>
        <w:t xml:space="preserve">Powell, A., Shennan, S. &amp; Thomas, M. G. Late Pleistocene Demography and the Appearance of Modern Human Behavior. </w:t>
      </w:r>
      <w:r w:rsidRPr="0002298C">
        <w:rPr>
          <w:i/>
          <w:kern w:val="2"/>
          <w:sz w:val="24"/>
          <w:szCs w:val="24"/>
        </w:rPr>
        <w:t>Science</w:t>
      </w:r>
      <w:r w:rsidRPr="0002298C">
        <w:rPr>
          <w:kern w:val="2"/>
          <w:sz w:val="24"/>
          <w:szCs w:val="24"/>
        </w:rPr>
        <w:t xml:space="preserve"> </w:t>
      </w:r>
      <w:r w:rsidRPr="0002298C">
        <w:rPr>
          <w:b/>
          <w:kern w:val="2"/>
          <w:sz w:val="24"/>
          <w:szCs w:val="24"/>
        </w:rPr>
        <w:t>324</w:t>
      </w:r>
      <w:r w:rsidRPr="0002298C">
        <w:rPr>
          <w:kern w:val="2"/>
          <w:sz w:val="24"/>
          <w:szCs w:val="24"/>
        </w:rPr>
        <w:t>, 1298-1301 (2009).</w:t>
      </w:r>
    </w:p>
    <w:p w:rsidR="007F348D" w:rsidRPr="007F348D" w:rsidRDefault="007F348D" w:rsidP="007F348D">
      <w:pPr>
        <w:autoSpaceDE w:val="0"/>
        <w:autoSpaceDN w:val="0"/>
        <w:adjustRightInd w:val="0"/>
        <w:ind w:left="720" w:hanging="720"/>
        <w:rPr>
          <w:kern w:val="2"/>
          <w:sz w:val="24"/>
          <w:szCs w:val="24"/>
        </w:rPr>
      </w:pPr>
      <w:r w:rsidRPr="007F348D">
        <w:rPr>
          <w:kern w:val="2"/>
          <w:sz w:val="24"/>
          <w:szCs w:val="24"/>
        </w:rPr>
        <w:t>2</w:t>
      </w:r>
      <w:r w:rsidR="005C715A">
        <w:rPr>
          <w:kern w:val="2"/>
          <w:sz w:val="24"/>
          <w:szCs w:val="24"/>
        </w:rPr>
        <w:t>3</w:t>
      </w:r>
      <w:r w:rsidRPr="007F348D">
        <w:rPr>
          <w:kern w:val="2"/>
          <w:sz w:val="24"/>
          <w:szCs w:val="24"/>
        </w:rPr>
        <w:tab/>
        <w:t xml:space="preserve">Kline, M. A. &amp; Boyd, R. Population size predicts technological complexity in Oceania. </w:t>
      </w:r>
      <w:r w:rsidRPr="007F348D">
        <w:rPr>
          <w:i/>
          <w:kern w:val="2"/>
          <w:sz w:val="24"/>
          <w:szCs w:val="24"/>
        </w:rPr>
        <w:t>Proc. R. Soc. B-Biol. Sci.</w:t>
      </w:r>
      <w:r w:rsidRPr="007F348D">
        <w:rPr>
          <w:kern w:val="2"/>
          <w:sz w:val="24"/>
          <w:szCs w:val="24"/>
        </w:rPr>
        <w:t xml:space="preserve"> </w:t>
      </w:r>
      <w:r w:rsidRPr="007F348D">
        <w:rPr>
          <w:b/>
          <w:kern w:val="2"/>
          <w:sz w:val="24"/>
          <w:szCs w:val="24"/>
        </w:rPr>
        <w:t>277</w:t>
      </w:r>
      <w:r w:rsidRPr="007F348D">
        <w:rPr>
          <w:kern w:val="2"/>
          <w:sz w:val="24"/>
          <w:szCs w:val="24"/>
        </w:rPr>
        <w:t>, 2559-2564 (2010).</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4</w:t>
      </w:r>
      <w:r w:rsidRPr="0002298C">
        <w:rPr>
          <w:kern w:val="2"/>
          <w:sz w:val="24"/>
          <w:szCs w:val="24"/>
        </w:rPr>
        <w:tab/>
        <w:t xml:space="preserve">Derex, M., Beugin, M.-P., Godelle, B. &amp; Raymond, M. Experimental evidence for the influence of group size on cultural complexity. </w:t>
      </w:r>
      <w:r w:rsidRPr="0002298C">
        <w:rPr>
          <w:i/>
          <w:kern w:val="2"/>
          <w:sz w:val="24"/>
          <w:szCs w:val="24"/>
        </w:rPr>
        <w:t>Nature</w:t>
      </w:r>
      <w:r w:rsidRPr="0002298C">
        <w:rPr>
          <w:kern w:val="2"/>
          <w:sz w:val="24"/>
          <w:szCs w:val="24"/>
        </w:rPr>
        <w:t xml:space="preserve"> </w:t>
      </w:r>
      <w:r w:rsidRPr="0002298C">
        <w:rPr>
          <w:b/>
          <w:kern w:val="2"/>
          <w:sz w:val="24"/>
          <w:szCs w:val="24"/>
        </w:rPr>
        <w:t>503</w:t>
      </w:r>
      <w:r w:rsidRPr="0002298C">
        <w:rPr>
          <w:kern w:val="2"/>
          <w:sz w:val="24"/>
          <w:szCs w:val="24"/>
        </w:rPr>
        <w:t>, 389-391 (2013).</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lastRenderedPageBreak/>
        <w:t>2</w:t>
      </w:r>
      <w:r w:rsidR="005C715A">
        <w:rPr>
          <w:kern w:val="2"/>
          <w:sz w:val="24"/>
          <w:szCs w:val="24"/>
        </w:rPr>
        <w:t>5</w:t>
      </w:r>
      <w:r w:rsidRPr="0002298C">
        <w:rPr>
          <w:kern w:val="2"/>
          <w:sz w:val="24"/>
          <w:szCs w:val="24"/>
        </w:rPr>
        <w:tab/>
        <w:t xml:space="preserve">Muthukrishna, M., Shulman, B. W., Vasilescu, V. &amp; Henrich, J. Sociality influences cultural complexity. </w:t>
      </w:r>
      <w:r>
        <w:rPr>
          <w:i/>
          <w:color w:val="00000A"/>
          <w:sz w:val="24"/>
          <w:szCs w:val="24"/>
          <w:u w:color="00000A"/>
        </w:rPr>
        <w:t>Proc. R. Soc. B-Biol. Sci.</w:t>
      </w:r>
      <w:r>
        <w:rPr>
          <w:color w:val="00000A"/>
          <w:sz w:val="24"/>
          <w:szCs w:val="24"/>
          <w:u w:color="00000A"/>
        </w:rPr>
        <w:t xml:space="preserve"> </w:t>
      </w:r>
      <w:r w:rsidRPr="0002298C">
        <w:rPr>
          <w:b/>
          <w:kern w:val="2"/>
          <w:sz w:val="24"/>
          <w:szCs w:val="24"/>
        </w:rPr>
        <w:t>281</w:t>
      </w:r>
      <w:r w:rsidRPr="0002298C">
        <w:rPr>
          <w:kern w:val="2"/>
          <w:sz w:val="24"/>
          <w:szCs w:val="24"/>
        </w:rPr>
        <w:t>, 20132511, doi:10.1098/rspb.2013.2511 (2014).</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6</w:t>
      </w:r>
      <w:r w:rsidRPr="0002298C">
        <w:rPr>
          <w:kern w:val="2"/>
          <w:sz w:val="24"/>
          <w:szCs w:val="24"/>
        </w:rPr>
        <w:tab/>
        <w:t xml:space="preserve">Hill, K. R., Wood, B. M., Baggio, J., Hurtado, A. M. &amp; Boyd, R. T. Hunter-Gatherer Inter-Band Interaction Rates: Implications for Cumulative Culture. </w:t>
      </w:r>
      <w:r w:rsidRPr="0002298C">
        <w:rPr>
          <w:i/>
          <w:kern w:val="2"/>
          <w:sz w:val="24"/>
          <w:szCs w:val="24"/>
        </w:rPr>
        <w:t>PLoS One</w:t>
      </w:r>
      <w:r w:rsidRPr="0002298C">
        <w:rPr>
          <w:kern w:val="2"/>
          <w:sz w:val="24"/>
          <w:szCs w:val="24"/>
        </w:rPr>
        <w:t xml:space="preserve"> </w:t>
      </w:r>
      <w:r w:rsidRPr="0002298C">
        <w:rPr>
          <w:b/>
          <w:kern w:val="2"/>
          <w:sz w:val="24"/>
          <w:szCs w:val="24"/>
        </w:rPr>
        <w:t>9</w:t>
      </w:r>
      <w:r w:rsidRPr="0002298C">
        <w:rPr>
          <w:kern w:val="2"/>
          <w:sz w:val="24"/>
          <w:szCs w:val="24"/>
        </w:rPr>
        <w:t>, e102806, doi:10.1371/journal.pone.0102806 (2014).</w:t>
      </w:r>
    </w:p>
    <w:p w:rsidR="007F348D" w:rsidRPr="0002298C" w:rsidRDefault="007F348D" w:rsidP="007F348D">
      <w:pPr>
        <w:autoSpaceDE w:val="0"/>
        <w:autoSpaceDN w:val="0"/>
        <w:adjustRightInd w:val="0"/>
        <w:ind w:left="720" w:hanging="720"/>
        <w:rPr>
          <w:kern w:val="2"/>
          <w:sz w:val="24"/>
          <w:szCs w:val="24"/>
        </w:rPr>
      </w:pPr>
      <w:r w:rsidRPr="0002298C">
        <w:rPr>
          <w:kern w:val="2"/>
          <w:sz w:val="24"/>
          <w:szCs w:val="24"/>
        </w:rPr>
        <w:t>2</w:t>
      </w:r>
      <w:r w:rsidR="005C715A">
        <w:rPr>
          <w:kern w:val="2"/>
          <w:sz w:val="24"/>
          <w:szCs w:val="24"/>
        </w:rPr>
        <w:t>7</w:t>
      </w:r>
      <w:r w:rsidRPr="0002298C">
        <w:rPr>
          <w:kern w:val="2"/>
          <w:sz w:val="24"/>
          <w:szCs w:val="24"/>
        </w:rPr>
        <w:tab/>
        <w:t xml:space="preserve">Derex, M. &amp; Boyd, R. Partial connectivity increases cultural accumulation within groups. </w:t>
      </w:r>
      <w:r>
        <w:rPr>
          <w:i/>
          <w:color w:val="00000A"/>
          <w:sz w:val="24"/>
          <w:szCs w:val="24"/>
          <w:u w:color="00000A"/>
        </w:rPr>
        <w:t>Proc. Natl. Acad. Sci. U.S.A</w:t>
      </w:r>
      <w:r w:rsidRPr="0002298C">
        <w:rPr>
          <w:b/>
          <w:kern w:val="2"/>
          <w:sz w:val="24"/>
          <w:szCs w:val="24"/>
        </w:rPr>
        <w:t xml:space="preserve"> 113</w:t>
      </w:r>
      <w:r w:rsidRPr="0002298C">
        <w:rPr>
          <w:kern w:val="2"/>
          <w:sz w:val="24"/>
          <w:szCs w:val="24"/>
        </w:rPr>
        <w:t>, 2982-2987 (2016).</w:t>
      </w:r>
    </w:p>
    <w:p w:rsidR="007F348D"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8</w:t>
      </w:r>
      <w:r>
        <w:rPr>
          <w:kern w:val="2"/>
          <w:sz w:val="24"/>
          <w:szCs w:val="24"/>
        </w:rPr>
        <w:tab/>
        <w:t xml:space="preserve">Creanza, N., Kolodny, O. &amp; Feldman, M. W. Greater than the sum of its parts? Modelling population contact and interaction of cultural repertoires. </w:t>
      </w:r>
      <w:r>
        <w:rPr>
          <w:i/>
          <w:kern w:val="2"/>
          <w:sz w:val="24"/>
          <w:szCs w:val="24"/>
        </w:rPr>
        <w:t>J. R. Soc. Interface</w:t>
      </w:r>
      <w:r>
        <w:rPr>
          <w:kern w:val="2"/>
          <w:sz w:val="24"/>
          <w:szCs w:val="24"/>
        </w:rPr>
        <w:t xml:space="preserve"> </w:t>
      </w:r>
      <w:r>
        <w:rPr>
          <w:b/>
          <w:kern w:val="2"/>
          <w:sz w:val="24"/>
          <w:szCs w:val="24"/>
        </w:rPr>
        <w:t>14</w:t>
      </w:r>
      <w:r>
        <w:rPr>
          <w:kern w:val="2"/>
          <w:sz w:val="24"/>
          <w:szCs w:val="24"/>
        </w:rPr>
        <w:t xml:space="preserve">, </w:t>
      </w:r>
      <w:r w:rsidRPr="007F348D">
        <w:rPr>
          <w:sz w:val="24"/>
          <w:szCs w:val="24"/>
        </w:rPr>
        <w:t>20170171</w:t>
      </w:r>
      <w:r>
        <w:rPr>
          <w:kern w:val="2"/>
          <w:sz w:val="24"/>
          <w:szCs w:val="24"/>
        </w:rPr>
        <w:t xml:space="preserve"> (2017).</w:t>
      </w:r>
    </w:p>
    <w:p w:rsidR="007F348D" w:rsidRDefault="007F348D" w:rsidP="007F348D">
      <w:pPr>
        <w:autoSpaceDE w:val="0"/>
        <w:autoSpaceDN w:val="0"/>
        <w:adjustRightInd w:val="0"/>
        <w:ind w:left="720" w:hanging="720"/>
        <w:rPr>
          <w:kern w:val="2"/>
          <w:sz w:val="24"/>
          <w:szCs w:val="24"/>
        </w:rPr>
      </w:pPr>
      <w:r>
        <w:rPr>
          <w:kern w:val="2"/>
          <w:sz w:val="24"/>
          <w:szCs w:val="24"/>
        </w:rPr>
        <w:t>2</w:t>
      </w:r>
      <w:r w:rsidR="005C715A">
        <w:rPr>
          <w:kern w:val="2"/>
          <w:sz w:val="24"/>
          <w:szCs w:val="24"/>
        </w:rPr>
        <w:t>9</w:t>
      </w:r>
      <w:r>
        <w:rPr>
          <w:kern w:val="2"/>
          <w:sz w:val="24"/>
          <w:szCs w:val="24"/>
        </w:rPr>
        <w:tab/>
        <w:t xml:space="preserve">Derex, M., Perreault, C. &amp; Boyd, R. Divide and conquer: intermediate levels of population fragmentation maximize cultural accumulation. </w:t>
      </w:r>
      <w:r w:rsidR="00076D84">
        <w:rPr>
          <w:i/>
          <w:color w:val="00000A"/>
          <w:sz w:val="24"/>
          <w:szCs w:val="24"/>
          <w:u w:color="00000A"/>
        </w:rPr>
        <w:t>Philos. Trans. R. Soc. B-Biol. Sci.</w:t>
      </w:r>
      <w:r>
        <w:rPr>
          <w:kern w:val="2"/>
          <w:sz w:val="24"/>
          <w:szCs w:val="24"/>
        </w:rPr>
        <w:t xml:space="preserve"> </w:t>
      </w:r>
      <w:r>
        <w:rPr>
          <w:b/>
          <w:kern w:val="2"/>
          <w:sz w:val="24"/>
          <w:szCs w:val="24"/>
        </w:rPr>
        <w:t>373</w:t>
      </w:r>
      <w:r>
        <w:rPr>
          <w:kern w:val="2"/>
          <w:sz w:val="24"/>
          <w:szCs w:val="24"/>
        </w:rPr>
        <w:t>, 20170062 (2018).</w:t>
      </w:r>
    </w:p>
    <w:p w:rsidR="00B925AC" w:rsidRPr="00B925AC" w:rsidRDefault="00B925AC" w:rsidP="007F348D">
      <w:pPr>
        <w:autoSpaceDE w:val="0"/>
        <w:autoSpaceDN w:val="0"/>
        <w:adjustRightInd w:val="0"/>
        <w:ind w:left="720" w:hanging="720"/>
        <w:rPr>
          <w:kern w:val="2"/>
          <w:sz w:val="24"/>
          <w:szCs w:val="24"/>
        </w:rPr>
      </w:pPr>
      <w:r w:rsidRPr="00B925AC">
        <w:rPr>
          <w:kern w:val="2"/>
          <w:sz w:val="24"/>
          <w:szCs w:val="24"/>
        </w:rPr>
        <w:t>30</w:t>
      </w:r>
      <w:r w:rsidRPr="00B925AC">
        <w:rPr>
          <w:kern w:val="2"/>
          <w:sz w:val="24"/>
          <w:szCs w:val="24"/>
        </w:rPr>
        <w:tab/>
      </w:r>
      <w:r w:rsidRPr="00B925AC">
        <w:rPr>
          <w:sz w:val="24"/>
          <w:szCs w:val="24"/>
        </w:rPr>
        <w:t xml:space="preserve">Caldwell, C. A. &amp; Millen, A. E. Studying cumulative cultural evolution in the laboratory. </w:t>
      </w:r>
      <w:r w:rsidRPr="00B925AC">
        <w:rPr>
          <w:i/>
          <w:color w:val="00000A"/>
          <w:sz w:val="24"/>
          <w:szCs w:val="24"/>
          <w:u w:color="00000A"/>
        </w:rPr>
        <w:t>Philos. Trans. R. Soc. B-Biol. Sci.</w:t>
      </w:r>
      <w:r w:rsidRPr="00B925AC">
        <w:rPr>
          <w:sz w:val="24"/>
          <w:szCs w:val="24"/>
        </w:rPr>
        <w:t xml:space="preserve"> </w:t>
      </w:r>
      <w:r w:rsidRPr="00B925AC">
        <w:rPr>
          <w:b/>
          <w:iCs/>
          <w:sz w:val="24"/>
          <w:szCs w:val="24"/>
        </w:rPr>
        <w:t>363</w:t>
      </w:r>
      <w:r w:rsidRPr="00B925AC">
        <w:rPr>
          <w:sz w:val="24"/>
          <w:szCs w:val="24"/>
        </w:rPr>
        <w:t>, 3529-3539 (2008).</w:t>
      </w:r>
    </w:p>
    <w:p w:rsidR="00B925AC" w:rsidRPr="00B925AC" w:rsidRDefault="00B925AC" w:rsidP="00B925AC">
      <w:pPr>
        <w:autoSpaceDE w:val="0"/>
        <w:autoSpaceDN w:val="0"/>
        <w:adjustRightInd w:val="0"/>
        <w:ind w:left="720" w:hanging="720"/>
        <w:rPr>
          <w:kern w:val="2"/>
          <w:sz w:val="24"/>
          <w:szCs w:val="24"/>
        </w:rPr>
      </w:pPr>
      <w:r w:rsidRPr="00B925AC">
        <w:rPr>
          <w:kern w:val="2"/>
          <w:sz w:val="24"/>
          <w:szCs w:val="24"/>
        </w:rPr>
        <w:t>31</w:t>
      </w:r>
      <w:r w:rsidRPr="00B925AC">
        <w:rPr>
          <w:kern w:val="2"/>
          <w:sz w:val="24"/>
          <w:szCs w:val="24"/>
        </w:rPr>
        <w:tab/>
      </w:r>
      <w:r>
        <w:rPr>
          <w:sz w:val="24"/>
          <w:szCs w:val="24"/>
        </w:rPr>
        <w:t>Zwirner, E.</w:t>
      </w:r>
      <w:r w:rsidRPr="00B925AC">
        <w:rPr>
          <w:sz w:val="24"/>
          <w:szCs w:val="24"/>
        </w:rPr>
        <w:t xml:space="preserve"> &amp; Thornton, A. Cognitive requirements of cumulative culture: teaching is useful but not essential. </w:t>
      </w:r>
      <w:r w:rsidRPr="00B925AC">
        <w:rPr>
          <w:i/>
          <w:iCs/>
          <w:sz w:val="24"/>
          <w:szCs w:val="24"/>
        </w:rPr>
        <w:t>Sci</w:t>
      </w:r>
      <w:r>
        <w:rPr>
          <w:i/>
          <w:iCs/>
          <w:sz w:val="24"/>
          <w:szCs w:val="24"/>
        </w:rPr>
        <w:t>. R</w:t>
      </w:r>
      <w:r w:rsidRPr="00B925AC">
        <w:rPr>
          <w:i/>
          <w:iCs/>
          <w:sz w:val="24"/>
          <w:szCs w:val="24"/>
        </w:rPr>
        <w:t>ep</w:t>
      </w:r>
      <w:r>
        <w:rPr>
          <w:i/>
          <w:iCs/>
          <w:sz w:val="24"/>
          <w:szCs w:val="24"/>
        </w:rPr>
        <w:t>.</w:t>
      </w:r>
      <w:r w:rsidRPr="00B925AC">
        <w:rPr>
          <w:sz w:val="24"/>
          <w:szCs w:val="24"/>
        </w:rPr>
        <w:t xml:space="preserve"> </w:t>
      </w:r>
      <w:r w:rsidRPr="00B925AC">
        <w:rPr>
          <w:b/>
          <w:iCs/>
          <w:sz w:val="24"/>
          <w:szCs w:val="24"/>
        </w:rPr>
        <w:t>5</w:t>
      </w:r>
      <w:r w:rsidRPr="00B925AC">
        <w:rPr>
          <w:sz w:val="24"/>
          <w:szCs w:val="24"/>
        </w:rPr>
        <w:t>, 16781</w:t>
      </w:r>
      <w:r>
        <w:rPr>
          <w:sz w:val="24"/>
          <w:szCs w:val="24"/>
        </w:rPr>
        <w:t xml:space="preserve"> </w:t>
      </w:r>
      <w:r w:rsidRPr="00B925AC">
        <w:rPr>
          <w:sz w:val="24"/>
          <w:szCs w:val="24"/>
        </w:rPr>
        <w:t>(2015).</w:t>
      </w:r>
    </w:p>
    <w:p w:rsidR="007F348D" w:rsidRDefault="005C715A" w:rsidP="007F348D">
      <w:pPr>
        <w:autoSpaceDE w:val="0"/>
        <w:autoSpaceDN w:val="0"/>
        <w:adjustRightInd w:val="0"/>
        <w:ind w:left="720" w:hanging="720"/>
        <w:rPr>
          <w:kern w:val="2"/>
          <w:sz w:val="24"/>
          <w:szCs w:val="24"/>
        </w:rPr>
      </w:pPr>
      <w:r>
        <w:rPr>
          <w:kern w:val="2"/>
          <w:sz w:val="24"/>
          <w:szCs w:val="24"/>
        </w:rPr>
        <w:t>3</w:t>
      </w:r>
      <w:r w:rsidR="00B925AC">
        <w:rPr>
          <w:kern w:val="2"/>
          <w:sz w:val="24"/>
          <w:szCs w:val="24"/>
        </w:rPr>
        <w:t>2</w:t>
      </w:r>
      <w:r w:rsidR="007F348D">
        <w:rPr>
          <w:kern w:val="2"/>
          <w:sz w:val="24"/>
          <w:szCs w:val="24"/>
        </w:rPr>
        <w:tab/>
        <w:t>R: A Language and Environment for Statistical Computing (R Foundation for Statistical Computing, Vienna, Austria, 2011).</w:t>
      </w:r>
    </w:p>
    <w:p w:rsidR="007F348D" w:rsidRDefault="007F348D" w:rsidP="007F348D">
      <w:pPr>
        <w:autoSpaceDE w:val="0"/>
        <w:autoSpaceDN w:val="0"/>
        <w:adjustRightInd w:val="0"/>
        <w:ind w:left="720" w:hanging="720"/>
        <w:rPr>
          <w:kern w:val="2"/>
          <w:sz w:val="24"/>
          <w:szCs w:val="24"/>
        </w:rPr>
      </w:pPr>
      <w:r>
        <w:rPr>
          <w:kern w:val="2"/>
          <w:sz w:val="24"/>
          <w:szCs w:val="24"/>
        </w:rPr>
        <w:t>3</w:t>
      </w:r>
      <w:r w:rsidR="00B925AC">
        <w:rPr>
          <w:kern w:val="2"/>
          <w:sz w:val="24"/>
          <w:szCs w:val="24"/>
        </w:rPr>
        <w:t>3</w:t>
      </w:r>
      <w:r>
        <w:rPr>
          <w:kern w:val="2"/>
          <w:sz w:val="24"/>
          <w:szCs w:val="24"/>
        </w:rPr>
        <w:tab/>
        <w:t xml:space="preserve">McElreath, R. </w:t>
      </w:r>
      <w:r>
        <w:rPr>
          <w:i/>
          <w:kern w:val="2"/>
          <w:sz w:val="24"/>
          <w:szCs w:val="24"/>
        </w:rPr>
        <w:t>Statistical Rethinking: A Bayesian Course with Examples in R and Stan</w:t>
      </w:r>
      <w:r>
        <w:rPr>
          <w:kern w:val="2"/>
          <w:sz w:val="24"/>
          <w:szCs w:val="24"/>
        </w:rPr>
        <w:t>.  (CRC Press, 2016).</w:t>
      </w:r>
    </w:p>
    <w:p w:rsidR="00381B35" w:rsidRDefault="00381B35">
      <w:pPr>
        <w:pStyle w:val="Refhead"/>
      </w:pPr>
    </w:p>
    <w:p w:rsidR="00381B35" w:rsidRDefault="002E48AF">
      <w:pPr>
        <w:pStyle w:val="Acknowledgement"/>
        <w:ind w:left="0" w:firstLine="0"/>
        <w:jc w:val="both"/>
      </w:pPr>
      <w:r>
        <w:rPr>
          <w:b/>
        </w:rPr>
        <w:t xml:space="preserve">Acknowledgments. </w:t>
      </w:r>
      <w:r>
        <w:rPr>
          <w:rStyle w:val="Emphasis"/>
          <w:i w:val="0"/>
        </w:rPr>
        <w:t xml:space="preserve">We thank J. Clewett for valuable advice about the building of the wheel, F. Gosselin and A. Deymier for organizing the experimental sessions, and </w:t>
      </w:r>
      <w:r>
        <w:rPr>
          <w:rStyle w:val="gi"/>
        </w:rPr>
        <w:t xml:space="preserve">members of the laboratory for experimental anthropology for helpful discussions during the development of the experimental protocol. </w:t>
      </w:r>
      <w:r>
        <w:t>This  project  has  received  funding  from  the  European  Union’s  Horizon  2020  research  and innovation programme under the Marie Sklodowska-Curie grant agreement No 748310</w:t>
      </w:r>
      <w:r>
        <w:rPr>
          <w:rStyle w:val="Emphasis"/>
          <w:i w:val="0"/>
        </w:rPr>
        <w:t xml:space="preserve">. </w:t>
      </w:r>
      <w:r w:rsidR="00643E14" w:rsidRPr="00643E14">
        <w:rPr>
          <w:rStyle w:val="Emphasis"/>
          <w:i w:val="0"/>
        </w:rPr>
        <w:t>Support from the ANR-Labex Institute for Advanced Study in Toulouse is gratefully acknowledged</w:t>
      </w:r>
      <w:r w:rsidR="00643E14">
        <w:rPr>
          <w:rStyle w:val="Emphasis"/>
          <w:i w:val="0"/>
        </w:rPr>
        <w:t>.</w:t>
      </w:r>
      <w:r w:rsidR="0097052F" w:rsidRPr="0097052F">
        <w:t xml:space="preserve"> </w:t>
      </w:r>
      <w:r w:rsidR="0097052F">
        <w:t>The funders had no role in study design, data collection and analysis, decision to publish or preparation of the manuscript.</w:t>
      </w:r>
    </w:p>
    <w:p w:rsidR="00F62705" w:rsidRDefault="00F62705" w:rsidP="00F62705">
      <w:pPr>
        <w:pStyle w:val="Acknowledgement"/>
        <w:ind w:left="0" w:firstLine="0"/>
        <w:jc w:val="both"/>
      </w:pPr>
      <w:r>
        <w:rPr>
          <w:rStyle w:val="Strong"/>
        </w:rPr>
        <w:t>Author contributions</w:t>
      </w:r>
      <w:r>
        <w:rPr>
          <w:b/>
        </w:rPr>
        <w:t xml:space="preserve">. </w:t>
      </w:r>
      <w:r>
        <w:rPr>
          <w:rStyle w:val="Emphasis"/>
          <w:i w:val="0"/>
        </w:rPr>
        <w:t xml:space="preserve">R.B. and M.D. developed the research question. M.D. conceived the experimental task and protocol </w:t>
      </w:r>
      <w:r>
        <w:t xml:space="preserve">with input from A.M. and J.-F.B. M.D. </w:t>
      </w:r>
      <w:r>
        <w:rPr>
          <w:rStyle w:val="Emphasis"/>
          <w:i w:val="0"/>
        </w:rPr>
        <w:t>performed the experiment, analyzed the data and</w:t>
      </w:r>
      <w:r>
        <w:t xml:space="preserve"> wrote the manuscript with input from all authors.</w:t>
      </w:r>
      <w:r>
        <w:rPr>
          <w:rStyle w:val="Emphasis"/>
          <w:i w:val="0"/>
        </w:rPr>
        <w:t xml:space="preserve"> </w:t>
      </w:r>
      <w:r>
        <w:t xml:space="preserve">Authors declare no competing interests. </w:t>
      </w:r>
    </w:p>
    <w:p w:rsidR="00951EE9" w:rsidRDefault="00951EE9" w:rsidP="00951EE9">
      <w:pPr>
        <w:pStyle w:val="Acknowledgement"/>
        <w:ind w:left="0" w:firstLine="0"/>
      </w:pPr>
      <w:r>
        <w:rPr>
          <w:rStyle w:val="Strong"/>
        </w:rPr>
        <w:t>Competing interests</w:t>
      </w:r>
      <w:r>
        <w:t>. The authors declare no competing interests.</w:t>
      </w:r>
    </w:p>
    <w:p w:rsidR="00951EE9" w:rsidRDefault="00F62705">
      <w:pPr>
        <w:pStyle w:val="Acknowledgement"/>
        <w:ind w:left="0" w:firstLine="0"/>
        <w:jc w:val="both"/>
        <w:rPr>
          <w:rStyle w:val="Emphasis"/>
          <w:b/>
          <w:i w:val="0"/>
        </w:rPr>
      </w:pPr>
      <w:r w:rsidRPr="00F62705">
        <w:rPr>
          <w:rStyle w:val="Emphasis"/>
          <w:b/>
          <w:i w:val="0"/>
        </w:rPr>
        <w:t>Additional information</w:t>
      </w:r>
    </w:p>
    <w:p w:rsidR="00F62705" w:rsidRPr="00F62705" w:rsidRDefault="00F62705">
      <w:pPr>
        <w:pStyle w:val="Acknowledgement"/>
        <w:ind w:left="0" w:firstLine="0"/>
        <w:jc w:val="both"/>
        <w:rPr>
          <w:rStyle w:val="Emphasis"/>
          <w:b/>
          <w:i w:val="0"/>
        </w:rPr>
      </w:pPr>
      <w:r>
        <w:t xml:space="preserve">Supplementary information is available for this paper at </w:t>
      </w:r>
      <w:hyperlink r:id="rId14" w:history="1">
        <w:r>
          <w:rPr>
            <w:rStyle w:val="Hyperlink"/>
          </w:rPr>
          <w:t>osf.io/afwmr</w:t>
        </w:r>
      </w:hyperlink>
      <w:r>
        <w:t>.</w:t>
      </w:r>
    </w:p>
    <w:p w:rsidR="0067501C" w:rsidRPr="0067501C" w:rsidRDefault="00F62705" w:rsidP="00D231FD">
      <w:pPr>
        <w:pStyle w:val="SOMHead"/>
        <w:jc w:val="both"/>
        <w:rPr>
          <w:lang w:val="en-GB"/>
        </w:rPr>
      </w:pPr>
      <w:r w:rsidRPr="00F62705">
        <w:t>Correspondence and request for materials</w:t>
      </w:r>
      <w:r>
        <w:rPr>
          <w:b w:val="0"/>
        </w:rPr>
        <w:t xml:space="preserve"> should be addressed to M.D. (maxime.derex@gmail.com).</w:t>
      </w:r>
      <w:r>
        <w:t xml:space="preserve"> </w:t>
      </w:r>
      <w:bookmarkStart w:id="0" w:name="_GoBack"/>
      <w:bookmarkEnd w:id="0"/>
    </w:p>
    <w:p w:rsidR="0067501C" w:rsidRDefault="0067501C" w:rsidP="0067501C">
      <w:pPr>
        <w:spacing w:line="276" w:lineRule="auto"/>
        <w:jc w:val="both"/>
        <w:rPr>
          <w:szCs w:val="24"/>
          <w:lang w:val="en-GB"/>
        </w:rPr>
      </w:pPr>
    </w:p>
    <w:p w:rsidR="0067501C" w:rsidRDefault="0067501C" w:rsidP="0067501C">
      <w:pPr>
        <w:pStyle w:val="SMcaption"/>
      </w:pPr>
    </w:p>
    <w:p w:rsidR="0067501C" w:rsidRPr="0067501C" w:rsidRDefault="0067501C" w:rsidP="00E507A3">
      <w:pPr>
        <w:spacing w:line="276" w:lineRule="auto"/>
        <w:jc w:val="both"/>
        <w:rPr>
          <w:szCs w:val="24"/>
        </w:rPr>
      </w:pPr>
    </w:p>
    <w:sectPr w:rsidR="0067501C" w:rsidRPr="0067501C">
      <w:headerReference w:type="default" r:id="rId15"/>
      <w:footerReference w:type="default" r:id="rId16"/>
      <w:pgSz w:w="12240" w:h="15840"/>
      <w:pgMar w:top="1440" w:right="1440" w:bottom="1440" w:left="1440" w:header="432" w:footer="720" w:gutter="0"/>
      <w:lnNumType w:countBy="1" w:distance="720" w:restart="continuous"/>
      <w:cols w:space="720"/>
      <w:formProt w:val="0"/>
      <w:docGrid w:linePitch="360" w:charSpace="2457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7CB7" w:rsidRDefault="00AE7CB7">
      <w:r>
        <w:separator/>
      </w:r>
    </w:p>
  </w:endnote>
  <w:endnote w:type="continuationSeparator" w:id="0">
    <w:p w:rsidR="00AE7CB7" w:rsidRDefault="00AE7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Neue">
    <w:altName w:val="Times New Roman"/>
    <w:charset w:val="01"/>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Lucida Sans">
    <w:panose1 w:val="020B0602030504020204"/>
    <w:charset w:val="00"/>
    <w:family w:val="swiss"/>
    <w:pitch w:val="variable"/>
    <w:sig w:usb0="00000003" w:usb1="00000000" w:usb2="00000000" w:usb3="00000000" w:csb0="00000001" w:csb1="00000000"/>
  </w:font>
  <w:font w:name="BlissRegular">
    <w:panose1 w:val="00000000000000000000"/>
    <w:charset w:val="00"/>
    <w:family w:val="auto"/>
    <w:notTrueType/>
    <w:pitch w:val="default"/>
    <w:sig w:usb0="00000003" w:usb1="00000000" w:usb2="00000000" w:usb3="00000000" w:csb0="00000001" w:csb1="00000000"/>
  </w:font>
  <w:font w:name="BlissMedium">
    <w:panose1 w:val="00000000000000000000"/>
    <w:charset w:val="00"/>
    <w:family w:val="auto"/>
    <w:notTrueType/>
    <w:pitch w:val="default"/>
    <w:sig w:usb0="00000003" w:usb1="00000000" w:usb2="00000000" w:usb3="00000000" w:csb0="00000001" w:csb1="00000000"/>
  </w:font>
  <w:font w:name="BlissBold">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B35" w:rsidRDefault="002E48AF">
    <w:pPr>
      <w:pStyle w:val="Footer"/>
      <w:jc w:val="center"/>
    </w:pPr>
    <w:r>
      <w:fldChar w:fldCharType="begin"/>
    </w:r>
    <w:r>
      <w:instrText>PAGE</w:instrText>
    </w:r>
    <w:r>
      <w:fldChar w:fldCharType="separate"/>
    </w:r>
    <w:r w:rsidR="00D231FD">
      <w:rPr>
        <w:noProof/>
      </w:rPr>
      <w:t>18</w:t>
    </w:r>
    <w:r>
      <w:fldChar w:fldCharType="end"/>
    </w:r>
  </w:p>
  <w:p w:rsidR="00381B35" w:rsidRDefault="00381B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7CB7" w:rsidRDefault="00AE7CB7">
      <w:r>
        <w:separator/>
      </w:r>
    </w:p>
  </w:footnote>
  <w:footnote w:type="continuationSeparator" w:id="0">
    <w:p w:rsidR="00AE7CB7" w:rsidRDefault="00AE7C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81B35" w:rsidRDefault="00381B35">
    <w:pPr>
      <w:pStyle w:val="Header"/>
    </w:pPr>
  </w:p>
  <w:p w:rsidR="00381B35" w:rsidRDefault="00381B35">
    <w:pPr>
      <w:pStyle w:val="Header"/>
      <w:tabs>
        <w:tab w:val="left" w:pos="3240"/>
      </w:tabs>
      <w:ind w:firstLine="23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B35"/>
    <w:rsid w:val="00076AC3"/>
    <w:rsid w:val="00076D84"/>
    <w:rsid w:val="00091943"/>
    <w:rsid w:val="000A28EE"/>
    <w:rsid w:val="000A3941"/>
    <w:rsid w:val="000E281B"/>
    <w:rsid w:val="000E46B0"/>
    <w:rsid w:val="001348B9"/>
    <w:rsid w:val="00145264"/>
    <w:rsid w:val="001474BE"/>
    <w:rsid w:val="001A5F63"/>
    <w:rsid w:val="00250FC8"/>
    <w:rsid w:val="002D1330"/>
    <w:rsid w:val="002E48AF"/>
    <w:rsid w:val="0035613B"/>
    <w:rsid w:val="00381B35"/>
    <w:rsid w:val="003A289E"/>
    <w:rsid w:val="003E7994"/>
    <w:rsid w:val="004C648E"/>
    <w:rsid w:val="004F6AA9"/>
    <w:rsid w:val="005153EB"/>
    <w:rsid w:val="005375D3"/>
    <w:rsid w:val="005461D0"/>
    <w:rsid w:val="00550526"/>
    <w:rsid w:val="0055096E"/>
    <w:rsid w:val="00573B32"/>
    <w:rsid w:val="00595041"/>
    <w:rsid w:val="005C715A"/>
    <w:rsid w:val="005F5EA5"/>
    <w:rsid w:val="0061602E"/>
    <w:rsid w:val="00643E14"/>
    <w:rsid w:val="00651393"/>
    <w:rsid w:val="00657059"/>
    <w:rsid w:val="0067501C"/>
    <w:rsid w:val="006836B5"/>
    <w:rsid w:val="00707423"/>
    <w:rsid w:val="007139C6"/>
    <w:rsid w:val="00747851"/>
    <w:rsid w:val="007718CA"/>
    <w:rsid w:val="00797206"/>
    <w:rsid w:val="007C0806"/>
    <w:rsid w:val="007C77F8"/>
    <w:rsid w:val="007F0219"/>
    <w:rsid w:val="007F348D"/>
    <w:rsid w:val="007F7B09"/>
    <w:rsid w:val="00854E35"/>
    <w:rsid w:val="008931DC"/>
    <w:rsid w:val="008D6123"/>
    <w:rsid w:val="008E0C4C"/>
    <w:rsid w:val="008F5652"/>
    <w:rsid w:val="00924040"/>
    <w:rsid w:val="00933399"/>
    <w:rsid w:val="00951EE9"/>
    <w:rsid w:val="00953305"/>
    <w:rsid w:val="0097052F"/>
    <w:rsid w:val="00977989"/>
    <w:rsid w:val="009B2572"/>
    <w:rsid w:val="009C0A7C"/>
    <w:rsid w:val="009E1F38"/>
    <w:rsid w:val="00A63E27"/>
    <w:rsid w:val="00A66598"/>
    <w:rsid w:val="00A9222A"/>
    <w:rsid w:val="00AA2FE7"/>
    <w:rsid w:val="00AB4187"/>
    <w:rsid w:val="00AE1C1B"/>
    <w:rsid w:val="00AE7CB7"/>
    <w:rsid w:val="00B15409"/>
    <w:rsid w:val="00B34A68"/>
    <w:rsid w:val="00B65D46"/>
    <w:rsid w:val="00B925AC"/>
    <w:rsid w:val="00B979FB"/>
    <w:rsid w:val="00BE283A"/>
    <w:rsid w:val="00BE31F5"/>
    <w:rsid w:val="00BE526A"/>
    <w:rsid w:val="00BF4663"/>
    <w:rsid w:val="00BF4E66"/>
    <w:rsid w:val="00C857E4"/>
    <w:rsid w:val="00CF66F6"/>
    <w:rsid w:val="00D16365"/>
    <w:rsid w:val="00D231FD"/>
    <w:rsid w:val="00D772B9"/>
    <w:rsid w:val="00D97105"/>
    <w:rsid w:val="00DA0E1B"/>
    <w:rsid w:val="00DF4191"/>
    <w:rsid w:val="00E15703"/>
    <w:rsid w:val="00E507A3"/>
    <w:rsid w:val="00E963CC"/>
    <w:rsid w:val="00E97EBD"/>
    <w:rsid w:val="00EB1D3A"/>
    <w:rsid w:val="00EF190C"/>
    <w:rsid w:val="00F3360D"/>
    <w:rsid w:val="00F627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FE2FC39-84DD-4443-ABDF-A506D9942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iPriority="0"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ubase">
    <w:name w:val="au_base"/>
    <w:qFormat/>
    <w:rPr>
      <w:sz w:val="24"/>
    </w:rPr>
  </w:style>
  <w:style w:type="character" w:customStyle="1" w:styleId="aucollab">
    <w:name w:val="au_collab"/>
    <w:basedOn w:val="aubase"/>
    <w:qFormat/>
    <w:rPr>
      <w:rFonts w:cs="Times New Roman"/>
      <w:sz w:val="24"/>
      <w:shd w:val="clear" w:color="auto" w:fill="C0C0C0"/>
    </w:rPr>
  </w:style>
  <w:style w:type="character" w:customStyle="1" w:styleId="audeg">
    <w:name w:val="au_deg"/>
    <w:basedOn w:val="DefaultParagraphFont"/>
    <w:qFormat/>
    <w:rPr>
      <w:rFonts w:cs="Times New Roman"/>
      <w:sz w:val="24"/>
      <w:shd w:val="clear" w:color="auto" w:fill="FFFF00"/>
    </w:rPr>
  </w:style>
  <w:style w:type="character" w:customStyle="1" w:styleId="aufname">
    <w:name w:val="au_fname"/>
    <w:basedOn w:val="aubase"/>
    <w:qFormat/>
    <w:rPr>
      <w:rFonts w:cs="Times New Roman"/>
      <w:sz w:val="24"/>
      <w:shd w:val="clear" w:color="auto" w:fill="00FFFF"/>
    </w:rPr>
  </w:style>
  <w:style w:type="character" w:customStyle="1" w:styleId="aurole">
    <w:name w:val="au_role"/>
    <w:basedOn w:val="aubase"/>
    <w:qFormat/>
    <w:rPr>
      <w:rFonts w:cs="Times New Roman"/>
      <w:sz w:val="24"/>
      <w:shd w:val="clear" w:color="auto" w:fill="808000"/>
    </w:rPr>
  </w:style>
  <w:style w:type="character" w:customStyle="1" w:styleId="ausuffix">
    <w:name w:val="au_suffix"/>
    <w:basedOn w:val="aubase"/>
    <w:qFormat/>
    <w:rPr>
      <w:rFonts w:cs="Times New Roman"/>
      <w:sz w:val="24"/>
      <w:shd w:val="clear" w:color="auto" w:fill="FF00FF"/>
    </w:rPr>
  </w:style>
  <w:style w:type="character" w:customStyle="1" w:styleId="ausurname">
    <w:name w:val="au_surname"/>
    <w:basedOn w:val="aubase"/>
    <w:qFormat/>
    <w:rPr>
      <w:rFonts w:cs="Times New Roman"/>
      <w:sz w:val="24"/>
      <w:shd w:val="clear" w:color="auto" w:fill="00FF00"/>
    </w:rPr>
  </w:style>
  <w:style w:type="character" w:customStyle="1" w:styleId="BalloonTextChar">
    <w:name w:val="Balloon Text Char"/>
    <w:basedOn w:val="DefaultParagraphFont"/>
    <w:link w:val="BalloonText"/>
    <w:semiHidden/>
    <w:qFormat/>
    <w:locked/>
    <w:rPr>
      <w:rFonts w:ascii="Lucida Grande" w:hAnsi="Lucida Grande" w:cs="Times New Roman"/>
      <w:sz w:val="18"/>
      <w:szCs w:val="18"/>
    </w:rPr>
  </w:style>
  <w:style w:type="character" w:customStyle="1" w:styleId="bibarticle">
    <w:name w:val="bib_article"/>
    <w:basedOn w:val="DefaultParagraphFont"/>
    <w:qFormat/>
    <w:rPr>
      <w:rFonts w:cs="Times New Roman"/>
      <w:sz w:val="24"/>
      <w:shd w:val="clear" w:color="auto" w:fill="00FFFF"/>
    </w:rPr>
  </w:style>
  <w:style w:type="character" w:customStyle="1" w:styleId="bibbase">
    <w:name w:val="bib_base"/>
    <w:qFormat/>
    <w:rPr>
      <w:sz w:val="24"/>
    </w:rPr>
  </w:style>
  <w:style w:type="character" w:customStyle="1" w:styleId="bibcomment">
    <w:name w:val="bib_comment"/>
    <w:basedOn w:val="bibbase"/>
    <w:qFormat/>
    <w:rPr>
      <w:rFonts w:cs="Times New Roman"/>
      <w:sz w:val="24"/>
    </w:rPr>
  </w:style>
  <w:style w:type="character" w:customStyle="1" w:styleId="bibdeg">
    <w:name w:val="bib_deg"/>
    <w:basedOn w:val="bibbase"/>
    <w:qFormat/>
    <w:rPr>
      <w:rFonts w:cs="Times New Roman"/>
      <w:sz w:val="24"/>
    </w:rPr>
  </w:style>
  <w:style w:type="character" w:customStyle="1" w:styleId="bibdoi">
    <w:name w:val="bib_doi"/>
    <w:basedOn w:val="bibbase"/>
    <w:qFormat/>
    <w:rPr>
      <w:rFonts w:cs="Times New Roman"/>
      <w:sz w:val="24"/>
      <w:shd w:val="clear" w:color="auto" w:fill="00FF00"/>
    </w:rPr>
  </w:style>
  <w:style w:type="character" w:customStyle="1" w:styleId="bibetal">
    <w:name w:val="bib_etal"/>
    <w:basedOn w:val="bibbase"/>
    <w:qFormat/>
    <w:rPr>
      <w:rFonts w:cs="Times New Roman"/>
      <w:sz w:val="24"/>
      <w:shd w:val="clear" w:color="auto" w:fill="008080"/>
    </w:rPr>
  </w:style>
  <w:style w:type="character" w:customStyle="1" w:styleId="bibfname">
    <w:name w:val="bib_fname"/>
    <w:basedOn w:val="bibbase"/>
    <w:qFormat/>
    <w:rPr>
      <w:rFonts w:cs="Times New Roman"/>
      <w:sz w:val="24"/>
      <w:shd w:val="clear" w:color="auto" w:fill="FFFF00"/>
    </w:rPr>
  </w:style>
  <w:style w:type="character" w:customStyle="1" w:styleId="bibfpage">
    <w:name w:val="bib_fpage"/>
    <w:basedOn w:val="bibbase"/>
    <w:qFormat/>
    <w:rPr>
      <w:rFonts w:cs="Times New Roman"/>
      <w:sz w:val="24"/>
      <w:shd w:val="clear" w:color="auto" w:fill="808080"/>
    </w:rPr>
  </w:style>
  <w:style w:type="character" w:customStyle="1" w:styleId="bibissue">
    <w:name w:val="bib_issue"/>
    <w:basedOn w:val="bibbase"/>
    <w:qFormat/>
    <w:rPr>
      <w:rFonts w:cs="Times New Roman"/>
      <w:sz w:val="24"/>
      <w:shd w:val="clear" w:color="auto" w:fill="FFFF00"/>
    </w:rPr>
  </w:style>
  <w:style w:type="character" w:customStyle="1" w:styleId="bibjournal">
    <w:name w:val="bib_journal"/>
    <w:basedOn w:val="bibbase"/>
    <w:qFormat/>
    <w:rPr>
      <w:rFonts w:cs="Times New Roman"/>
      <w:sz w:val="24"/>
      <w:shd w:val="clear" w:color="auto" w:fill="808000"/>
    </w:rPr>
  </w:style>
  <w:style w:type="character" w:customStyle="1" w:styleId="biblpage">
    <w:name w:val="bib_lpage"/>
    <w:basedOn w:val="bibbase"/>
    <w:qFormat/>
    <w:rPr>
      <w:rFonts w:cs="Times New Roman"/>
      <w:sz w:val="24"/>
      <w:shd w:val="clear" w:color="auto" w:fill="808080"/>
    </w:rPr>
  </w:style>
  <w:style w:type="character" w:customStyle="1" w:styleId="bibmedline">
    <w:name w:val="bib_medline"/>
    <w:basedOn w:val="bibbase"/>
    <w:qFormat/>
    <w:rPr>
      <w:rFonts w:cs="Times New Roman"/>
      <w:sz w:val="24"/>
    </w:rPr>
  </w:style>
  <w:style w:type="character" w:customStyle="1" w:styleId="bibnumber">
    <w:name w:val="bib_number"/>
    <w:basedOn w:val="bibbase"/>
    <w:qFormat/>
    <w:rPr>
      <w:rFonts w:cs="Times New Roman"/>
      <w:sz w:val="24"/>
    </w:rPr>
  </w:style>
  <w:style w:type="character" w:customStyle="1" w:styleId="biborganization">
    <w:name w:val="bib_organization"/>
    <w:basedOn w:val="bibbase"/>
    <w:qFormat/>
    <w:rPr>
      <w:rFonts w:cs="Times New Roman"/>
      <w:sz w:val="24"/>
      <w:shd w:val="clear" w:color="auto" w:fill="808000"/>
    </w:rPr>
  </w:style>
  <w:style w:type="character" w:customStyle="1" w:styleId="bibsuffix">
    <w:name w:val="bib_suffix"/>
    <w:basedOn w:val="bibbase"/>
    <w:qFormat/>
    <w:rPr>
      <w:rFonts w:cs="Times New Roman"/>
      <w:sz w:val="24"/>
    </w:rPr>
  </w:style>
  <w:style w:type="character" w:customStyle="1" w:styleId="bibsuppl">
    <w:name w:val="bib_suppl"/>
    <w:basedOn w:val="bibbase"/>
    <w:qFormat/>
    <w:rPr>
      <w:rFonts w:cs="Times New Roman"/>
      <w:sz w:val="24"/>
      <w:shd w:val="clear" w:color="auto" w:fill="FFFF00"/>
    </w:rPr>
  </w:style>
  <w:style w:type="character" w:customStyle="1" w:styleId="bibsurname">
    <w:name w:val="bib_surname"/>
    <w:basedOn w:val="bibbase"/>
    <w:qFormat/>
    <w:rPr>
      <w:rFonts w:cs="Times New Roman"/>
      <w:sz w:val="24"/>
      <w:shd w:val="clear" w:color="auto" w:fill="FFFF00"/>
    </w:rPr>
  </w:style>
  <w:style w:type="character" w:customStyle="1" w:styleId="bibunpubl">
    <w:name w:val="bib_unpubl"/>
    <w:basedOn w:val="bibbase"/>
    <w:qFormat/>
    <w:rPr>
      <w:rFonts w:cs="Times New Roman"/>
      <w:sz w:val="24"/>
    </w:rPr>
  </w:style>
  <w:style w:type="character" w:customStyle="1" w:styleId="biburl">
    <w:name w:val="bib_url"/>
    <w:basedOn w:val="bibbase"/>
    <w:qFormat/>
    <w:rPr>
      <w:rFonts w:cs="Times New Roman"/>
      <w:sz w:val="24"/>
      <w:shd w:val="clear" w:color="auto" w:fill="00FF00"/>
    </w:rPr>
  </w:style>
  <w:style w:type="character" w:customStyle="1" w:styleId="bibvolume">
    <w:name w:val="bib_volume"/>
    <w:basedOn w:val="bibbase"/>
    <w:qFormat/>
    <w:rPr>
      <w:rFonts w:cs="Times New Roman"/>
      <w:sz w:val="24"/>
      <w:shd w:val="clear" w:color="auto" w:fill="00FF00"/>
    </w:rPr>
  </w:style>
  <w:style w:type="character" w:customStyle="1" w:styleId="bibyear">
    <w:name w:val="bib_year"/>
    <w:basedOn w:val="bibbase"/>
    <w:qFormat/>
    <w:rPr>
      <w:rFonts w:cs="Times New Roman"/>
      <w:sz w:val="24"/>
      <w:shd w:val="clear" w:color="auto" w:fill="FF00FF"/>
    </w:rPr>
  </w:style>
  <w:style w:type="character" w:customStyle="1" w:styleId="citebase">
    <w:name w:val="cite_base"/>
    <w:qFormat/>
    <w:rPr>
      <w:sz w:val="24"/>
    </w:rPr>
  </w:style>
  <w:style w:type="character" w:customStyle="1" w:styleId="citebib">
    <w:name w:val="cite_bib"/>
    <w:basedOn w:val="DefaultParagraphFont"/>
    <w:qFormat/>
    <w:rPr>
      <w:rFonts w:cs="Times New Roman"/>
      <w:sz w:val="24"/>
      <w:shd w:val="clear" w:color="auto" w:fill="00FFFF"/>
    </w:rPr>
  </w:style>
  <w:style w:type="character" w:customStyle="1" w:styleId="citebox">
    <w:name w:val="cite_box"/>
    <w:basedOn w:val="citebase"/>
    <w:qFormat/>
    <w:rPr>
      <w:rFonts w:cs="Times New Roman"/>
      <w:sz w:val="24"/>
    </w:rPr>
  </w:style>
  <w:style w:type="character" w:customStyle="1" w:styleId="citeen">
    <w:name w:val="cite_en"/>
    <w:basedOn w:val="citebase"/>
    <w:qFormat/>
    <w:rPr>
      <w:rFonts w:cs="Times New Roman"/>
      <w:sz w:val="24"/>
      <w:shd w:val="clear" w:color="auto" w:fill="FFFF00"/>
      <w:vertAlign w:val="superscript"/>
    </w:rPr>
  </w:style>
  <w:style w:type="character" w:customStyle="1" w:styleId="citeeq">
    <w:name w:val="cite_eq"/>
    <w:basedOn w:val="citebase"/>
    <w:qFormat/>
    <w:rPr>
      <w:rFonts w:cs="Times New Roman"/>
      <w:sz w:val="24"/>
      <w:shd w:val="clear" w:color="auto" w:fill="FF99CC"/>
    </w:rPr>
  </w:style>
  <w:style w:type="character" w:customStyle="1" w:styleId="citefig">
    <w:name w:val="cite_fig"/>
    <w:basedOn w:val="citebase"/>
    <w:qFormat/>
    <w:rPr>
      <w:rFonts w:cs="Times New Roman"/>
      <w:color w:val="000000"/>
      <w:sz w:val="24"/>
      <w:shd w:val="clear" w:color="auto" w:fill="00FF00"/>
    </w:rPr>
  </w:style>
  <w:style w:type="character" w:customStyle="1" w:styleId="citefn">
    <w:name w:val="cite_fn"/>
    <w:basedOn w:val="citebase"/>
    <w:qFormat/>
    <w:rPr>
      <w:rFonts w:cs="Times New Roman"/>
      <w:sz w:val="24"/>
      <w:shd w:val="clear" w:color="auto" w:fill="FF0000"/>
    </w:rPr>
  </w:style>
  <w:style w:type="character" w:customStyle="1" w:styleId="citetbl">
    <w:name w:val="cite_tbl"/>
    <w:basedOn w:val="citebase"/>
    <w:qFormat/>
    <w:rPr>
      <w:rFonts w:cs="Times New Roman"/>
      <w:color w:val="000000"/>
      <w:sz w:val="24"/>
      <w:shd w:val="clear" w:color="auto" w:fill="FF00FF"/>
    </w:rPr>
  </w:style>
  <w:style w:type="character" w:styleId="CommentReference">
    <w:name w:val="annotation reference"/>
    <w:basedOn w:val="DefaultParagraphFont"/>
    <w:uiPriority w:val="99"/>
    <w:qFormat/>
    <w:rPr>
      <w:rFonts w:cs="Times New Roman"/>
      <w:sz w:val="18"/>
      <w:szCs w:val="18"/>
    </w:rPr>
  </w:style>
  <w:style w:type="character" w:customStyle="1" w:styleId="CommentTextChar">
    <w:name w:val="Comment Text Char"/>
    <w:basedOn w:val="DefaultParagraphFont"/>
    <w:link w:val="CommentText"/>
    <w:uiPriority w:val="99"/>
    <w:semiHidden/>
    <w:qFormat/>
    <w:locked/>
    <w:rPr>
      <w:rFonts w:eastAsia="Times New Roman" w:cs="Times New Roman"/>
    </w:rPr>
  </w:style>
  <w:style w:type="character" w:customStyle="1" w:styleId="CommentSubjectChar">
    <w:name w:val="Comment Subject Char"/>
    <w:basedOn w:val="CommentTextChar"/>
    <w:link w:val="CommentSubject"/>
    <w:uiPriority w:val="99"/>
    <w:semiHidden/>
    <w:qFormat/>
    <w:locked/>
    <w:rPr>
      <w:rFonts w:ascii="Times New Roman" w:eastAsia="Times New Roman" w:hAnsi="Times New Roman" w:cs="Times New Roman"/>
      <w:b/>
      <w:bCs/>
      <w:sz w:val="20"/>
      <w:szCs w:val="20"/>
    </w:rPr>
  </w:style>
  <w:style w:type="character" w:customStyle="1" w:styleId="ContractNumber">
    <w:name w:val="Contract Number"/>
    <w:basedOn w:val="DefaultParagraphFont"/>
    <w:qFormat/>
    <w:rPr>
      <w:rFonts w:cs="Times New Roman"/>
      <w:sz w:val="24"/>
      <w:szCs w:val="24"/>
      <w:shd w:val="clear" w:color="auto" w:fill="CCFFCC"/>
    </w:rPr>
  </w:style>
  <w:style w:type="character" w:customStyle="1" w:styleId="ContractSponsor">
    <w:name w:val="Contract Sponsor"/>
    <w:basedOn w:val="DefaultParagraphFont"/>
    <w:qFormat/>
    <w:rPr>
      <w:rFonts w:cs="Times New Roman"/>
      <w:sz w:val="24"/>
      <w:szCs w:val="24"/>
      <w:shd w:val="clear" w:color="auto" w:fill="FFCC99"/>
    </w:rPr>
  </w:style>
  <w:style w:type="character" w:styleId="Emphasis">
    <w:name w:val="Emphasis"/>
    <w:basedOn w:val="DefaultParagraphFont"/>
    <w:uiPriority w:val="20"/>
    <w:qFormat/>
    <w:rPr>
      <w:rFonts w:cs="Times New Roman"/>
      <w:i/>
      <w:iCs/>
    </w:rPr>
  </w:style>
  <w:style w:type="character" w:customStyle="1" w:styleId="EndnoteCharacters">
    <w:name w:val="Endnote Characters"/>
    <w:basedOn w:val="DefaultParagraphFont"/>
    <w:semiHidden/>
    <w:qFormat/>
    <w:rPr>
      <w:rFonts w:cs="Times New Roman"/>
      <w:vertAlign w:val="superscript"/>
    </w:rPr>
  </w:style>
  <w:style w:type="character" w:customStyle="1" w:styleId="EndnoteAnchor">
    <w:name w:val="Endnote Anchor"/>
    <w:rPr>
      <w:vertAlign w:val="superscript"/>
    </w:rPr>
  </w:style>
  <w:style w:type="character" w:customStyle="1" w:styleId="EndnoteTextChar">
    <w:name w:val="Endnote Text Char"/>
    <w:basedOn w:val="DefaultParagraphFont"/>
    <w:link w:val="EndnoteText"/>
    <w:semiHidden/>
    <w:qFormat/>
    <w:locked/>
    <w:rPr>
      <w:rFonts w:ascii="Cambria" w:eastAsia="Times New Roman" w:hAnsi="Cambria" w:cs="Times New Roman"/>
      <w:sz w:val="20"/>
      <w:szCs w:val="20"/>
    </w:rPr>
  </w:style>
  <w:style w:type="character" w:customStyle="1" w:styleId="eqno">
    <w:name w:val="eq_no"/>
    <w:basedOn w:val="citebase"/>
    <w:qFormat/>
    <w:rPr>
      <w:rFonts w:cs="Times New Roman"/>
      <w:sz w:val="24"/>
    </w:rPr>
  </w:style>
  <w:style w:type="character" w:styleId="FollowedHyperlink">
    <w:name w:val="FollowedHyperlink"/>
    <w:basedOn w:val="DefaultParagraphFont"/>
    <w:uiPriority w:val="99"/>
    <w:qFormat/>
    <w:rPr>
      <w:rFonts w:cs="Times New Roman"/>
      <w:color w:val="800080"/>
      <w:u w:val="single"/>
    </w:rPr>
  </w:style>
  <w:style w:type="character" w:customStyle="1" w:styleId="FooterChar">
    <w:name w:val="Footer Char"/>
    <w:basedOn w:val="DefaultParagraphFont"/>
    <w:link w:val="Footer"/>
    <w:uiPriority w:val="99"/>
    <w:qFormat/>
    <w:locked/>
    <w:rPr>
      <w:rFonts w:eastAsia="Times New Roman" w:cs="Times New Roman"/>
    </w:rPr>
  </w:style>
  <w:style w:type="character" w:customStyle="1" w:styleId="FootnoteCharacters">
    <w:name w:val="Footnote Characters"/>
    <w:basedOn w:val="DefaultParagraphFont"/>
    <w:semiHidden/>
    <w:qFormat/>
    <w:rPr>
      <w:rFonts w:cs="Times New Roman"/>
      <w:vertAlign w:val="superscript"/>
    </w:rPr>
  </w:style>
  <w:style w:type="character" w:customStyle="1" w:styleId="FootnoteAnchor">
    <w:name w:val="Footnote Anchor"/>
    <w:rPr>
      <w:vertAlign w:val="superscript"/>
    </w:rPr>
  </w:style>
  <w:style w:type="character" w:customStyle="1" w:styleId="HeaderChar">
    <w:name w:val="Header Char"/>
    <w:basedOn w:val="DefaultParagraphFont"/>
    <w:link w:val="Header"/>
    <w:uiPriority w:val="99"/>
    <w:qFormat/>
    <w:locked/>
    <w:rPr>
      <w:rFonts w:eastAsia="Times New Roman" w:cs="Times New Roman"/>
    </w:rPr>
  </w:style>
  <w:style w:type="character" w:styleId="HTMLAcronym">
    <w:name w:val="HTML Acronym"/>
    <w:basedOn w:val="DefaultParagraphFont"/>
    <w:uiPriority w:val="99"/>
    <w:qFormat/>
    <w:rPr>
      <w:rFonts w:cs="Times New Roman"/>
    </w:rPr>
  </w:style>
  <w:style w:type="character" w:styleId="HTMLCite">
    <w:name w:val="HTML Cite"/>
    <w:basedOn w:val="DefaultParagraphFont"/>
    <w:uiPriority w:val="99"/>
    <w:qFormat/>
    <w:rPr>
      <w:rFonts w:cs="Times New Roman"/>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uiPriority w:val="99"/>
    <w:qFormat/>
    <w:rPr>
      <w:rFonts w:cs="Times New Roman"/>
      <w:i/>
      <w:iCs/>
    </w:rPr>
  </w:style>
  <w:style w:type="character" w:styleId="HTMLKeyboard">
    <w:name w:val="HTML Keyboard"/>
    <w:basedOn w:val="DefaultParagraphFont"/>
    <w:uiPriority w:val="99"/>
    <w:qFormat/>
    <w:rPr>
      <w:rFonts w:ascii="Courier New" w:hAnsi="Courier New" w:cs="Courier New"/>
      <w:sz w:val="20"/>
      <w:szCs w:val="20"/>
    </w:rPr>
  </w:style>
  <w:style w:type="character" w:customStyle="1" w:styleId="HTMLPreformattedChar">
    <w:name w:val="HTML Preformatted Char"/>
    <w:basedOn w:val="DefaultParagraphFont"/>
    <w:link w:val="HTMLPreformatted"/>
    <w:qFormat/>
    <w:locked/>
    <w:rPr>
      <w:rFonts w:ascii="Consolas" w:hAnsi="Consolas" w:cs="Times New Roman"/>
      <w:sz w:val="20"/>
      <w:szCs w:val="20"/>
    </w:rPr>
  </w:style>
  <w:style w:type="character" w:styleId="HTMLSample">
    <w:name w:val="HTML Sample"/>
    <w:basedOn w:val="DefaultParagraphFont"/>
    <w:uiPriority w:val="99"/>
    <w:qFormat/>
    <w:rPr>
      <w:rFonts w:ascii="Courier New" w:hAnsi="Courier New" w:cs="Courier New"/>
    </w:rPr>
  </w:style>
  <w:style w:type="character" w:styleId="HTMLTypewriter">
    <w:name w:val="HTML Typewriter"/>
    <w:basedOn w:val="DefaultParagraphFont"/>
    <w:uiPriority w:val="99"/>
    <w:qFormat/>
    <w:rPr>
      <w:rFonts w:ascii="Courier New" w:hAnsi="Courier New" w:cs="Courier New"/>
      <w:sz w:val="20"/>
      <w:szCs w:val="20"/>
    </w:rPr>
  </w:style>
  <w:style w:type="character" w:styleId="HTMLVariable">
    <w:name w:val="HTML Variable"/>
    <w:basedOn w:val="DefaultParagraphFont"/>
    <w:uiPriority w:val="99"/>
    <w:qFormat/>
    <w:rPr>
      <w:rFonts w:cs="Times New Roman"/>
      <w:i/>
      <w:iCs/>
    </w:rPr>
  </w:style>
  <w:style w:type="character" w:customStyle="1" w:styleId="InternetLink">
    <w:name w:val="Internet Link"/>
    <w:basedOn w:val="DefaultParagraphFont"/>
    <w:unhideWhenUsed/>
    <w:rPr>
      <w:rFonts w:cs="Times New Roman"/>
      <w:color w:val="0000FF" w:themeColor="hyperlink"/>
      <w:u w:val="single"/>
    </w:rPr>
  </w:style>
  <w:style w:type="character" w:styleId="LineNumber">
    <w:name w:val="line number"/>
    <w:basedOn w:val="DefaultParagraphFont"/>
    <w:uiPriority w:val="99"/>
    <w:qFormat/>
    <w:rPr>
      <w:rFonts w:cs="Times New Roman"/>
    </w:rPr>
  </w:style>
  <w:style w:type="character" w:styleId="PageNumber">
    <w:name w:val="page number"/>
    <w:basedOn w:val="DefaultParagraphFont"/>
    <w:uiPriority w:val="99"/>
    <w:qFormat/>
    <w:rPr>
      <w:rFonts w:cs="Times New Roman"/>
    </w:rPr>
  </w:style>
  <w:style w:type="character" w:styleId="Strong">
    <w:name w:val="Strong"/>
    <w:basedOn w:val="DefaultParagraphFont"/>
    <w:uiPriority w:val="22"/>
    <w:qFormat/>
    <w:rPr>
      <w:rFonts w:cs="Times New Roman"/>
      <w:b/>
      <w:bCs/>
    </w:rPr>
  </w:style>
  <w:style w:type="character" w:customStyle="1" w:styleId="SX-reflink">
    <w:name w:val="SX-reflink"/>
    <w:basedOn w:val="DefaultParagraphFont"/>
    <w:uiPriority w:val="1"/>
    <w:qFormat/>
    <w:rPr>
      <w:rFonts w:cs="Times New Roman"/>
      <w:color w:val="0000FF"/>
      <w:sz w:val="16"/>
      <w:shd w:val="clear" w:color="auto" w:fill="FFFFFF"/>
    </w:rPr>
  </w:style>
  <w:style w:type="character" w:customStyle="1" w:styleId="UnresolvedMention">
    <w:name w:val="Unresolved Mention"/>
    <w:basedOn w:val="DefaultParagraphFont"/>
    <w:uiPriority w:val="99"/>
    <w:semiHidden/>
    <w:unhideWhenUsed/>
    <w:qFormat/>
    <w:rPr>
      <w:rFonts w:cs="Times New Roman"/>
      <w:color w:val="808080"/>
      <w:shd w:val="clear" w:color="auto" w:fill="E6E6E6"/>
    </w:rPr>
  </w:style>
  <w:style w:type="character" w:customStyle="1" w:styleId="current-selection">
    <w:name w:val="current-selection"/>
    <w:basedOn w:val="DefaultParagraphFont"/>
    <w:qFormat/>
    <w:rPr>
      <w:rFonts w:cs="Times New Roman"/>
    </w:rPr>
  </w:style>
  <w:style w:type="character" w:customStyle="1" w:styleId="st">
    <w:name w:val="st"/>
    <w:basedOn w:val="DefaultParagraphFont"/>
    <w:qFormat/>
    <w:rPr>
      <w:rFonts w:cs="Times New Roman"/>
    </w:rPr>
  </w:style>
  <w:style w:type="character" w:customStyle="1" w:styleId="im">
    <w:name w:val="im"/>
    <w:basedOn w:val="DefaultParagraphFont"/>
    <w:qFormat/>
    <w:rPr>
      <w:rFonts w:cs="Times New Roman"/>
    </w:rPr>
  </w:style>
  <w:style w:type="character" w:customStyle="1" w:styleId="gi">
    <w:name w:val="gi"/>
    <w:basedOn w:val="DefaultParagraphFont"/>
    <w:qFormat/>
    <w:rPr>
      <w:rFonts w:cs="Times New Roman"/>
    </w:rPr>
  </w:style>
  <w:style w:type="character" w:customStyle="1" w:styleId="m1936852336954316248gmail-scripted">
    <w:name w:val="m_1936852336954316248gmail-scripted"/>
    <w:basedOn w:val="DefaultParagraphFont"/>
    <w:qFormat/>
    <w:rPr>
      <w:rFonts w:cs="Times New Roman"/>
    </w:rPr>
  </w:style>
  <w:style w:type="character" w:customStyle="1" w:styleId="il">
    <w:name w:val="il"/>
    <w:basedOn w:val="DefaultParagraphFont"/>
    <w:qFormat/>
    <w:rPr>
      <w:rFonts w:cs="Times New Roman"/>
    </w:rPr>
  </w:style>
  <w:style w:type="character" w:customStyle="1" w:styleId="LineNumbering">
    <w:name w:val="Line Numbering"/>
  </w:style>
  <w:style w:type="character" w:customStyle="1" w:styleId="ListLabel1">
    <w:name w:val="ListLabel 1"/>
    <w:qFormat/>
  </w:style>
  <w:style w:type="character" w:customStyle="1" w:styleId="ListLabel2">
    <w:name w:val="ListLabel 2"/>
    <w:qFormat/>
    <w:rPr>
      <w:rFonts w:ascii="Times New Roman" w:hAnsi="Times New Roman"/>
      <w:sz w:val="24"/>
    </w:rPr>
  </w:style>
  <w:style w:type="character" w:customStyle="1" w:styleId="ListLabel3">
    <w:name w:val="ListLabel 3"/>
    <w:qFormat/>
    <w:rPr>
      <w:color w:val="0000FF"/>
      <w:sz w:val="24"/>
      <w:u w:val="single"/>
    </w:rPr>
  </w:style>
  <w:style w:type="character" w:customStyle="1" w:styleId="ListLabel4">
    <w:name w:val="ListLabel 4"/>
    <w:qFormat/>
    <w:rPr>
      <w:sz w:val="24"/>
    </w:rPr>
  </w:style>
  <w:style w:type="character" w:customStyle="1" w:styleId="BodyTextChar">
    <w:name w:val="Body Text Char"/>
    <w:basedOn w:val="DefaultParagraphFont"/>
    <w:link w:val="BodyText"/>
    <w:uiPriority w:val="99"/>
    <w:qFormat/>
    <w:locked/>
    <w:rPr>
      <w:rFonts w:cs="Times New Roman"/>
    </w:rPr>
  </w:style>
  <w:style w:type="character" w:customStyle="1" w:styleId="BalloonTextChar1">
    <w:name w:val="Balloon Text Char1"/>
    <w:basedOn w:val="DefaultParagraphFont"/>
    <w:uiPriority w:val="99"/>
    <w:semiHidden/>
    <w:qFormat/>
    <w:rPr>
      <w:rFonts w:ascii="Segoe UI" w:hAnsi="Segoe UI" w:cs="Segoe UI"/>
      <w:sz w:val="18"/>
      <w:szCs w:val="18"/>
    </w:rPr>
  </w:style>
  <w:style w:type="character" w:customStyle="1" w:styleId="CommentTextChar1">
    <w:name w:val="Comment Text Char1"/>
    <w:basedOn w:val="DefaultParagraphFont"/>
    <w:uiPriority w:val="99"/>
    <w:semiHidden/>
    <w:qFormat/>
    <w:rPr>
      <w:rFonts w:cs="Times New Roman"/>
    </w:rPr>
  </w:style>
  <w:style w:type="character" w:customStyle="1" w:styleId="CommentSubjectChar1">
    <w:name w:val="Comment Subject Char1"/>
    <w:basedOn w:val="CommentTextChar"/>
    <w:uiPriority w:val="99"/>
    <w:semiHidden/>
    <w:qFormat/>
    <w:rPr>
      <w:rFonts w:eastAsia="Times New Roman" w:cs="Times New Roman"/>
      <w:b/>
      <w:bCs/>
    </w:rPr>
  </w:style>
  <w:style w:type="character" w:customStyle="1" w:styleId="EndnoteTextChar1">
    <w:name w:val="Endnote Text Char1"/>
    <w:basedOn w:val="DefaultParagraphFont"/>
    <w:uiPriority w:val="99"/>
    <w:semiHidden/>
    <w:qFormat/>
    <w:rPr>
      <w:rFonts w:cs="Times New Roman"/>
    </w:rPr>
  </w:style>
  <w:style w:type="character" w:customStyle="1" w:styleId="FooterChar1">
    <w:name w:val="Footer Char1"/>
    <w:basedOn w:val="DefaultParagraphFont"/>
    <w:uiPriority w:val="99"/>
    <w:semiHidden/>
    <w:qFormat/>
    <w:rPr>
      <w:rFonts w:cs="Times New Roman"/>
    </w:rPr>
  </w:style>
  <w:style w:type="character" w:customStyle="1" w:styleId="HeaderChar1">
    <w:name w:val="Header Char1"/>
    <w:basedOn w:val="DefaultParagraphFont"/>
    <w:uiPriority w:val="99"/>
    <w:semiHidden/>
    <w:qFormat/>
    <w:rPr>
      <w:rFonts w:cs="Times New Roman"/>
    </w:rPr>
  </w:style>
  <w:style w:type="character" w:customStyle="1" w:styleId="HTMLPreformattedChar1">
    <w:name w:val="HTML Preformatted Char1"/>
    <w:basedOn w:val="DefaultParagraphFont"/>
    <w:uiPriority w:val="99"/>
    <w:semiHidden/>
    <w:qFormat/>
    <w:rPr>
      <w:rFonts w:ascii="Courier New" w:hAnsi="Courier New" w:cs="Courier New"/>
    </w:rPr>
  </w:style>
  <w:style w:type="character" w:customStyle="1" w:styleId="ListLabel5">
    <w:name w:val="ListLabel 5"/>
    <w:qFormat/>
  </w:style>
  <w:style w:type="character" w:customStyle="1" w:styleId="ListLabel6">
    <w:name w:val="ListLabel 6"/>
    <w:qFormat/>
    <w:rPr>
      <w:color w:val="0000FF"/>
      <w:u w:val="single"/>
    </w:rPr>
  </w:style>
  <w:style w:type="character" w:customStyle="1" w:styleId="ListLabel7">
    <w:name w:val="ListLabel 7"/>
    <w:qFormat/>
  </w:style>
  <w:style w:type="paragraph" w:customStyle="1" w:styleId="Heading">
    <w:name w:val="Heading"/>
    <w:basedOn w:val="Normal"/>
    <w:next w:val="BodyText"/>
    <w:qFormat/>
    <w:pPr>
      <w:keepNext/>
      <w:spacing w:before="240" w:after="120"/>
    </w:pPr>
    <w:rPr>
      <w:rFonts w:ascii="Helvetica Neue" w:eastAsia="SimSun" w:hAnsi="Helvetica Neue" w:cs="Lucida Sans"/>
      <w:sz w:val="28"/>
      <w:szCs w:val="28"/>
    </w:rPr>
  </w:style>
  <w:style w:type="paragraph" w:styleId="BodyText">
    <w:name w:val="Body Text"/>
    <w:basedOn w:val="Normal"/>
    <w:link w:val="BodyTextChar"/>
    <w:uiPriority w:val="99"/>
    <w:pPr>
      <w:spacing w:after="140" w:line="288" w:lineRule="auto"/>
    </w:pPr>
  </w:style>
  <w:style w:type="character" w:customStyle="1" w:styleId="BodyTextChar1">
    <w:name w:val="Body Text Char1"/>
    <w:basedOn w:val="DefaultParagraphFont"/>
    <w:uiPriority w:val="99"/>
    <w:semiHidden/>
  </w:style>
  <w:style w:type="paragraph" w:styleId="List">
    <w:name w:val="List"/>
    <w:basedOn w:val="BodyText"/>
    <w:uiPriority w:val="99"/>
    <w:rPr>
      <w:rFonts w:ascii="Helvetica Neue" w:hAnsi="Helvetica Neue" w:cs="Lucida Sans"/>
    </w:rPr>
  </w:style>
  <w:style w:type="paragraph" w:styleId="Caption">
    <w:name w:val="caption"/>
    <w:basedOn w:val="Normal"/>
    <w:uiPriority w:val="35"/>
    <w:qFormat/>
    <w:pPr>
      <w:suppressLineNumbers/>
      <w:spacing w:before="120" w:after="120"/>
    </w:pPr>
    <w:rPr>
      <w:rFonts w:ascii="Helvetica Neue" w:hAnsi="Helvetica Neue" w:cs="Lucida Sans"/>
      <w:i/>
      <w:iCs/>
      <w:sz w:val="24"/>
      <w:szCs w:val="24"/>
    </w:rPr>
  </w:style>
  <w:style w:type="paragraph" w:customStyle="1" w:styleId="Index">
    <w:name w:val="Index"/>
    <w:basedOn w:val="Normal"/>
    <w:qFormat/>
    <w:pPr>
      <w:suppressLineNumbers/>
    </w:pPr>
    <w:rPr>
      <w:rFonts w:ascii="Helvetica Neue" w:hAnsi="Helvetica Neue" w:cs="Lucida Sans"/>
    </w:rPr>
  </w:style>
  <w:style w:type="paragraph" w:customStyle="1" w:styleId="BaseText">
    <w:name w:val="Base_Text"/>
    <w:qFormat/>
    <w:pPr>
      <w:spacing w:before="120"/>
    </w:pPr>
    <w:rPr>
      <w:sz w:val="24"/>
      <w:szCs w:val="24"/>
    </w:rPr>
  </w:style>
  <w:style w:type="paragraph" w:customStyle="1" w:styleId="1stparatext">
    <w:name w:val="1st para text"/>
    <w:basedOn w:val="BaseText"/>
    <w:qFormat/>
  </w:style>
  <w:style w:type="paragraph" w:customStyle="1" w:styleId="BaseHeading">
    <w:name w:val="Base_Heading"/>
    <w:qFormat/>
    <w:pPr>
      <w:keepNext/>
      <w:spacing w:before="240"/>
      <w:outlineLvl w:val="0"/>
    </w:pPr>
    <w:rPr>
      <w:kern w:val="2"/>
      <w:sz w:val="28"/>
      <w:szCs w:val="28"/>
    </w:rPr>
  </w:style>
  <w:style w:type="paragraph" w:customStyle="1" w:styleId="AbstractHead">
    <w:name w:val="Abstract Head"/>
    <w:basedOn w:val="BaseHeading"/>
    <w:qFormat/>
  </w:style>
  <w:style w:type="paragraph" w:customStyle="1" w:styleId="AbstractSummary">
    <w:name w:val="Abstract/Summary"/>
    <w:basedOn w:val="BaseText"/>
    <w:qFormat/>
  </w:style>
  <w:style w:type="paragraph" w:customStyle="1" w:styleId="Referencesandnotes">
    <w:name w:val="References and notes"/>
    <w:basedOn w:val="BaseText"/>
    <w:qFormat/>
    <w:pPr>
      <w:ind w:left="720" w:hanging="720"/>
    </w:pPr>
  </w:style>
  <w:style w:type="paragraph" w:customStyle="1" w:styleId="Acknowledgement">
    <w:name w:val="Acknowledgement"/>
    <w:basedOn w:val="Referencesandnotes"/>
    <w:qFormat/>
  </w:style>
  <w:style w:type="paragraph" w:customStyle="1" w:styleId="Subhead">
    <w:name w:val="Subhead"/>
    <w:basedOn w:val="BaseHeading"/>
    <w:qFormat/>
    <w:rPr>
      <w:b/>
      <w:bCs/>
      <w:sz w:val="24"/>
      <w:szCs w:val="24"/>
    </w:rPr>
  </w:style>
  <w:style w:type="paragraph" w:customStyle="1" w:styleId="AppendixHead">
    <w:name w:val="AppendixHead"/>
    <w:basedOn w:val="Subhead"/>
    <w:qFormat/>
  </w:style>
  <w:style w:type="paragraph" w:customStyle="1" w:styleId="AppendixSubhead">
    <w:name w:val="AppendixSubhead"/>
    <w:basedOn w:val="Subhead"/>
    <w:qFormat/>
  </w:style>
  <w:style w:type="paragraph" w:customStyle="1" w:styleId="Articletype">
    <w:name w:val="Article type"/>
    <w:basedOn w:val="BaseText"/>
    <w:qFormat/>
  </w:style>
  <w:style w:type="paragraph" w:customStyle="1" w:styleId="AuthorAttribute">
    <w:name w:val="Author Attribute"/>
    <w:basedOn w:val="BaseText"/>
    <w:qFormat/>
    <w:pPr>
      <w:spacing w:before="480"/>
    </w:pPr>
  </w:style>
  <w:style w:type="paragraph" w:customStyle="1" w:styleId="FootnoteText1">
    <w:name w:val="Footnote Text1"/>
    <w:basedOn w:val="BaseText"/>
    <w:qFormat/>
  </w:style>
  <w:style w:type="paragraph" w:customStyle="1" w:styleId="AuthorFootnote">
    <w:name w:val="AuthorFootnote"/>
    <w:basedOn w:val="FootnoteText1"/>
    <w:qFormat/>
    <w:rPr>
      <w:lang w:bidi="he-IL"/>
    </w:rPr>
  </w:style>
  <w:style w:type="paragraph" w:customStyle="1" w:styleId="Authors">
    <w:name w:val="Authors"/>
    <w:basedOn w:val="BaseText"/>
    <w:qFormat/>
    <w:pPr>
      <w:spacing w:after="360"/>
      <w:jc w:val="center"/>
    </w:pPr>
  </w:style>
  <w:style w:type="paragraph" w:styleId="BalloonText">
    <w:name w:val="Balloon Text"/>
    <w:basedOn w:val="Normal"/>
    <w:link w:val="BalloonTextChar"/>
    <w:uiPriority w:val="99"/>
    <w:semiHidden/>
    <w:qFormat/>
    <w:rPr>
      <w:rFonts w:ascii="Lucida Grande" w:hAnsi="Lucida Grande"/>
      <w:sz w:val="18"/>
      <w:szCs w:val="18"/>
    </w:rPr>
  </w:style>
  <w:style w:type="character" w:customStyle="1" w:styleId="BalloonTextChar2">
    <w:name w:val="Balloon Text Char2"/>
    <w:basedOn w:val="DefaultParagraphFont"/>
    <w:uiPriority w:val="99"/>
    <w:semiHidden/>
    <w:rPr>
      <w:rFonts w:ascii="Segoe UI" w:hAnsi="Segoe UI" w:cs="Segoe UI"/>
      <w:sz w:val="18"/>
      <w:szCs w:val="18"/>
    </w:rPr>
  </w:style>
  <w:style w:type="paragraph" w:customStyle="1" w:styleId="BookorMeetingInformation">
    <w:name w:val="Book or Meeting Information"/>
    <w:basedOn w:val="BaseText"/>
    <w:qFormat/>
  </w:style>
  <w:style w:type="paragraph" w:customStyle="1" w:styleId="BookInformation">
    <w:name w:val="BookInformation"/>
    <w:basedOn w:val="BaseText"/>
    <w:qFormat/>
  </w:style>
  <w:style w:type="paragraph" w:customStyle="1" w:styleId="Level2Head">
    <w:name w:val="Level 2 Head"/>
    <w:basedOn w:val="BaseHeading"/>
    <w:qFormat/>
    <w:pPr>
      <w:outlineLvl w:val="1"/>
    </w:pPr>
    <w:rPr>
      <w:i/>
      <w:iCs/>
      <w:sz w:val="24"/>
      <w:szCs w:val="24"/>
    </w:rPr>
  </w:style>
  <w:style w:type="paragraph" w:customStyle="1" w:styleId="BoxLevel2Head">
    <w:name w:val="BoxLevel 2 Head"/>
    <w:basedOn w:val="Level2Head"/>
    <w:qFormat/>
    <w:pPr>
      <w:shd w:val="clear" w:color="auto" w:fill="E6E6E6"/>
    </w:pPr>
  </w:style>
  <w:style w:type="paragraph" w:customStyle="1" w:styleId="BoxListUnnumbered">
    <w:name w:val="BoxListUnnumbered"/>
    <w:basedOn w:val="BaseText"/>
    <w:qFormat/>
    <w:pPr>
      <w:shd w:val="clear" w:color="auto" w:fill="E6E6E6"/>
      <w:ind w:left="1080" w:hanging="360"/>
    </w:pPr>
  </w:style>
  <w:style w:type="paragraph" w:customStyle="1" w:styleId="BoxList">
    <w:name w:val="BoxList"/>
    <w:basedOn w:val="BoxListUnnumbered"/>
    <w:qFormat/>
  </w:style>
  <w:style w:type="paragraph" w:customStyle="1" w:styleId="BoxSubhead">
    <w:name w:val="BoxSubhead"/>
    <w:basedOn w:val="Subhead"/>
    <w:qFormat/>
    <w:pPr>
      <w:shd w:val="clear" w:color="auto" w:fill="E6E6E6"/>
    </w:pPr>
  </w:style>
  <w:style w:type="paragraph" w:customStyle="1" w:styleId="Paragraph">
    <w:name w:val="Paragraph"/>
    <w:basedOn w:val="BaseText"/>
    <w:qFormat/>
    <w:pPr>
      <w:ind w:firstLine="720"/>
    </w:pPr>
  </w:style>
  <w:style w:type="paragraph" w:customStyle="1" w:styleId="BoxText">
    <w:name w:val="BoxText"/>
    <w:basedOn w:val="Paragraph"/>
    <w:qFormat/>
    <w:pPr>
      <w:shd w:val="clear" w:color="auto" w:fill="E6E6E6"/>
    </w:pPr>
  </w:style>
  <w:style w:type="paragraph" w:customStyle="1" w:styleId="BoxTitle">
    <w:name w:val="BoxTitle"/>
    <w:basedOn w:val="BaseHeading"/>
    <w:qFormat/>
    <w:pPr>
      <w:shd w:val="clear" w:color="auto" w:fill="E6E6E6"/>
    </w:pPr>
    <w:rPr>
      <w:b/>
      <w:sz w:val="24"/>
      <w:szCs w:val="24"/>
    </w:rPr>
  </w:style>
  <w:style w:type="paragraph" w:customStyle="1" w:styleId="BulletedText">
    <w:name w:val="Bulleted Text"/>
    <w:basedOn w:val="BaseText"/>
    <w:qFormat/>
    <w:pPr>
      <w:ind w:left="720" w:hanging="720"/>
    </w:pPr>
  </w:style>
  <w:style w:type="paragraph" w:customStyle="1" w:styleId="career-magazine">
    <w:name w:val="career-magazine"/>
    <w:basedOn w:val="BaseText"/>
    <w:qFormat/>
    <w:pPr>
      <w:jc w:val="right"/>
    </w:pPr>
    <w:rPr>
      <w:color w:val="FF0000"/>
    </w:rPr>
  </w:style>
  <w:style w:type="paragraph" w:customStyle="1" w:styleId="career-stage">
    <w:name w:val="career-stage"/>
    <w:basedOn w:val="BaseText"/>
    <w:qFormat/>
    <w:pPr>
      <w:jc w:val="right"/>
    </w:pPr>
    <w:rPr>
      <w:color w:val="339966"/>
    </w:rPr>
  </w:style>
  <w:style w:type="paragraph" w:styleId="CommentText">
    <w:name w:val="annotation text"/>
    <w:basedOn w:val="Normal"/>
    <w:link w:val="CommentTextChar"/>
    <w:uiPriority w:val="99"/>
    <w:semiHidden/>
    <w:qFormat/>
  </w:style>
  <w:style w:type="character" w:customStyle="1" w:styleId="CommentTextChar2">
    <w:name w:val="Comment Text Char2"/>
    <w:basedOn w:val="DefaultParagraphFont"/>
    <w:uiPriority w:val="99"/>
    <w:semiHidden/>
  </w:style>
  <w:style w:type="paragraph" w:styleId="CommentSubject">
    <w:name w:val="annotation subject"/>
    <w:basedOn w:val="CommentText"/>
    <w:link w:val="CommentSubjectChar"/>
    <w:uiPriority w:val="99"/>
    <w:semiHidden/>
    <w:unhideWhenUsed/>
    <w:qFormat/>
    <w:rPr>
      <w:b/>
      <w:bCs/>
    </w:rPr>
  </w:style>
  <w:style w:type="character" w:customStyle="1" w:styleId="CommentSubjectChar2">
    <w:name w:val="Comment Subject Char2"/>
    <w:basedOn w:val="CommentTextChar"/>
    <w:uiPriority w:val="99"/>
    <w:semiHidden/>
    <w:rPr>
      <w:rFonts w:eastAsia="Times New Roman" w:cs="Times New Roman"/>
      <w:b/>
      <w:bCs/>
    </w:rPr>
  </w:style>
  <w:style w:type="paragraph" w:customStyle="1" w:styleId="ContinuedParagraph">
    <w:name w:val="ContinuedParagraph"/>
    <w:basedOn w:val="Paragraph"/>
    <w:qFormat/>
    <w:pPr>
      <w:ind w:firstLine="0"/>
    </w:pPr>
  </w:style>
  <w:style w:type="paragraph" w:customStyle="1" w:styleId="Correspondence">
    <w:name w:val="Correspondence"/>
    <w:basedOn w:val="BaseText"/>
    <w:qFormat/>
    <w:pPr>
      <w:spacing w:before="0" w:after="240"/>
    </w:pPr>
  </w:style>
  <w:style w:type="paragraph" w:customStyle="1" w:styleId="DateAccepted">
    <w:name w:val="Date Accepted"/>
    <w:basedOn w:val="BaseText"/>
    <w:qFormat/>
    <w:pPr>
      <w:spacing w:before="360"/>
    </w:pPr>
  </w:style>
  <w:style w:type="paragraph" w:customStyle="1" w:styleId="Deck">
    <w:name w:val="Deck"/>
    <w:basedOn w:val="BaseHeading"/>
    <w:qFormat/>
    <w:pPr>
      <w:outlineLvl w:val="1"/>
    </w:pPr>
  </w:style>
  <w:style w:type="paragraph" w:customStyle="1" w:styleId="DefTerm">
    <w:name w:val="DefTerm"/>
    <w:basedOn w:val="BaseText"/>
    <w:qFormat/>
    <w:pPr>
      <w:ind w:left="720"/>
    </w:pPr>
  </w:style>
  <w:style w:type="paragraph" w:customStyle="1" w:styleId="Definition">
    <w:name w:val="Definition"/>
    <w:basedOn w:val="DefTerm"/>
    <w:qFormat/>
    <w:pPr>
      <w:ind w:left="1080" w:hanging="360"/>
    </w:pPr>
  </w:style>
  <w:style w:type="paragraph" w:customStyle="1" w:styleId="DefListTitle">
    <w:name w:val="DefListTitle"/>
    <w:basedOn w:val="BaseHeading"/>
    <w:qFormat/>
  </w:style>
  <w:style w:type="paragraph" w:customStyle="1" w:styleId="discipline">
    <w:name w:val="discipline"/>
    <w:basedOn w:val="BaseText"/>
    <w:qFormat/>
    <w:pPr>
      <w:jc w:val="right"/>
    </w:pPr>
    <w:rPr>
      <w:color w:val="993366"/>
    </w:rPr>
  </w:style>
  <w:style w:type="paragraph" w:customStyle="1" w:styleId="Editors">
    <w:name w:val="Editors"/>
    <w:basedOn w:val="Authors"/>
    <w:qFormat/>
  </w:style>
  <w:style w:type="paragraph" w:styleId="EndnoteText">
    <w:name w:val="endnote text"/>
    <w:basedOn w:val="Normal"/>
    <w:link w:val="EndnoteTextChar"/>
    <w:uiPriority w:val="99"/>
    <w:semiHidden/>
    <w:qFormat/>
    <w:rPr>
      <w:rFonts w:ascii="Cambria" w:hAnsi="Cambria"/>
    </w:rPr>
  </w:style>
  <w:style w:type="character" w:customStyle="1" w:styleId="EndnoteTextChar2">
    <w:name w:val="Endnote Text Char2"/>
    <w:basedOn w:val="DefaultParagraphFont"/>
    <w:uiPriority w:val="99"/>
    <w:semiHidden/>
  </w:style>
  <w:style w:type="paragraph" w:customStyle="1" w:styleId="Equation">
    <w:name w:val="Equation"/>
    <w:basedOn w:val="BaseText"/>
    <w:qFormat/>
    <w:pPr>
      <w:jc w:val="center"/>
    </w:pPr>
  </w:style>
  <w:style w:type="paragraph" w:customStyle="1" w:styleId="FieldCodes">
    <w:name w:val="FieldCodes"/>
    <w:basedOn w:val="BaseText"/>
    <w:qFormat/>
  </w:style>
  <w:style w:type="paragraph" w:customStyle="1" w:styleId="Legend">
    <w:name w:val="Legend"/>
    <w:basedOn w:val="BaseHeading"/>
    <w:qFormat/>
    <w:rPr>
      <w:sz w:val="24"/>
      <w:szCs w:val="24"/>
    </w:rPr>
  </w:style>
  <w:style w:type="paragraph" w:customStyle="1" w:styleId="FigureCopyright">
    <w:name w:val="FigureCopyright"/>
    <w:basedOn w:val="Legend"/>
    <w:qFormat/>
    <w:pPr>
      <w:spacing w:before="80"/>
    </w:pPr>
    <w:rPr>
      <w:lang w:bidi="he-IL"/>
    </w:rPr>
  </w:style>
  <w:style w:type="paragraph" w:customStyle="1" w:styleId="FigureCredit">
    <w:name w:val="FigureCredit"/>
    <w:basedOn w:val="FigureCopyright"/>
    <w:qFormat/>
  </w:style>
  <w:style w:type="paragraph" w:styleId="Footer">
    <w:name w:val="footer"/>
    <w:basedOn w:val="Normal"/>
    <w:link w:val="FooterChar"/>
    <w:uiPriority w:val="99"/>
    <w:pPr>
      <w:suppressLineNumbers/>
      <w:tabs>
        <w:tab w:val="center" w:pos="4320"/>
        <w:tab w:val="right" w:pos="8640"/>
      </w:tabs>
    </w:pPr>
  </w:style>
  <w:style w:type="character" w:customStyle="1" w:styleId="FooterChar2">
    <w:name w:val="Footer Char2"/>
    <w:basedOn w:val="DefaultParagraphFont"/>
    <w:uiPriority w:val="99"/>
    <w:semiHidden/>
  </w:style>
  <w:style w:type="paragraph" w:customStyle="1" w:styleId="Gloss">
    <w:name w:val="Gloss"/>
    <w:basedOn w:val="AbstractSummary"/>
    <w:qFormat/>
  </w:style>
  <w:style w:type="paragraph" w:customStyle="1" w:styleId="Glossary">
    <w:name w:val="Glossary"/>
    <w:basedOn w:val="BaseText"/>
    <w:qFormat/>
  </w:style>
  <w:style w:type="paragraph" w:customStyle="1" w:styleId="GlossHead">
    <w:name w:val="GlossHead"/>
    <w:basedOn w:val="AbstractHead"/>
    <w:qFormat/>
  </w:style>
  <w:style w:type="paragraph" w:customStyle="1" w:styleId="GraphicAltText">
    <w:name w:val="GraphicAltText"/>
    <w:basedOn w:val="Legend"/>
    <w:qFormat/>
  </w:style>
  <w:style w:type="paragraph" w:customStyle="1" w:styleId="GraphicCredit">
    <w:name w:val="GraphicCredit"/>
    <w:basedOn w:val="FigureCredit"/>
    <w:qFormat/>
  </w:style>
  <w:style w:type="paragraph" w:customStyle="1" w:styleId="Head">
    <w:name w:val="Head"/>
    <w:basedOn w:val="BaseHeading"/>
    <w:qFormat/>
    <w:pPr>
      <w:spacing w:before="120" w:after="120"/>
      <w:jc w:val="center"/>
    </w:pPr>
    <w:rPr>
      <w:b/>
      <w:bCs/>
    </w:rPr>
  </w:style>
  <w:style w:type="paragraph" w:styleId="Header">
    <w:name w:val="header"/>
    <w:basedOn w:val="Normal"/>
    <w:link w:val="HeaderChar"/>
    <w:uiPriority w:val="99"/>
    <w:pPr>
      <w:suppressLineNumbers/>
      <w:tabs>
        <w:tab w:val="center" w:pos="4320"/>
        <w:tab w:val="right" w:pos="8640"/>
      </w:tabs>
    </w:pPr>
  </w:style>
  <w:style w:type="character" w:customStyle="1" w:styleId="HeaderChar2">
    <w:name w:val="Header Char2"/>
    <w:basedOn w:val="DefaultParagraphFont"/>
    <w:uiPriority w:val="99"/>
    <w:semiHidden/>
  </w:style>
  <w:style w:type="paragraph" w:styleId="HTMLPreformatted">
    <w:name w:val="HTML Preformatted"/>
    <w:basedOn w:val="Normal"/>
    <w:link w:val="HTMLPreformattedChar"/>
    <w:uiPriority w:val="99"/>
    <w:qFormat/>
    <w:rPr>
      <w:rFonts w:ascii="Consolas" w:hAnsi="Consolas"/>
    </w:rPr>
  </w:style>
  <w:style w:type="character" w:customStyle="1" w:styleId="HTMLPreformattedChar2">
    <w:name w:val="HTML Preformatted Char2"/>
    <w:basedOn w:val="DefaultParagraphFont"/>
    <w:uiPriority w:val="99"/>
    <w:semiHidden/>
    <w:rPr>
      <w:rFonts w:ascii="Courier New" w:hAnsi="Courier New" w:cs="Courier New"/>
    </w:rPr>
  </w:style>
  <w:style w:type="paragraph" w:customStyle="1" w:styleId="InstructionsText">
    <w:name w:val="Instructions Text"/>
    <w:basedOn w:val="BaseText"/>
    <w:qFormat/>
  </w:style>
  <w:style w:type="paragraph" w:customStyle="1" w:styleId="Overline">
    <w:name w:val="Overline"/>
    <w:basedOn w:val="BaseText"/>
    <w:qFormat/>
  </w:style>
  <w:style w:type="paragraph" w:customStyle="1" w:styleId="IssueName">
    <w:name w:val="IssueName"/>
    <w:basedOn w:val="Overline"/>
    <w:qFormat/>
  </w:style>
  <w:style w:type="paragraph" w:customStyle="1" w:styleId="Keywords">
    <w:name w:val="Keywords"/>
    <w:basedOn w:val="BaseText"/>
    <w:qFormat/>
  </w:style>
  <w:style w:type="paragraph" w:customStyle="1" w:styleId="Level3Head">
    <w:name w:val="Level 3 Head"/>
    <w:basedOn w:val="BaseHeading"/>
    <w:qFormat/>
    <w:pPr>
      <w:outlineLvl w:val="2"/>
    </w:pPr>
    <w:rPr>
      <w:sz w:val="24"/>
      <w:szCs w:val="24"/>
      <w:u w:val="single"/>
    </w:rPr>
  </w:style>
  <w:style w:type="paragraph" w:customStyle="1" w:styleId="Level4Head">
    <w:name w:val="Level 4 Head"/>
    <w:basedOn w:val="BaseHeading"/>
    <w:qFormat/>
    <w:pPr>
      <w:ind w:left="346"/>
    </w:pPr>
    <w:rPr>
      <w:sz w:val="24"/>
      <w:szCs w:val="24"/>
    </w:rPr>
  </w:style>
  <w:style w:type="paragraph" w:customStyle="1" w:styleId="Literaryquote">
    <w:name w:val="Literary quote"/>
    <w:basedOn w:val="BaseText"/>
    <w:qFormat/>
    <w:pPr>
      <w:ind w:left="1440" w:right="1440"/>
    </w:pPr>
  </w:style>
  <w:style w:type="paragraph" w:customStyle="1" w:styleId="MaterialsText">
    <w:name w:val="Materials Text"/>
    <w:basedOn w:val="BaseText"/>
    <w:qFormat/>
  </w:style>
  <w:style w:type="paragraph" w:customStyle="1" w:styleId="NoteInProof">
    <w:name w:val="NoteInProof"/>
    <w:basedOn w:val="BaseText"/>
    <w:qFormat/>
  </w:style>
  <w:style w:type="paragraph" w:customStyle="1" w:styleId="Notes">
    <w:name w:val="Notes"/>
    <w:basedOn w:val="BaseText"/>
    <w:qFormat/>
    <w:rPr>
      <w:i/>
    </w:rPr>
  </w:style>
  <w:style w:type="paragraph" w:customStyle="1" w:styleId="Notes-Helvetica">
    <w:name w:val="Notes-Helvetica"/>
    <w:basedOn w:val="BaseText"/>
    <w:qFormat/>
    <w:rPr>
      <w:i/>
    </w:rPr>
  </w:style>
  <w:style w:type="paragraph" w:customStyle="1" w:styleId="NumberedInstructions">
    <w:name w:val="Numbered Instructions"/>
    <w:basedOn w:val="BaseText"/>
    <w:qFormat/>
  </w:style>
  <w:style w:type="paragraph" w:customStyle="1" w:styleId="OutlineLevel1">
    <w:name w:val="OutlineLevel1"/>
    <w:basedOn w:val="BaseHeading"/>
    <w:qFormat/>
    <w:rPr>
      <w:b/>
      <w:bCs/>
    </w:rPr>
  </w:style>
  <w:style w:type="paragraph" w:customStyle="1" w:styleId="OutlineLevel2">
    <w:name w:val="OutlineLevel2"/>
    <w:basedOn w:val="BaseHeading"/>
    <w:qFormat/>
    <w:pPr>
      <w:ind w:left="360"/>
      <w:outlineLvl w:val="1"/>
    </w:pPr>
    <w:rPr>
      <w:b/>
      <w:bCs/>
      <w:sz w:val="24"/>
      <w:szCs w:val="24"/>
    </w:rPr>
  </w:style>
  <w:style w:type="paragraph" w:customStyle="1" w:styleId="OutlineLevel3">
    <w:name w:val="OutlineLevel3"/>
    <w:basedOn w:val="BaseHeading"/>
    <w:qFormat/>
    <w:pPr>
      <w:ind w:left="720"/>
      <w:outlineLvl w:val="2"/>
    </w:pPr>
    <w:rPr>
      <w:b/>
      <w:bCs/>
      <w:sz w:val="24"/>
      <w:szCs w:val="24"/>
    </w:rPr>
  </w:style>
  <w:style w:type="paragraph" w:customStyle="1" w:styleId="Preformat">
    <w:name w:val="Preformat"/>
    <w:basedOn w:val="BaseText"/>
    <w:qFormat/>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qFormat/>
  </w:style>
  <w:style w:type="paragraph" w:customStyle="1" w:styleId="ProductInformation">
    <w:name w:val="ProductInformation"/>
    <w:basedOn w:val="BaseText"/>
    <w:qFormat/>
  </w:style>
  <w:style w:type="paragraph" w:customStyle="1" w:styleId="ProductTitle">
    <w:name w:val="ProductTitle"/>
    <w:basedOn w:val="BaseText"/>
    <w:qFormat/>
    <w:rPr>
      <w:b/>
      <w:bCs/>
    </w:rPr>
  </w:style>
  <w:style w:type="paragraph" w:customStyle="1" w:styleId="PublishedOnline">
    <w:name w:val="Published Online"/>
    <w:basedOn w:val="DateAccepted"/>
    <w:qFormat/>
  </w:style>
  <w:style w:type="paragraph" w:customStyle="1" w:styleId="RecipeMaterials">
    <w:name w:val="Recipe Materials"/>
    <w:basedOn w:val="BaseText"/>
    <w:qFormat/>
  </w:style>
  <w:style w:type="paragraph" w:customStyle="1" w:styleId="Refhead">
    <w:name w:val="Ref head"/>
    <w:basedOn w:val="BaseHeading"/>
    <w:qFormat/>
    <w:pPr>
      <w:spacing w:before="120" w:after="120"/>
    </w:pPr>
    <w:rPr>
      <w:b/>
      <w:bCs/>
      <w:sz w:val="24"/>
      <w:szCs w:val="24"/>
    </w:rPr>
  </w:style>
  <w:style w:type="paragraph" w:customStyle="1" w:styleId="ReferenceNote">
    <w:name w:val="Reference Note"/>
    <w:basedOn w:val="Referencesandnotes"/>
    <w:qFormat/>
  </w:style>
  <w:style w:type="paragraph" w:customStyle="1" w:styleId="ReferencesandnotesLong">
    <w:name w:val="References and notes Long"/>
    <w:basedOn w:val="BaseText"/>
    <w:qFormat/>
    <w:pPr>
      <w:ind w:left="720" w:hanging="720"/>
    </w:pPr>
  </w:style>
  <w:style w:type="paragraph" w:customStyle="1" w:styleId="region">
    <w:name w:val="region"/>
    <w:basedOn w:val="BaseText"/>
    <w:qFormat/>
    <w:pPr>
      <w:jc w:val="right"/>
    </w:pPr>
    <w:rPr>
      <w:color w:val="0000FF"/>
    </w:rPr>
  </w:style>
  <w:style w:type="paragraph" w:customStyle="1" w:styleId="RelatedArticle">
    <w:name w:val="RelatedArticle"/>
    <w:basedOn w:val="Referencesandnotes"/>
    <w:qFormat/>
  </w:style>
  <w:style w:type="paragraph" w:customStyle="1" w:styleId="RunHead">
    <w:name w:val="RunHead"/>
    <w:basedOn w:val="BaseText"/>
    <w:qFormat/>
  </w:style>
  <w:style w:type="paragraph" w:customStyle="1" w:styleId="SOMContent">
    <w:name w:val="SOMContent"/>
    <w:basedOn w:val="1stparatext"/>
    <w:qFormat/>
  </w:style>
  <w:style w:type="paragraph" w:customStyle="1" w:styleId="SOMHead">
    <w:name w:val="SOMHead"/>
    <w:basedOn w:val="BaseHeading"/>
    <w:qFormat/>
    <w:rPr>
      <w:b/>
      <w:sz w:val="24"/>
      <w:szCs w:val="24"/>
    </w:rPr>
  </w:style>
  <w:style w:type="paragraph" w:customStyle="1" w:styleId="Speaker">
    <w:name w:val="Speaker"/>
    <w:basedOn w:val="Paragraph"/>
    <w:qFormat/>
    <w:rPr>
      <w:b/>
      <w:lang w:bidi="he-IL"/>
    </w:rPr>
  </w:style>
  <w:style w:type="paragraph" w:customStyle="1" w:styleId="Speech">
    <w:name w:val="Speech"/>
    <w:basedOn w:val="Paragraph"/>
    <w:qFormat/>
    <w:rPr>
      <w:lang w:bidi="he-IL"/>
    </w:rPr>
  </w:style>
  <w:style w:type="paragraph" w:customStyle="1" w:styleId="SX-Abstract">
    <w:name w:val="SX-Abstract"/>
    <w:basedOn w:val="Normal"/>
    <w:qFormat/>
    <w:pPr>
      <w:widowControl w:val="0"/>
      <w:spacing w:before="120" w:after="240" w:line="210" w:lineRule="exact"/>
      <w:ind w:left="700" w:right="700"/>
      <w:jc w:val="both"/>
    </w:pPr>
    <w:rPr>
      <w:rFonts w:ascii="BlissRegular" w:hAnsi="BlissRegular"/>
      <w:b/>
    </w:rPr>
  </w:style>
  <w:style w:type="paragraph" w:customStyle="1" w:styleId="SX-Affiliation">
    <w:name w:val="SX-Affiliation"/>
    <w:basedOn w:val="Normal"/>
    <w:next w:val="Normal"/>
    <w:qFormat/>
    <w:pPr>
      <w:spacing w:after="160" w:line="190" w:lineRule="exact"/>
    </w:pPr>
    <w:rPr>
      <w:rFonts w:ascii="BlissRegular" w:hAnsi="BlissRegular"/>
      <w:sz w:val="16"/>
    </w:rPr>
  </w:style>
  <w:style w:type="paragraph" w:customStyle="1" w:styleId="SX-Articlehead">
    <w:name w:val="SX-Article head"/>
    <w:basedOn w:val="Normal"/>
    <w:qFormat/>
    <w:pPr>
      <w:spacing w:before="210" w:line="210" w:lineRule="exact"/>
      <w:ind w:firstLine="288"/>
      <w:jc w:val="both"/>
    </w:pPr>
    <w:rPr>
      <w:b/>
      <w:sz w:val="18"/>
    </w:rPr>
  </w:style>
  <w:style w:type="paragraph" w:customStyle="1" w:styleId="SX-Authornames">
    <w:name w:val="SX-Author names"/>
    <w:basedOn w:val="Normal"/>
    <w:qFormat/>
    <w:pPr>
      <w:spacing w:after="120" w:line="210" w:lineRule="exact"/>
    </w:pPr>
    <w:rPr>
      <w:rFonts w:ascii="BlissMedium" w:hAnsi="BlissMedium"/>
    </w:rPr>
  </w:style>
  <w:style w:type="paragraph" w:customStyle="1" w:styleId="SX-Bodytext">
    <w:name w:val="SX-Body text"/>
    <w:basedOn w:val="Normal"/>
    <w:next w:val="Normal"/>
    <w:qFormat/>
    <w:pPr>
      <w:spacing w:line="210" w:lineRule="exact"/>
      <w:ind w:firstLine="288"/>
      <w:jc w:val="both"/>
    </w:pPr>
    <w:rPr>
      <w:sz w:val="18"/>
    </w:rPr>
  </w:style>
  <w:style w:type="paragraph" w:customStyle="1" w:styleId="SX-Bodytextflush">
    <w:name w:val="SX-Body text flush"/>
    <w:basedOn w:val="SX-Bodytext"/>
    <w:qFormat/>
    <w:pPr>
      <w:ind w:firstLine="0"/>
    </w:pPr>
  </w:style>
  <w:style w:type="paragraph" w:customStyle="1" w:styleId="SX-Correspondence">
    <w:name w:val="SX-Correspondence"/>
    <w:basedOn w:val="SX-Affiliation"/>
    <w:qFormat/>
    <w:pPr>
      <w:spacing w:after="80"/>
    </w:pPr>
  </w:style>
  <w:style w:type="paragraph" w:customStyle="1" w:styleId="SX-Date">
    <w:name w:val="SX-Date"/>
    <w:basedOn w:val="Normal"/>
    <w:qFormat/>
    <w:pPr>
      <w:spacing w:before="180" w:line="190" w:lineRule="exact"/>
      <w:ind w:left="245" w:hanging="245"/>
      <w:jc w:val="both"/>
    </w:pPr>
    <w:rPr>
      <w:sz w:val="16"/>
    </w:rPr>
  </w:style>
  <w:style w:type="paragraph" w:customStyle="1" w:styleId="SX-Equation">
    <w:name w:val="SX-Equation"/>
    <w:basedOn w:val="SX-Bodytextflush"/>
    <w:qFormat/>
    <w:pPr>
      <w:spacing w:line="240" w:lineRule="auto"/>
      <w:jc w:val="center"/>
    </w:pPr>
  </w:style>
  <w:style w:type="paragraph" w:customStyle="1" w:styleId="SX-Legend">
    <w:name w:val="SX-Legend"/>
    <w:basedOn w:val="SX-Authornames"/>
    <w:qFormat/>
    <w:pPr>
      <w:jc w:val="both"/>
    </w:pPr>
    <w:rPr>
      <w:sz w:val="18"/>
    </w:rPr>
  </w:style>
  <w:style w:type="paragraph" w:customStyle="1" w:styleId="SX-References">
    <w:name w:val="SX-References"/>
    <w:basedOn w:val="Normal"/>
    <w:qFormat/>
    <w:pPr>
      <w:spacing w:line="190" w:lineRule="exact"/>
      <w:ind w:left="245" w:hanging="245"/>
      <w:jc w:val="both"/>
    </w:pPr>
    <w:rPr>
      <w:sz w:val="16"/>
    </w:rPr>
  </w:style>
  <w:style w:type="paragraph" w:customStyle="1" w:styleId="SX-RefHead">
    <w:name w:val="SX-RefHead"/>
    <w:basedOn w:val="Normal"/>
    <w:qFormat/>
    <w:pPr>
      <w:spacing w:before="200" w:line="190" w:lineRule="exact"/>
    </w:pPr>
    <w:rPr>
      <w:b/>
      <w:sz w:val="16"/>
    </w:rPr>
  </w:style>
  <w:style w:type="paragraph" w:customStyle="1" w:styleId="SX-SOMHead">
    <w:name w:val="SX-SOMHead"/>
    <w:basedOn w:val="SX-RefHead"/>
    <w:qFormat/>
  </w:style>
  <w:style w:type="paragraph" w:customStyle="1" w:styleId="SX-Tablehead">
    <w:name w:val="SX-Tablehead"/>
    <w:basedOn w:val="Normal"/>
    <w:qFormat/>
    <w:rPr>
      <w:szCs w:val="24"/>
    </w:rPr>
  </w:style>
  <w:style w:type="paragraph" w:customStyle="1" w:styleId="SX-Tablelegend">
    <w:name w:val="SX-Tablelegend"/>
    <w:basedOn w:val="Normal"/>
    <w:qFormat/>
    <w:pPr>
      <w:spacing w:line="190" w:lineRule="exact"/>
      <w:ind w:left="245" w:hanging="245"/>
      <w:jc w:val="both"/>
    </w:pPr>
    <w:rPr>
      <w:sz w:val="16"/>
    </w:rPr>
  </w:style>
  <w:style w:type="paragraph" w:customStyle="1" w:styleId="SX-Tabletext">
    <w:name w:val="SX-Tabletext"/>
    <w:basedOn w:val="Normal"/>
    <w:qFormat/>
    <w:pPr>
      <w:spacing w:line="210" w:lineRule="exact"/>
      <w:jc w:val="center"/>
    </w:pPr>
    <w:rPr>
      <w:sz w:val="18"/>
    </w:rPr>
  </w:style>
  <w:style w:type="paragraph" w:customStyle="1" w:styleId="SX-Tabletitle">
    <w:name w:val="SX-Tabletitle"/>
    <w:basedOn w:val="Normal"/>
    <w:qFormat/>
    <w:pPr>
      <w:spacing w:after="120" w:line="210" w:lineRule="exact"/>
      <w:jc w:val="both"/>
    </w:pPr>
    <w:rPr>
      <w:rFonts w:ascii="BlissMedium" w:hAnsi="BlissMedium"/>
      <w:sz w:val="18"/>
    </w:rPr>
  </w:style>
  <w:style w:type="paragraph" w:customStyle="1" w:styleId="SX-Title">
    <w:name w:val="SX-Title"/>
    <w:basedOn w:val="Normal"/>
    <w:qFormat/>
    <w:pPr>
      <w:spacing w:after="240" w:line="500" w:lineRule="exact"/>
    </w:pPr>
    <w:rPr>
      <w:rFonts w:ascii="BlissBold" w:hAnsi="BlissBold"/>
      <w:b/>
      <w:sz w:val="44"/>
    </w:rPr>
  </w:style>
  <w:style w:type="paragraph" w:customStyle="1" w:styleId="Tablecolumnhead">
    <w:name w:val="Table column head"/>
    <w:basedOn w:val="BaseText"/>
    <w:qFormat/>
    <w:pPr>
      <w:spacing w:before="0"/>
    </w:pPr>
  </w:style>
  <w:style w:type="paragraph" w:customStyle="1" w:styleId="Tabletext">
    <w:name w:val="Table text"/>
    <w:basedOn w:val="BaseText"/>
    <w:qFormat/>
    <w:pPr>
      <w:spacing w:before="0"/>
    </w:pPr>
  </w:style>
  <w:style w:type="paragraph" w:customStyle="1" w:styleId="TableLegend">
    <w:name w:val="TableLegend"/>
    <w:basedOn w:val="BaseText"/>
    <w:qFormat/>
    <w:pPr>
      <w:spacing w:before="0"/>
    </w:pPr>
  </w:style>
  <w:style w:type="paragraph" w:customStyle="1" w:styleId="TableTitle">
    <w:name w:val="TableTitle"/>
    <w:basedOn w:val="BaseHeading"/>
    <w:qFormat/>
  </w:style>
  <w:style w:type="paragraph" w:customStyle="1" w:styleId="Teaser">
    <w:name w:val="Teaser"/>
    <w:basedOn w:val="BaseText"/>
    <w:qFormat/>
  </w:style>
  <w:style w:type="paragraph" w:customStyle="1" w:styleId="TWIS">
    <w:name w:val="TWIS"/>
    <w:basedOn w:val="AbstractSummary"/>
    <w:qFormat/>
  </w:style>
  <w:style w:type="paragraph" w:customStyle="1" w:styleId="TWISorEC">
    <w:name w:val="TWIS or EC"/>
    <w:basedOn w:val="Normal"/>
    <w:qFormat/>
    <w:pPr>
      <w:spacing w:line="210" w:lineRule="exact"/>
    </w:pPr>
    <w:rPr>
      <w:rFonts w:ascii="BlissRegular" w:hAnsi="BlissRegular"/>
      <w:sz w:val="19"/>
    </w:rPr>
  </w:style>
  <w:style w:type="paragraph" w:customStyle="1" w:styleId="work-sector">
    <w:name w:val="work-sector"/>
    <w:basedOn w:val="BaseText"/>
    <w:qFormat/>
    <w:pPr>
      <w:jc w:val="right"/>
    </w:pPr>
    <w:rPr>
      <w:color w:val="003300"/>
    </w:rPr>
  </w:style>
  <w:style w:type="paragraph" w:customStyle="1" w:styleId="DOI">
    <w:name w:val="DOI"/>
    <w:basedOn w:val="DateAccepted"/>
    <w:qFormat/>
  </w:style>
  <w:style w:type="paragraph" w:customStyle="1" w:styleId="Corps">
    <w:name w:val="Corps"/>
    <w:qFormat/>
    <w:pPr>
      <w:spacing w:after="160" w:line="259" w:lineRule="auto"/>
    </w:pPr>
    <w:rPr>
      <w:rFonts w:ascii="Calibri" w:eastAsia="Arial Unicode MS" w:hAnsi="Calibri" w:cs="Arial Unicode MS"/>
      <w:color w:val="00000A"/>
      <w:sz w:val="22"/>
      <w:szCs w:val="22"/>
      <w:u w:color="00000A"/>
    </w:rPr>
  </w:style>
  <w:style w:type="paragraph" w:customStyle="1" w:styleId="WW-Standard">
    <w:name w:val="WW-Standard"/>
    <w:qFormat/>
    <w:pPr>
      <w:suppressAutoHyphens/>
    </w:pPr>
    <w:rPr>
      <w:sz w:val="24"/>
      <w:szCs w:val="24"/>
      <w:lang w:val="en-GB" w:eastAsia="zh-CN"/>
    </w:rPr>
  </w:style>
  <w:style w:type="paragraph" w:customStyle="1" w:styleId="SMText">
    <w:name w:val="SM Text"/>
    <w:basedOn w:val="Normal"/>
    <w:qFormat/>
    <w:pPr>
      <w:ind w:firstLine="480"/>
    </w:pPr>
    <w:rPr>
      <w:sz w:val="24"/>
    </w:rPr>
  </w:style>
  <w:style w:type="paragraph" w:styleId="ListParagraph">
    <w:name w:val="List Paragraph"/>
    <w:basedOn w:val="Normal"/>
    <w:uiPriority w:val="72"/>
    <w:qFormat/>
    <w:pPr>
      <w:ind w:left="720"/>
      <w:contextualSpacing/>
    </w:pPr>
  </w:style>
  <w:style w:type="paragraph" w:styleId="Revision">
    <w:name w:val="Revision"/>
    <w:uiPriority w:val="71"/>
    <w:qFormat/>
  </w:style>
  <w:style w:type="character" w:styleId="Hyperlink">
    <w:name w:val="Hyperlink"/>
    <w:basedOn w:val="DefaultParagraphFont"/>
    <w:uiPriority w:val="99"/>
    <w:unhideWhenUsed/>
    <w:rsid w:val="00B34A68"/>
    <w:rPr>
      <w:rFonts w:cs="Times New Roman"/>
      <w:color w:val="0000FF" w:themeColor="hyperlink"/>
      <w:u w:val="single"/>
    </w:rPr>
  </w:style>
  <w:style w:type="paragraph" w:customStyle="1" w:styleId="SMcaption">
    <w:name w:val="SM caption"/>
    <w:basedOn w:val="SMText"/>
    <w:qFormat/>
    <w:rsid w:val="0067501C"/>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osf.io/afwm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xime.derex@gmail.com" TargetMode="External"/><Relationship Id="rId12" Type="http://schemas.openxmlformats.org/officeDocument/2006/relationships/hyperlink" Target="http://osf.io/afwm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osf.io/afwmr"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osf.io/afwm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EF828-915F-43FD-8860-C3B95DA55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6654</Words>
  <Characters>36603</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bhanson</dc:creator>
  <cp:keywords/>
  <dc:description/>
  <cp:lastModifiedBy>Derex, Maxime</cp:lastModifiedBy>
  <cp:revision>6</cp:revision>
  <cp:lastPrinted>2018-08-01T10:56:00Z</cp:lastPrinted>
  <dcterms:created xsi:type="dcterms:W3CDTF">2019-03-27T12:58:00Z</dcterms:created>
  <dcterms:modified xsi:type="dcterms:W3CDTF">2019-03-27T13:42:00Z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