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A2634"/>
          <w:sz w:val="56"/>
          <w:szCs w:val="56"/>
        </w:rPr>
        <w:t xml:space="preserve">Liver Disease Classification</w:t>
      </w:r>
    </w:p>
    <w:p>
      <w:pPr>
        <w:spacing w:after="400"/>
        <w:jc w:val="center"/>
      </w:pPr>
      <w:r>
        <w:rPr>
          <w:b/>
          <w:bCs/>
          <w:color w:val="2C3E50"/>
          <w:sz w:val="40"/>
          <w:szCs w:val="40"/>
        </w:rPr>
        <w:t xml:space="preserve">Using Machine Learning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A Comparative Study of Classical Models, Class-Imbalance Handling, Interpretability, and Ensembling on the Indian Liver Patient Dataset (ILPD)</w:t>
      </w:r>
    </w:p>
    <w:p>
      <w:pPr>
        <w:spacing w:after="80"/>
        <w:jc w:val="center"/>
      </w:pPr>
      <w:r>
        <w:rPr>
          <w:i/>
          <w:iCs/>
          <w:color w:val="777777"/>
          <w:sz w:val="22"/>
          <w:szCs w:val="22"/>
        </w:rPr>
        <w:t xml:space="preserve">Technical Project Report</w:t>
      </w:r>
    </w:p>
    <w:p>
      <w:pPr>
        <w:jc w:val="center"/>
      </w:pPr>
      <w:r>
        <w:rPr>
          <w:color w:val="777777"/>
          <w:sz w:val="20"/>
          <w:szCs w:val="20"/>
        </w:rPr>
        <w:t xml:space="preserve">August 2026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28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Executive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Dataset &amp; Methodology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Stage 1 — Baseline Model Comparison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Stage 2 — Class-Imbalance Handling &amp; Hyperparameter Tuning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Stage 3 — Model Interpretability (SHAP)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Stage 4 — Ensemble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Conclusions &amp;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Appendix — Project Files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280"/>
      </w:pPr>
      <w:r>
        <w:t xml:space="preserve">1. Executive Summary</w:t>
      </w:r>
    </w:p>
    <w:p>
      <w:pPr>
        <w:spacing w:after="160"/>
      </w:pPr>
      <w:r>
        <w:t xml:space="preserve">This report documents an end-to-end machine learning pipeline for predicting liver disease from routine blood-test attributes, built and evaluated on the Indian Liver Patient Dataset (ILPD, UCI Machine Learning Repository). The work progressed through four stages: (1) a baseline comparison of eight classical classifiers, (2) class-imbalance handling via SMOTE combined with hyperparameter tuning, (3) model interpretability using SHAP to understand which clinical markers drive predictions, and (4) ensemble modeling to combine the strongest individual classifiers.</w:t>
      </w:r>
    </w:p>
    <w:p>
      <w:pPr>
        <w:spacing w:after="160"/>
      </w:pPr>
      <w:r>
        <w:t xml:space="preserve">The final recommended model is a Soft Voting Ensemble of tuned Logistic Regression, Random Forest, and SVM classifiers, which achieved the best overall balance of accuracy (78.6%), F1-score (0.847), and ROC-AUC (0.831) on a held-out test set, with meaningfully more balanced precision and recall across both classes than any single model.</w:t>
      </w:r>
    </w:p>
    <w:p>
      <w:pPr>
        <w:pStyle w:val="Heading1"/>
        <w:spacing w:after="160" w:before="280"/>
      </w:pPr>
      <w:r>
        <w:t xml:space="preserve">2. Dataset &amp; Methodology</w:t>
      </w:r>
    </w:p>
    <w:p>
      <w:pPr>
        <w:pStyle w:val="Heading2"/>
        <w:spacing w:after="160" w:before="280"/>
      </w:pPr>
      <w:r>
        <w:t xml:space="preserve">2.1 Dataset</w:t>
      </w:r>
    </w:p>
    <w:p>
      <w:pPr>
        <w:spacing w:after="160"/>
      </w:pPr>
      <w:r>
        <w:t xml:space="preserve">The Indian Liver Patient Dataset contains 583 patient records (416 with liver disease, 167 without) collected in North East Andhra Pradesh, India, with 10 predictive attributes: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Age, Gender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Bilirubin, Direct Bilirubin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Alkaline Phosphotase, Alamine Aminotransferase (ALT), Aspartate Aminotransferase (AST)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Proteins, Albumin, Albumin-and-Globulin Ratio</w:t>
      </w:r>
    </w:p>
    <w:p>
      <w:pPr>
        <w:spacing w:after="160"/>
      </w:pPr>
      <w:r>
        <w:t xml:space="preserve">The target class is imbalanced, with roughly 71% of records labeled as liver-disease-positive.</w:t>
      </w:r>
    </w:p>
    <w:p>
      <w:pPr>
        <w:pStyle w:val="Heading2"/>
        <w:spacing w:after="160" w:before="280"/>
      </w:pPr>
      <w:r>
        <w:t xml:space="preserve">2.2 Preprocessing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Gender encoded numerically (Female=0, Male=1).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handful of missing Albumin-and-Globulin-Ratio values imputed with the column median.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80/20 stratified train/test split (random_state=42) held constant across every stage for fair comparison.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Features standardized (zero mean, unit variance) via StandardScaler, fit on the training set only.</w:t>
      </w:r>
    </w:p>
    <w:p>
      <w:pPr>
        <w:spacing w:after="40" w:before="120"/>
        <w:jc w:val="center"/>
      </w:pPr>
      <w:r>
        <w:drawing>
          <wp:inline distT="0" distB="0" distL="0" distR="0">
            <wp:extent cx="24765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Class distribution — the dataset skews toward disease-positive cases.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Feature correlation heatmap. Notable pairs: Total/Direct Bilirubin, Albumin/Total Proteins, and AST/ALT are all strongly correlated.</w:t>
      </w:r>
    </w:p>
    <w:p>
      <w:pPr>
        <w:pStyle w:val="Heading1"/>
        <w:spacing w:after="160" w:before="280"/>
      </w:pPr>
      <w:r>
        <w:t xml:space="preserve">3. Stage 1 — Baseline Model Comparison</w:t>
      </w:r>
    </w:p>
    <w:p>
      <w:pPr>
        <w:spacing w:after="160"/>
      </w:pPr>
      <w:r>
        <w:t xml:space="preserve">Eight classifiers were trained with default-ish settings (class_weight="balanced" where supported) and evaluated with 5-fold stratified cross-validation plus the held-out test set: Logistic Regression, Decision Tree, Random Forest, Gradient Boosting, SVM (RBF), K-Nearest Neighbors, Naive Bayes, and XGBoost.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000"/>
        <w:gridCol w:w="2000"/>
      </w:tblGrid>
      <w:tr>
        <w:trPr>
          <w:tblHeader/>
        </w:trPr>
        <w:tc>
          <w:tcPr>
            <w:tcW w:type="dxa" w:w="4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4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Accuracy</w:t>
            </w:r>
          </w:p>
        </w:tc>
        <w:tc>
          <w:tcPr>
            <w:tcW w:type="dxa" w:w="20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F1</w:t>
            </w:r>
          </w:p>
        </w:tc>
        <w:tc>
          <w:tcPr>
            <w:tcW w:type="dxa" w:w="20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ROC-AUC</w:t>
            </w:r>
          </w:p>
        </w:tc>
      </w:tr>
      <w:tr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SVM (RBF)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0.692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0.743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0.843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0.735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0.786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0.830</w:t>
            </w:r>
          </w:p>
        </w:tc>
      </w:tr>
      <w:tr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Naive Bayes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0.641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0.667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0.796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0.735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0.832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0.780</w:t>
            </w:r>
          </w:p>
        </w:tc>
      </w:tr>
      <w:tr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0.684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0.798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0.746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0.701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0.807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0.726</w:t>
            </w:r>
          </w:p>
        </w:tc>
      </w:tr>
      <w:tr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K-Nearest Neighbors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0.684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0.796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0.706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0.624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0.744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0.518</w:t>
            </w:r>
          </w:p>
        </w:tc>
      </w:tr>
    </w:tbl>
    <w:p>
      <w:pPr>
        <w:spacing w:after="200"/>
      </w:pPr>
    </w:p>
    <w:p>
      <w:pPr>
        <w:spacing w:after="40" w:before="120"/>
        <w:jc w:val="center"/>
      </w:pPr>
      <w:r>
        <w:drawing>
          <wp:inline distT="0" distB="0" distL="0" distR="0">
            <wp:extent cx="3619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ROC curves for all baseline models. SVM and Logistic Regression led on ROC-AUC; Random Forest led on F1.</w:t>
      </w:r>
    </w:p>
    <w:p>
      <w:pPr>
        <w:spacing w:after="160"/>
      </w:pPr>
      <w:r>
        <w:t xml:space="preserve">Takeaway: no single default model dominated across all metrics — SVM and Logistic Regression ranked ROC-AUC, while Random Forest's ensemble of trees gave it the best F1 by better balancing precision and recall. This motivated the tuning and ensembling stages that followed.</w:t>
      </w:r>
    </w:p>
    <w:p>
      <w:pPr>
        <w:pStyle w:val="Heading1"/>
        <w:spacing w:after="160" w:before="280"/>
      </w:pPr>
      <w:r>
        <w:t xml:space="preserve">4. Stage 2 — Class-Imbalance Handling &amp; Hyperparameter Tuning</w:t>
      </w:r>
    </w:p>
    <w:p>
      <w:pPr>
        <w:spacing w:after="160"/>
      </w:pPr>
      <w:r>
        <w:t xml:space="preserve">The three strongest baseline models (Logistic Regression, Random Forest, SVM) were tuned with GridSearchCV (5-fold, scoring=ROC-AUC) after applying SMOTE oversampling to the training set only, so the minority ("no disease") class was equally represented during training while the test set retained its real-world imbalance for honest evaluation.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3200"/>
      </w:tblGrid>
      <w:tr>
        <w:trPr>
          <w:tblHeader/>
        </w:trPr>
        <w:tc>
          <w:tcPr>
            <w:tcW w:type="dxa" w:w="28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 ROC-AUC</w:t>
            </w:r>
          </w:p>
        </w:tc>
        <w:tc>
          <w:tcPr>
            <w:tcW w:type="dxa" w:w="24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Tuned + SMOTE ROC-AUC</w:t>
            </w:r>
          </w:p>
        </w:tc>
        <w:tc>
          <w:tcPr>
            <w:tcW w:type="dxa" w:w="3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Hyperparameters</w:t>
            </w:r>
          </w:p>
        </w:tc>
      </w:tr>
      <w:tr>
        <w:tc>
          <w:tcPr>
            <w:tcW w:type="dxa" w:w="2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0.831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0.831</w:t>
            </w:r>
          </w:p>
        </w:tc>
        <w:tc>
          <w:tcPr>
            <w:tcW w:type="dxa" w:w="3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C=0.1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0.748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0.784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n_estimators=200, max_depth=None</w:t>
            </w:r>
          </w:p>
        </w:tc>
      </w:tr>
      <w:tr>
        <w:tc>
          <w:tcPr>
            <w:tcW w:type="dxa" w:w="28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SVM (RBF)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0.671</w:t>
            </w:r>
          </w:p>
        </w:tc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0.798</w:t>
            </w:r>
          </w:p>
        </w:tc>
        <w:tc>
          <w:tcPr>
            <w:tcW w:type="dxa" w:w="3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C=50, gamma=scale</w:t>
            </w:r>
          </w:p>
        </w:tc>
      </w:tr>
    </w:tbl>
    <w:p>
      <w:pPr>
        <w:spacing w:after="200"/>
      </w:pPr>
    </w:p>
    <w:p>
      <w:pPr>
        <w:spacing w:after="40" w:before="120"/>
        <w:jc w:val="center"/>
      </w:pPr>
      <w:r>
        <w:drawing>
          <wp:inline distT="0" distB="0" distL="0" distR="0">
            <wp:extent cx="4381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Baseline vs. tuned+SMOTE performance across accuracy, F1, and ROC-AUC.</w:t>
      </w:r>
    </w:p>
    <w:p>
      <w:pPr>
        <w:spacing w:after="160"/>
      </w:pPr>
      <w:r>
        <w:t xml:space="preserve">Takeaway: tuning plus SMOTE gave Random Forest and SVM a clear ROC-AUC lift (+0.036 and +0.127 respectively), while Logistic Regression — already using class_weight="balanced" — stayed flat. F1 did not improve uniformly, since SMOTE trades some precision for better minority-class recall; the right operating point depends on whether missed disease cases or false alarms are costlier in a given deployment.</w:t>
      </w:r>
    </w:p>
    <w:p>
      <w:pPr>
        <w:pStyle w:val="Heading1"/>
        <w:spacing w:after="160" w:before="280"/>
      </w:pPr>
      <w:r>
        <w:t xml:space="preserve">5. Stage 3 — Model Interpretability (SHAP)</w:t>
      </w:r>
    </w:p>
    <w:p>
      <w:pPr>
        <w:spacing w:after="160"/>
      </w:pPr>
      <w:r>
        <w:t xml:space="preserve">To make the model's reasoning auditable — important for any clinically-adjacent application — SHAP (SHapley Additive exPlanations) values were computed for a Random Forest using TreeExplainer, which gives exact, fast attributions for tree ensembles.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SHAP summary plot. Each point is one patient; color shows the feature's value, position shows its impact on the prediction (right = pushes toward disease).</w:t>
      </w:r>
    </w:p>
    <w:p>
      <w:pPr>
        <w:spacing w:after="160"/>
      </w:pPr>
      <w:r>
        <w:t xml:space="preserve">The five most influential features, ranked by mean absolute SHAP value, were Alkaline Phosphotase, Age, Aspartate Aminotransferase (AST), Total Bilirubin, and Alamine Aminotransferase (ALT) — all standard liver-function markers, which lends clinical face-validity to the model. Elevated bilirubin and liver enzyme values consistently pushed predictions toward "disease," matching known diagnostic patterns.</w:t>
      </w:r>
    </w:p>
    <w:p>
      <w:pPr>
        <w:spacing w:after="160"/>
      </w:pPr>
      <w:r>
        <w:t xml:space="preserve">Per-patient waterfall explanations (generated separately) allow any individual prediction to be broken down into the specific lab values that drove it, and a companion command-line tool (predict_patient.py) surfaces this explanation for any new patient at prediction time.</w:t>
      </w:r>
    </w:p>
    <w:p>
      <w:pPr>
        <w:pStyle w:val="Heading1"/>
        <w:spacing w:after="160" w:before="280"/>
      </w:pPr>
      <w:r>
        <w:t xml:space="preserve">6. Stage 4 — Ensemble Models</w:t>
      </w:r>
    </w:p>
    <w:p>
      <w:pPr>
        <w:spacing w:after="160"/>
      </w:pPr>
      <w:r>
        <w:t xml:space="preserve">The three tuned base models were combined into a Soft Voting ensemble (averaging predicted probabilities) and a Stacking ensemble (a Logistic Regression meta-model trained on the base models' out-of-fold predictions), both trained on the SMOTE-balanced data.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2200"/>
      </w:tblGrid>
      <w:tr>
        <w:trPr>
          <w:tblHeader/>
        </w:trPr>
        <w:tc>
          <w:tcPr>
            <w:tcW w:type="dxa" w:w="36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2200"/>
            <w:shd w:fill="2C3E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</w:tr>
      <w:tr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Voting Ensemble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0.786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0.847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0.831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0.718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0.769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0.831</w:t>
            </w:r>
          </w:p>
        </w:tc>
      </w:tr>
      <w:tr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Stacking Ensemble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0.744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0.833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0.799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SVM (RBF)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0.726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0.787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0.798</w:t>
            </w:r>
          </w:p>
        </w:tc>
      </w:tr>
      <w:tr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0.744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0.828</w:t>
            </w:r>
          </w:p>
        </w:tc>
        <w:tc>
          <w:tcPr>
            <w:tcW w:type="dxa" w:w="2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0.784</w:t>
            </w:r>
          </w:p>
        </w:tc>
      </w:tr>
    </w:tbl>
    <w:p>
      <w:pPr>
        <w:spacing w:after="200"/>
      </w:pPr>
    </w:p>
    <w:p>
      <w:pPr>
        <w:spacing w:after="40" w:before="120"/>
        <w:jc w:val="center"/>
      </w:pPr>
      <w:r>
        <w:drawing>
          <wp:inline distT="0" distB="0" distL="0" distR="0">
            <wp:extent cx="3619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6. Test ROC-AUC — individual models (blue) vs. ensembles (orange).</w:t>
      </w:r>
    </w:p>
    <w:p>
      <w:pPr>
        <w:spacing w:after="40" w:before="120"/>
        <w:jc w:val="center"/>
      </w:pPr>
      <w:r>
        <w:drawing>
          <wp:inline distT="0" distB="0" distL="0" distR="0">
            <wp:extent cx="2476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7. Confusion matrix — Voting Ensemble (final model).</w:t>
      </w:r>
    </w:p>
    <w:p>
      <w:pPr>
        <w:spacing w:after="160"/>
      </w:pPr>
      <w:r>
        <w:t xml:space="preserve">The Voting Ensemble is the best-performing model in this project: it matches Logistic Regression's ROC-AUC while beating every individual model on accuracy and F1, and gives markedly more balanced precision/recall on the harder "no disease" class (0.62 precision / 0.68 recall) than Logistic Regression alone (0.92 precision / 0.66 recall). Averaging across models with different error patterns — linear, tree-based, and kernel-based — smooths out each one's individual weaknesses.</w:t>
      </w:r>
    </w:p>
    <w:p>
      <w:pPr>
        <w:pStyle w:val="Heading1"/>
        <w:spacing w:after="160" w:before="280"/>
      </w:pPr>
      <w:r>
        <w:t xml:space="preserve">7. Conclusions &amp;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Recommended model: the Soft Voting Ensemble (Logistic Regression + Random Forest + SVM), which delivers the best balance of accuracy, F1, and ROC-AUC on unseen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imbalance matters: SMOTE plus tuning materially improved Random Forest and SVM, underscoring the value of addressing the 71/29 class split rather than relying on default settings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model's reasoning is clinically plausible: liver enzymes and bilirubin — the standard diagnostic markers for liver dysfunction — dominate its predictions, per SHAP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deployment, the choice between models should be guided by the relative cost of false negatives (missed disease) vs. false positives (unnecessary follow-up); the CLI tool built for this project reports both a probability and the top contributing factors for each new patient.</w:t>
      </w:r>
    </w:p>
    <w:p>
      <w:pPr>
        <w:pStyle w:val="Heading1"/>
        <w:spacing w:after="160" w:before="280"/>
      </w:pPr>
      <w:r>
        <w:t xml:space="preserve">8.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 dataset (583 records) from a single geographic region (North East Andhra Pradesh, India) — results may not generalize to other populations.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imbalance (71% disease-positive) means metrics are sensitive to the random train/test split; a different seed shifts numbers by several 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a research and educational pipeline, not a validated clinical diagnostic tool, and should not be used for real patient care decisions without proper clinical validation.</w:t>
      </w:r>
    </w:p>
    <w:p>
      <w:pPr>
        <w:pStyle w:val="Heading1"/>
        <w:spacing w:after="160" w:before="280"/>
      </w:pPr>
      <w:r>
        <w:t xml:space="preserve">Appendix — Project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liver_disease_classification.py — Stage 1 baseline pipeline (EDA + 8 models)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liver_disease_classification_advanced.py — Stage 2: SMOTE + GridSearchCV tuning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liver_disease_interpretability.py — Stage 3: SHAP explanations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liver_disease_ensemble.py — Stage 4: Voting &amp; Stacking ensembles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predict_patient.py — CLI for scoring a new patient with an explanation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data/indian_liver_patient.csv — the ILPD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requirements.txt — Python dependencies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Liver Disease Classification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1A2634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A263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54508f9c1bec2da8b08fe1361f346b0b245577.png"/><Relationship Id="rId10" Type="http://schemas.openxmlformats.org/officeDocument/2006/relationships/image" Target="media/5a16d3bbd71e601cf03dbf0c10be5a1112580739.png"/><Relationship Id="rId11" Type="http://schemas.openxmlformats.org/officeDocument/2006/relationships/image" Target="media/f1fa4cb35e9c618f7c03e1d50e14204bd55be3c5.png"/><Relationship Id="rId12" Type="http://schemas.openxmlformats.org/officeDocument/2006/relationships/image" Target="media/3be9ba985dbeedb725f048fa71a5f171a446b452.png"/><Relationship Id="rId13" Type="http://schemas.openxmlformats.org/officeDocument/2006/relationships/image" Target="media/89a0072a0ab7d93c55ac153d755e86bbb2755c13.png"/><Relationship Id="rId14" Type="http://schemas.openxmlformats.org/officeDocument/2006/relationships/image" Target="media/499ea5a846906c209061c0db5fc9781bf302ace9.png"/><Relationship Id="rId15" Type="http://schemas.openxmlformats.org/officeDocument/2006/relationships/image" Target="media/1bff44e6d82367b87e8e28010540746cd6c8105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2026-08-30T01:22:44.742Z</dcterms:created>
  <dcterms:modified xsi:type="dcterms:W3CDTF">2026-08-30T01:22:44.742Z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