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center"/>
      </w:pPr>
      <w:r>
        <w:rPr>
          <w:b/>
          <w:bCs/>
          <w:color w:val="1F2937"/>
          <w:sz w:val="56"/>
          <w:szCs w:val="56"/>
        </w:rPr>
        <w:t xml:space="preserve">Auditoria de Dados</w:t>
      </w:r>
    </w:p>
    <w:p>
      <w:pPr>
        <w:spacing w:after="400"/>
        <w:jc w:val="center"/>
      </w:pPr>
      <w:r>
        <w:rPr>
          <w:color w:val="0078D4"/>
          <w:sz w:val="30"/>
          <w:szCs w:val="30"/>
        </w:rPr>
        <w:t xml:space="preserve">Site de Referência Multi-Cloud IAM &amp; Identity Governance</w:t>
      </w:r>
    </w:p>
    <w:p>
      <w:pPr>
        <w:spacing w:after="80"/>
        <w:jc w:val="center"/>
      </w:pPr>
      <w:r>
        <w:rPr>
          <w:color w:val="6B7280"/>
          <w:sz w:val="22"/>
          <w:szCs w:val="22"/>
        </w:rPr>
        <w:t xml:space="preserve">Entra ID · Azure RBAC · AWS IAM · GCP IAM · Google Workspace · OCI IAM · IBM Cloud IAM</w:t>
      </w:r>
    </w:p>
    <w:p>
      <w:pPr>
        <w:spacing w:after="60" w:before="600"/>
        <w:jc w:val="center"/>
      </w:pPr>
      <w:r>
        <w:rPr>
          <w:color w:val="6B7280"/>
          <w:sz w:val="22"/>
          <w:szCs w:val="22"/>
        </w:rPr>
        <w:t xml:space="preserve">30 de junho de 2026</w:t>
      </w:r>
    </w:p>
    <w:p>
      <w:pPr>
        <w:spacing w:after="60"/>
        <w:jc w:val="center"/>
      </w:pPr>
      <w:r>
        <w:rPr>
          <w:color w:val="6B7280"/>
          <w:sz w:val="22"/>
          <w:szCs w:val="22"/>
        </w:rPr>
        <w:t xml:space="preserve">Preparado para Natan Tomaz</w:t>
      </w:r>
    </w:p>
    <w:p>
      <w:r>
        <w:br w:type="page"/>
      </w:r>
    </w:p>
    <w:p>
      <w:pPr>
        <w:pStyle w:val="Heading1"/>
      </w:pPr>
      <w:r>
        <w:t xml:space="preserve">Sumário</w:t>
      </w:r>
    </w:p>
    <w:p>
      <w:pPr>
        <w:pStyle w:val="ListParagraph"/>
        <w:numPr>
          <w:ilvl w:val="0"/>
          <w:numId w:val="2"/>
        </w:numPr>
        <w:spacing w:after="100" w:line="276"/>
      </w:pPr>
      <w:r>
        <w:t xml:space="preserve">Metodologia</w:t>
      </w:r>
    </w:p>
    <w:p>
      <w:pPr>
        <w:pStyle w:val="ListParagraph"/>
        <w:numPr>
          <w:ilvl w:val="0"/>
          <w:numId w:val="2"/>
        </w:numPr>
        <w:spacing w:after="100" w:line="276"/>
      </w:pPr>
      <w:r>
        <w:t xml:space="preserve">Dimensão 1 — Completude</w:t>
      </w:r>
    </w:p>
    <w:p>
      <w:pPr>
        <w:pStyle w:val="ListParagraph"/>
        <w:numPr>
          <w:ilvl w:val="0"/>
          <w:numId w:val="2"/>
        </w:numPr>
        <w:spacing w:after="100" w:line="276"/>
      </w:pPr>
      <w:r>
        <w:t xml:space="preserve">Dimensão 2 — Precisão</w:t>
      </w:r>
    </w:p>
    <w:p>
      <w:pPr>
        <w:pStyle w:val="ListParagraph"/>
        <w:numPr>
          <w:ilvl w:val="0"/>
          <w:numId w:val="2"/>
        </w:numPr>
        <w:spacing w:after="100" w:line="276"/>
      </w:pPr>
      <w:r>
        <w:t xml:space="preserve">Dimensão 3 — Classificação EAM / Tier</w:t>
      </w:r>
    </w:p>
    <w:p>
      <w:pPr>
        <w:pStyle w:val="ListParagraph"/>
        <w:numPr>
          <w:ilvl w:val="0"/>
          <w:numId w:val="2"/>
        </w:numPr>
        <w:spacing w:after="100" w:line="276"/>
      </w:pPr>
      <w:r>
        <w:t xml:space="preserve">Dimensão 4 — Subpáginas e Estrutura de Conteúdo</w:t>
      </w:r>
    </w:p>
    <w:p>
      <w:pPr>
        <w:pStyle w:val="ListParagraph"/>
        <w:numPr>
          <w:ilvl w:val="0"/>
          <w:numId w:val="2"/>
        </w:numPr>
        <w:spacing w:after="100" w:line="276"/>
      </w:pPr>
      <w:r>
        <w:t xml:space="preserve">Dimensão 5 — Tipos de Permissão Adicionais</w:t>
      </w:r>
    </w:p>
    <w:p>
      <w:pPr>
        <w:pStyle w:val="ListParagraph"/>
        <w:numPr>
          <w:ilvl w:val="0"/>
          <w:numId w:val="2"/>
        </w:numPr>
        <w:spacing w:after="100" w:line="276"/>
      </w:pPr>
      <w:r>
        <w:t xml:space="preserve">Entregável 1 — Scorecard por Cloud</w:t>
      </w:r>
    </w:p>
    <w:p>
      <w:pPr>
        <w:pStyle w:val="ListParagraph"/>
        <w:numPr>
          <w:ilvl w:val="0"/>
          <w:numId w:val="2"/>
        </w:numPr>
        <w:spacing w:after="100" w:line="276"/>
      </w:pPr>
      <w:r>
        <w:t xml:space="preserve">Entregável 2 — Top 10 Ações Prioritárias</w:t>
      </w:r>
    </w:p>
    <w:p>
      <w:pPr>
        <w:pStyle w:val="ListParagraph"/>
        <w:numPr>
          <w:ilvl w:val="0"/>
          <w:numId w:val="2"/>
        </w:numPr>
        <w:spacing w:after="100" w:line="276"/>
      </w:pPr>
      <w:r>
        <w:t xml:space="preserve">Entregável 3 — Roadmap de Subpáginas</w:t>
      </w:r>
    </w:p>
    <w:p>
      <w:pPr>
        <w:pStyle w:val="ListParagraph"/>
        <w:numPr>
          <w:ilvl w:val="0"/>
          <w:numId w:val="2"/>
        </w:numPr>
        <w:spacing w:after="100" w:line="276"/>
      </w:pPr>
      <w:r>
        <w:t xml:space="preserve">Entregável 4 — Data Gaps Críticos</w:t>
      </w:r>
    </w:p>
    <w:p>
      <w:pPr>
        <w:pStyle w:val="Heading1"/>
        <w:pageBreakBefore/>
      </w:pPr>
      <w:r>
        <w:t xml:space="preserve">Metodologia</w:t>
      </w:r>
    </w:p>
    <w:p>
      <w:pPr>
        <w:spacing w:after="160" w:line="276"/>
      </w:pPr>
      <w:r>
        <w:t xml:space="preserve">Esta auditoria combinou três fontes de evidência: (1) leitura direta do código-fonte e dos arquivos de dados do site (src/data/*.ts — 19.166 linhas, ~1.870 entidades catalogadas), com extração programática de contagens, distribuições por tier/categoria e nomes; (2) comparação contra documentação oficial atual (Microsoft Learn, atualizado em 28/06/2026, e GitHub do Cloud-Architekt/EntraOps); e (3) verificações estruturais pontuais nas demais clouds (Azure RBAC, AWS, GCP, Google Workspace, OCI, IBM Cloud).</w:t>
      </w:r>
    </w:p>
    <w:p>
      <w:pPr>
        <w:spacing w:after="160" w:line="276"/>
      </w:pPr>
      <w:r>
        <w:t xml:space="preserve">Dado o volume de dados (144 directory roles, 692 API permissions, 923 Azure RBAC roles, 497 AWS policies, 232 GCP roles, 40 Google Workspace roles, 126 OCI policy patterns, 157 IBM Cloud roles — total ~2.811 entidades), a verificação foi exaustiva para Entra ID (fonte primária do site) e baseada em amostragem dirigida e checagem estrutural para as demais seis clouds. Achados marcados como confirmados foram cruzados contra ao menos uma fonte oficial citada na seção Evidência de cada item.</w:t>
      </w:r>
    </w:p>
    <w:p>
      <w:pPr>
        <w:spacing w:after="160" w:line="276"/>
      </w:pPr>
      <w:r>
        <w:t xml:space="preserve">O diff completo de 144 directory roles do Entra ID contra a tabela oficial atual do Microsoft Learn (135 papéis listados, mais papéis adicionais documentados em outras páginas) está refletido nos achados das Dimensões 1 a 3.</w:t>
      </w:r>
    </w:p>
    <w:p>
      <w:pPr>
        <w:pStyle w:val="Heading1"/>
        <w:pageBreakBefore/>
      </w:pPr>
      <w:r>
        <w:t xml:space="preserve">Dimensão 1 — Completude</w:t>
      </w:r>
    </w:p>
    <w:p>
      <w:pPr>
        <w:spacing w:after="160" w:line="276"/>
      </w:pPr>
      <w:r>
        <w:t xml:space="preserve">Pontos fortes confirmados: a cobertura de directory roles do Entra ID está atualizada — inclusive com a role “Entra Customer Lockbox Approver”, introduzida pela Microsoft em junho de 2026 e ainda fora da tabela principal de referência do Learn, e com as roles de IA agêntica mais recentes (AI Administrator, Agent ID Administrator/Developer, Agent Registry Administrator). As roles críticas de Azure RBAC (Owner, Contributor, Reader, User Access Administrator, Security Admin, Role Based Access Control Administrator) e os principais serviços AWS (IAM, STS, Organizations, Identity Center/SSO, SecurityHub, GuardDuty) estão presentes. Os 40 papéis administrativos do Google Workspace cobrem todos os papéis centrais (Super Admin, Groups Admin, User Management Admin, Help Desk Admin, Services Admin, etc.).</w:t>
      </w:r>
    </w:p>
    <w:p>
      <w:pPr>
        <w:pBdr>
          <w:left w:val="single" w:color="B91C1C" w:sz="24" w:space="8"/>
        </w:pBdr>
        <w:spacing w:after="80" w:before="280"/>
        <w:ind w:left="120"/>
      </w:pPr>
      <w:r>
        <w:rPr>
          <w:b/>
          <w:bCs/>
          <w:color w:val="0078D4"/>
        </w:rPr>
        <w:t xml:space="preserve">[DIMENSÃO 1] </w:t>
      </w:r>
      <w:r>
        <w:rPr>
          <w:b/>
          <w:bCs/>
        </w:rPr>
        <w:t xml:space="preserve">Entra ID / API Permissions → </w:t>
      </w:r>
      <w:r>
        <w:rPr>
          <w:b/>
          <w:bCs/>
        </w:rPr>
        <w:t xml:space="preserve">Cobertura zero de permissões Delegated</w:t>
      </w:r>
    </w:p>
    <w:p>
      <w:pPr>
        <w:spacing w:after="40"/>
        <w:ind w:left="120"/>
      </w:pPr>
      <w:r>
        <w:rPr>
          <w:b/>
          <w:bCs/>
          <w:sz w:val="19"/>
          <w:szCs w:val="19"/>
        </w:rPr>
        <w:t xml:space="preserve">Cloud: </w:t>
      </w:r>
      <w:r>
        <w:rPr>
          <w:color w:val="374151"/>
          <w:sz w:val="19"/>
          <w:szCs w:val="19"/>
        </w:rPr>
        <w:t xml:space="preserve">Entra ID</w:t>
      </w:r>
    </w:p>
    <w:p>
      <w:pPr>
        <w:spacing w:after="40"/>
        <w:ind w:left="120"/>
      </w:pPr>
      <w:r>
        <w:rPr>
          <w:b/>
          <w:bCs/>
          <w:sz w:val="19"/>
          <w:szCs w:val="19"/>
        </w:rPr>
        <w:t xml:space="preserve">Severidade: </w:t>
      </w:r>
      <w:r>
        <w:rPr>
          <w:color w:val="B91C1C"/>
          <w:sz w:val="19"/>
          <w:szCs w:val="19"/>
        </w:rPr>
        <w:t xml:space="preserve">Crítica</w:t>
      </w:r>
    </w:p>
    <w:p>
      <w:pPr>
        <w:spacing w:after="40"/>
        <w:ind w:left="120"/>
      </w:pPr>
      <w:r>
        <w:rPr>
          <w:b/>
          <w:bCs/>
          <w:sz w:val="19"/>
          <w:szCs w:val="19"/>
        </w:rPr>
        <w:t xml:space="preserve">Tipo: </w:t>
      </w:r>
      <w:r>
        <w:rPr>
          <w:color w:val="374151"/>
          <w:sz w:val="19"/>
          <w:szCs w:val="19"/>
        </w:rPr>
        <w:t xml:space="preserve">Dado ausente</w:t>
      </w:r>
    </w:p>
    <w:p>
      <w:pPr>
        <w:spacing w:after="40"/>
        <w:ind w:left="120"/>
      </w:pPr>
      <w:r>
        <w:rPr>
          <w:b/>
          <w:bCs/>
          <w:sz w:val="19"/>
          <w:szCs w:val="19"/>
        </w:rPr>
        <w:t xml:space="preserve">Problema: </w:t>
      </w:r>
      <w:r>
        <w:rPr>
          <w:sz w:val="19"/>
          <w:szCs w:val="19"/>
        </w:rPr>
        <w:t xml:space="preserve">Das 692 entradas em apiPermissions.ts, 100% são do tipo “Application” (verificado por contagem programática: 692/692). Não existe nenhuma permissão “Delegated” no catálogo, embora o tipo `PermissionType = 'Application' | 'Delegated'` já exista no schema TypeScript.</w:t>
      </w:r>
    </w:p>
    <w:p>
      <w:pPr>
        <w:spacing w:after="40"/>
        <w:ind w:left="120"/>
      </w:pPr>
      <w:r>
        <w:rPr>
          <w:b/>
          <w:bCs/>
          <w:sz w:val="19"/>
          <w:szCs w:val="19"/>
        </w:rPr>
        <w:t xml:space="preserve">Evidência: </w:t>
      </w:r>
      <w:r>
        <w:rPr>
          <w:i/>
          <w:iCs/>
          <w:sz w:val="19"/>
          <w:szCs w:val="19"/>
        </w:rPr>
        <w:t xml:space="preserve">Contagem direta de src/data/apiPermissions.ts; comentário do arquivo indica fonte “Classification_MsGraphAppRoles.json” do EntraOps — que por definição cobre apenas AppRoles (permissões de aplicação) do Microsoft Graph, não oauth2PermissionScopes (permissões delegadas).</w:t>
      </w:r>
    </w:p>
    <w:p>
      <w:pPr>
        <w:spacing w:after="40"/>
        <w:ind w:left="120"/>
      </w:pPr>
      <w:r>
        <w:rPr>
          <w:b/>
          <w:bCs/>
          <w:sz w:val="19"/>
          <w:szCs w:val="19"/>
        </w:rPr>
        <w:t xml:space="preserve">Ação recomendada: </w:t>
      </w:r>
      <w:r>
        <w:rPr>
          <w:sz w:val="19"/>
          <w:szCs w:val="19"/>
        </w:rPr>
        <w:t xml:space="preserve">Importar e classificar as oauth2PermissionScopes do Microsoft Graph (delegated permissions) como um segundo dataset, deixando explícita a diferença de modelo de risco entre acesso delegado (em nome do usuário + consentimento) e acesso de aplicação (identidade de serviço, sem usuário interativo).</w:t>
      </w:r>
    </w:p>
    <w:p>
      <w:pPr>
        <w:spacing w:after="220"/>
        <w:ind w:left="120"/>
      </w:pPr>
      <w:r>
        <w:rPr>
          <w:b/>
          <w:bCs/>
          <w:sz w:val="19"/>
          <w:szCs w:val="19"/>
        </w:rPr>
        <w:t xml:space="preserve">Esforço estimado: </w:t>
      </w:r>
      <w:r>
        <w:rPr>
          <w:sz w:val="19"/>
          <w:szCs w:val="19"/>
        </w:rPr>
        <w:t xml:space="preserve">Alto (&gt; 4h)</w:t>
      </w:r>
    </w:p>
    <w:p>
      <w:pPr>
        <w:pBdr>
          <w:left w:val="single" w:color="B45309" w:sz="24" w:space="8"/>
        </w:pBdr>
        <w:spacing w:after="80" w:before="280"/>
        <w:ind w:left="120"/>
      </w:pPr>
      <w:r>
        <w:rPr>
          <w:b/>
          <w:bCs/>
          <w:color w:val="0078D4"/>
        </w:rPr>
        <w:t xml:space="preserve">[DIMENSÃO 1] </w:t>
      </w:r>
      <w:r>
        <w:rPr>
          <w:b/>
          <w:bCs/>
        </w:rPr>
        <w:t xml:space="preserve">Entra ID / API Permissions → </w:t>
      </w:r>
      <w:r>
        <w:rPr>
          <w:b/>
          <w:bCs/>
        </w:rPr>
        <w:t xml:space="preserve">Catálogo restrito a um único resource (Microsoft Graph)</w:t>
      </w:r>
    </w:p>
    <w:p>
      <w:pPr>
        <w:spacing w:after="40"/>
        <w:ind w:left="120"/>
      </w:pPr>
      <w:r>
        <w:rPr>
          <w:b/>
          <w:bCs/>
          <w:sz w:val="19"/>
          <w:szCs w:val="19"/>
        </w:rPr>
        <w:t xml:space="preserve">Cloud: </w:t>
      </w:r>
      <w:r>
        <w:rPr>
          <w:color w:val="374151"/>
          <w:sz w:val="19"/>
          <w:szCs w:val="19"/>
        </w:rPr>
        <w:t xml:space="preserve">Entra ID</w:t>
      </w:r>
    </w:p>
    <w:p>
      <w:pPr>
        <w:spacing w:after="40"/>
        <w:ind w:left="120"/>
      </w:pPr>
      <w:r>
        <w:rPr>
          <w:b/>
          <w:bCs/>
          <w:sz w:val="19"/>
          <w:szCs w:val="19"/>
        </w:rPr>
        <w:t xml:space="preserve">Severidade: </w:t>
      </w:r>
      <w:r>
        <w:rPr>
          <w:color w:val="B45309"/>
          <w:sz w:val="19"/>
          <w:szCs w:val="19"/>
        </w:rPr>
        <w:t xml:space="preserve">Média</w:t>
      </w:r>
    </w:p>
    <w:p>
      <w:pPr>
        <w:spacing w:after="40"/>
        <w:ind w:left="120"/>
      </w:pPr>
      <w:r>
        <w:rPr>
          <w:b/>
          <w:bCs/>
          <w:sz w:val="19"/>
          <w:szCs w:val="19"/>
        </w:rPr>
        <w:t xml:space="preserve">Tipo: </w:t>
      </w:r>
      <w:r>
        <w:rPr>
          <w:color w:val="374151"/>
          <w:sz w:val="19"/>
          <w:szCs w:val="19"/>
        </w:rPr>
        <w:t xml:space="preserve">Dado ausente</w:t>
      </w:r>
    </w:p>
    <w:p>
      <w:pPr>
        <w:spacing w:after="40"/>
        <w:ind w:left="120"/>
      </w:pPr>
      <w:r>
        <w:rPr>
          <w:b/>
          <w:bCs/>
          <w:sz w:val="19"/>
          <w:szCs w:val="19"/>
        </w:rPr>
        <w:t xml:space="preserve">Problema: </w:t>
      </w:r>
      <w:r>
        <w:rPr>
          <w:sz w:val="19"/>
          <w:szCs w:val="19"/>
        </w:rPr>
        <w:t xml:space="preserve">O campo `resource` é “Microsoft Graph” em 692 de 692 registros. Não há permissões de outras APIs relevantes ao ecossistema Microsoft 365/Entra (ex.: Exchange Online Management, SharePoint REST/CSOM, Azure DevOps).</w:t>
      </w:r>
    </w:p>
    <w:p>
      <w:pPr>
        <w:spacing w:after="40"/>
        <w:ind w:left="120"/>
      </w:pPr>
      <w:r>
        <w:rPr>
          <w:b/>
          <w:bCs/>
          <w:sz w:val="19"/>
          <w:szCs w:val="19"/>
        </w:rPr>
        <w:t xml:space="preserve">Evidência: </w:t>
      </w:r>
      <w:r>
        <w:rPr>
          <w:i/>
          <w:iCs/>
          <w:sz w:val="19"/>
          <w:szCs w:val="19"/>
        </w:rPr>
        <w:t xml:space="preserve">Contagem programática de `resource:` em src/data/apiPermissions.ts.</w:t>
      </w:r>
    </w:p>
    <w:p>
      <w:pPr>
        <w:spacing w:after="40"/>
        <w:ind w:left="120"/>
      </w:pPr>
      <w:r>
        <w:rPr>
          <w:b/>
          <w:bCs/>
          <w:sz w:val="19"/>
          <w:szCs w:val="19"/>
        </w:rPr>
        <w:t xml:space="preserve">Ação recomendada: </w:t>
      </w:r>
      <w:r>
        <w:rPr>
          <w:sz w:val="19"/>
          <w:szCs w:val="19"/>
        </w:rPr>
        <w:t xml:space="preserve">Avaliar inclusão de um segundo nível de catálogo para permissões de APIs adjacentes mais usadas em cenários de privilégio (Exchange Online, Azure DevOps), ou documentar explicitamente no site que o escopo é “Microsoft Graph apenas” para evitar expectativa equivocada do usuário.</w:t>
      </w:r>
    </w:p>
    <w:p>
      <w:pPr>
        <w:spacing w:after="220"/>
        <w:ind w:left="120"/>
      </w:pPr>
      <w:r>
        <w:rPr>
          <w:b/>
          <w:bCs/>
          <w:sz w:val="19"/>
          <w:szCs w:val="19"/>
        </w:rPr>
        <w:t xml:space="preserve">Esforço estimado: </w:t>
      </w:r>
      <w:r>
        <w:rPr>
          <w:sz w:val="19"/>
          <w:szCs w:val="19"/>
        </w:rPr>
        <w:t xml:space="preserve">Alto (&gt; 4h)</w:t>
      </w:r>
    </w:p>
    <w:p>
      <w:pPr>
        <w:pBdr>
          <w:left w:val="single" w:color="C2410C" w:sz="24" w:space="8"/>
        </w:pBdr>
        <w:spacing w:after="80" w:before="280"/>
        <w:ind w:left="120"/>
      </w:pPr>
      <w:r>
        <w:rPr>
          <w:b/>
          <w:bCs/>
          <w:color w:val="0078D4"/>
        </w:rPr>
        <w:t xml:space="preserve">[DIMENSÃO 1] </w:t>
      </w:r>
      <w:r>
        <w:rPr>
          <w:b/>
          <w:bCs/>
        </w:rPr>
        <w:t xml:space="preserve">IBM Cloud IAM → </w:t>
      </w:r>
      <w:r>
        <w:rPr>
          <w:b/>
          <w:bCs/>
        </w:rPr>
        <w:t xml:space="preserve">Access Groups e Trusted Profiles ausentes como entidades de catálogo</w:t>
      </w:r>
    </w:p>
    <w:p>
      <w:pPr>
        <w:spacing w:after="40"/>
        <w:ind w:left="120"/>
      </w:pPr>
      <w:r>
        <w:rPr>
          <w:b/>
          <w:bCs/>
          <w:sz w:val="19"/>
          <w:szCs w:val="19"/>
        </w:rPr>
        <w:t xml:space="preserve">Cloud: </w:t>
      </w:r>
      <w:r>
        <w:rPr>
          <w:color w:val="374151"/>
          <w:sz w:val="19"/>
          <w:szCs w:val="19"/>
        </w:rPr>
        <w:t xml:space="preserve">IBM</w:t>
      </w:r>
    </w:p>
    <w:p>
      <w:pPr>
        <w:spacing w:after="40"/>
        <w:ind w:left="120"/>
      </w:pPr>
      <w:r>
        <w:rPr>
          <w:b/>
          <w:bCs/>
          <w:sz w:val="19"/>
          <w:szCs w:val="19"/>
        </w:rPr>
        <w:t xml:space="preserve">Severidade: </w:t>
      </w:r>
      <w:r>
        <w:rPr>
          <w:color w:val="C2410C"/>
          <w:sz w:val="19"/>
          <w:szCs w:val="19"/>
        </w:rPr>
        <w:t xml:space="preserve">Alta</w:t>
      </w:r>
    </w:p>
    <w:p>
      <w:pPr>
        <w:spacing w:after="40"/>
        <w:ind w:left="120"/>
      </w:pPr>
      <w:r>
        <w:rPr>
          <w:b/>
          <w:bCs/>
          <w:sz w:val="19"/>
          <w:szCs w:val="19"/>
        </w:rPr>
        <w:t xml:space="preserve">Tipo: </w:t>
      </w:r>
      <w:r>
        <w:rPr>
          <w:color w:val="374151"/>
          <w:sz w:val="19"/>
          <w:szCs w:val="19"/>
        </w:rPr>
        <w:t xml:space="preserve">Dado ausente</w:t>
      </w:r>
    </w:p>
    <w:p>
      <w:pPr>
        <w:spacing w:after="40"/>
        <w:ind w:left="120"/>
      </w:pPr>
      <w:r>
        <w:rPr>
          <w:b/>
          <w:bCs/>
          <w:sz w:val="19"/>
          <w:szCs w:val="19"/>
        </w:rPr>
        <w:t xml:space="preserve">Problema: </w:t>
      </w:r>
      <w:r>
        <w:rPr>
          <w:sz w:val="19"/>
          <w:szCs w:val="19"/>
        </w:rPr>
        <w:t xml:space="preserve">Trusted Profiles aparece apenas uma vez, como item de texto dentro da descrição de outra role (“Criar perfis confiáveis (Trusted Profiles)”); Access Groups não aparece nenhuma vez como termo de busca, categoria ou role dedicada nas 1.991 linhas de ibmCloud.ts. Ambos são primitivos centrais do modelo de IAM da IBM Cloud.</w:t>
      </w:r>
    </w:p>
    <w:p>
      <w:pPr>
        <w:spacing w:after="40"/>
        <w:ind w:left="120"/>
      </w:pPr>
      <w:r>
        <w:rPr>
          <w:b/>
          <w:bCs/>
          <w:sz w:val="19"/>
          <w:szCs w:val="19"/>
        </w:rPr>
        <w:t xml:space="preserve">Evidência: </w:t>
      </w:r>
      <w:r>
        <w:rPr>
          <w:i/>
          <w:iCs/>
          <w:sz w:val="19"/>
          <w:szCs w:val="19"/>
        </w:rPr>
        <w:t xml:space="preserve">Busca por “trusted profile” e “access group” em src/data/ibmCloud.ts.</w:t>
      </w:r>
    </w:p>
    <w:p>
      <w:pPr>
        <w:spacing w:after="40"/>
        <w:ind w:left="120"/>
      </w:pPr>
      <w:r>
        <w:rPr>
          <w:b/>
          <w:bCs/>
          <w:sz w:val="19"/>
          <w:szCs w:val="19"/>
        </w:rPr>
        <w:t xml:space="preserve">Ação recomendada: </w:t>
      </w:r>
      <w:r>
        <w:rPr>
          <w:sz w:val="19"/>
          <w:szCs w:val="19"/>
        </w:rPr>
        <w:t xml:space="preserve">Criar entradas dedicadas (ou uma subseção) para Access Groups (incluindo Dynamic Rules) e Trusted Profiles (incluindo federação via compute resources), com base em cloud.ibm.com/docs/account.</w:t>
      </w:r>
    </w:p>
    <w:p>
      <w:pPr>
        <w:spacing w:after="220"/>
        <w:ind w:left="120"/>
      </w:pPr>
      <w:r>
        <w:rPr>
          <w:b/>
          <w:bCs/>
          <w:sz w:val="19"/>
          <w:szCs w:val="19"/>
        </w:rPr>
        <w:t xml:space="preserve">Esforço estimado: </w:t>
      </w:r>
      <w:r>
        <w:rPr>
          <w:sz w:val="19"/>
          <w:szCs w:val="19"/>
        </w:rPr>
        <w:t xml:space="preserve">Alto (&gt; 4h)</w:t>
      </w:r>
    </w:p>
    <w:p>
      <w:pPr>
        <w:pBdr>
          <w:left w:val="single" w:color="C2410C" w:sz="24" w:space="8"/>
        </w:pBdr>
        <w:spacing w:after="80" w:before="280"/>
        <w:ind w:left="120"/>
      </w:pPr>
      <w:r>
        <w:rPr>
          <w:b/>
          <w:bCs/>
          <w:color w:val="0078D4"/>
        </w:rPr>
        <w:t xml:space="preserve">[DIMENSÃO 1] </w:t>
      </w:r>
      <w:r>
        <w:rPr>
          <w:b/>
          <w:bCs/>
        </w:rPr>
        <w:t xml:space="preserve">AWS IAM → </w:t>
      </w:r>
      <w:r>
        <w:rPr>
          <w:b/>
          <w:bCs/>
        </w:rPr>
        <w:t xml:space="preserve">Permission Boundaries ausente do catálogo e do modelo de dados</w:t>
      </w:r>
    </w:p>
    <w:p>
      <w:pPr>
        <w:spacing w:after="40"/>
        <w:ind w:left="120"/>
      </w:pPr>
      <w:r>
        <w:rPr>
          <w:b/>
          <w:bCs/>
          <w:sz w:val="19"/>
          <w:szCs w:val="19"/>
        </w:rPr>
        <w:t xml:space="preserve">Cloud: </w:t>
      </w:r>
      <w:r>
        <w:rPr>
          <w:color w:val="374151"/>
          <w:sz w:val="19"/>
          <w:szCs w:val="19"/>
        </w:rPr>
        <w:t xml:space="preserve">AWS</w:t>
      </w:r>
    </w:p>
    <w:p>
      <w:pPr>
        <w:spacing w:after="40"/>
        <w:ind w:left="120"/>
      </w:pPr>
      <w:r>
        <w:rPr>
          <w:b/>
          <w:bCs/>
          <w:sz w:val="19"/>
          <w:szCs w:val="19"/>
        </w:rPr>
        <w:t xml:space="preserve">Severidade: </w:t>
      </w:r>
      <w:r>
        <w:rPr>
          <w:color w:val="C2410C"/>
          <w:sz w:val="19"/>
          <w:szCs w:val="19"/>
        </w:rPr>
        <w:t xml:space="preserve">Alta</w:t>
      </w:r>
    </w:p>
    <w:p>
      <w:pPr>
        <w:spacing w:after="40"/>
        <w:ind w:left="120"/>
      </w:pPr>
      <w:r>
        <w:rPr>
          <w:b/>
          <w:bCs/>
          <w:sz w:val="19"/>
          <w:szCs w:val="19"/>
        </w:rPr>
        <w:t xml:space="preserve">Tipo: </w:t>
      </w:r>
      <w:r>
        <w:rPr>
          <w:color w:val="374151"/>
          <w:sz w:val="19"/>
          <w:szCs w:val="19"/>
        </w:rPr>
        <w:t xml:space="preserve">Dado ausente</w:t>
      </w:r>
    </w:p>
    <w:p>
      <w:pPr>
        <w:spacing w:after="40"/>
        <w:ind w:left="120"/>
      </w:pPr>
      <w:r>
        <w:rPr>
          <w:b/>
          <w:bCs/>
          <w:sz w:val="19"/>
          <w:szCs w:val="19"/>
        </w:rPr>
        <w:t xml:space="preserve">Problema: </w:t>
      </w:r>
      <w:r>
        <w:rPr>
          <w:sz w:val="19"/>
          <w:szCs w:val="19"/>
        </w:rPr>
        <w:t xml:space="preserve">Nenhuma menção a “permission boundary” em src/data/aws.ts (4.396 linhas) nem no campo `AwsPolicyType` (`'managed' | 'service-role' | 'permission-set'`), apesar de ser um dos cinco mecanismos centrais de controle de acesso do AWS IAM.</w:t>
      </w:r>
    </w:p>
    <w:p>
      <w:pPr>
        <w:spacing w:after="40"/>
        <w:ind w:left="120"/>
      </w:pPr>
      <w:r>
        <w:rPr>
          <w:b/>
          <w:bCs/>
          <w:sz w:val="19"/>
          <w:szCs w:val="19"/>
        </w:rPr>
        <w:t xml:space="preserve">Evidência: </w:t>
      </w:r>
      <w:r>
        <w:rPr>
          <w:i/>
          <w:iCs/>
          <w:sz w:val="19"/>
          <w:szCs w:val="19"/>
        </w:rPr>
        <w:t xml:space="preserve">Busca por “permission boundary” em src/data/aws.ts (zero ocorrências) e inspeção do type AwsPolicyType.</w:t>
      </w:r>
    </w:p>
    <w:p>
      <w:pPr>
        <w:spacing w:after="40"/>
        <w:ind w:left="120"/>
      </w:pPr>
      <w:r>
        <w:rPr>
          <w:b/>
          <w:bCs/>
          <w:sz w:val="19"/>
          <w:szCs w:val="19"/>
        </w:rPr>
        <w:t xml:space="preserve">Ação recomendada: </w:t>
      </w:r>
      <w:r>
        <w:rPr>
          <w:sz w:val="19"/>
          <w:szCs w:val="19"/>
        </w:rPr>
        <w:t xml:space="preserve">Adicionar Permission Boundaries como conceito de primeira classe — tanto como exemplos de boundary policies quanto como nova página explicativa (ver Dimensão 4).</w:t>
      </w:r>
    </w:p>
    <w:p>
      <w:pPr>
        <w:spacing w:after="220"/>
        <w:ind w:left="120"/>
      </w:pPr>
      <w:r>
        <w:rPr>
          <w:b/>
          <w:bCs/>
          <w:sz w:val="19"/>
          <w:szCs w:val="19"/>
        </w:rPr>
        <w:t xml:space="preserve">Esforço estimado: </w:t>
      </w:r>
      <w:r>
        <w:rPr>
          <w:sz w:val="19"/>
          <w:szCs w:val="19"/>
        </w:rPr>
        <w:t xml:space="preserve">Alto (&gt; 4h)</w:t>
      </w:r>
    </w:p>
    <w:p>
      <w:pPr>
        <w:pBdr>
          <w:left w:val="single" w:color="15803D" w:sz="24" w:space="8"/>
        </w:pBdr>
        <w:spacing w:after="80" w:before="280"/>
        <w:ind w:left="120"/>
      </w:pPr>
      <w:r>
        <w:rPr>
          <w:b/>
          <w:bCs/>
          <w:color w:val="0078D4"/>
        </w:rPr>
        <w:t xml:space="preserve">[DIMENSÃO 1] </w:t>
      </w:r>
      <w:r>
        <w:rPr>
          <w:b/>
          <w:bCs/>
        </w:rPr>
        <w:t xml:space="preserve">Entra ID / Directory Roles → </w:t>
      </w:r>
      <w:r>
        <w:rPr>
          <w:b/>
          <w:bCs/>
        </w:rPr>
        <w:t xml:space="preserve">Três roles sem tier EAM atribuído</w:t>
      </w:r>
    </w:p>
    <w:p>
      <w:pPr>
        <w:spacing w:after="40"/>
        <w:ind w:left="120"/>
      </w:pPr>
      <w:r>
        <w:rPr>
          <w:b/>
          <w:bCs/>
          <w:sz w:val="19"/>
          <w:szCs w:val="19"/>
        </w:rPr>
        <w:t xml:space="preserve">Cloud: </w:t>
      </w:r>
      <w:r>
        <w:rPr>
          <w:color w:val="374151"/>
          <w:sz w:val="19"/>
          <w:szCs w:val="19"/>
        </w:rPr>
        <w:t xml:space="preserve">Entra ID</w:t>
      </w:r>
    </w:p>
    <w:p>
      <w:pPr>
        <w:spacing w:after="40"/>
        <w:ind w:left="120"/>
      </w:pPr>
      <w:r>
        <w:rPr>
          <w:b/>
          <w:bCs/>
          <w:sz w:val="19"/>
          <w:szCs w:val="19"/>
        </w:rPr>
        <w:t xml:space="preserve">Severidade: </w:t>
      </w:r>
      <w:r>
        <w:rPr>
          <w:color w:val="15803D"/>
          <w:sz w:val="19"/>
          <w:szCs w:val="19"/>
        </w:rPr>
        <w:t xml:space="preserve">Baixa</w:t>
      </w:r>
    </w:p>
    <w:p>
      <w:pPr>
        <w:spacing w:after="40"/>
        <w:ind w:left="120"/>
      </w:pPr>
      <w:r>
        <w:rPr>
          <w:b/>
          <w:bCs/>
          <w:sz w:val="19"/>
          <w:szCs w:val="19"/>
        </w:rPr>
        <w:t xml:space="preserve">Tipo: </w:t>
      </w:r>
      <w:r>
        <w:rPr>
          <w:color w:val="374151"/>
          <w:sz w:val="19"/>
          <w:szCs w:val="19"/>
        </w:rPr>
        <w:t xml:space="preserve">Dado ausente</w:t>
      </w:r>
    </w:p>
    <w:p>
      <w:pPr>
        <w:spacing w:after="40"/>
        <w:ind w:left="120"/>
      </w:pPr>
      <w:r>
        <w:rPr>
          <w:b/>
          <w:bCs/>
          <w:sz w:val="19"/>
          <w:szCs w:val="19"/>
        </w:rPr>
        <w:t xml:space="preserve">Problema: </w:t>
      </w:r>
      <w:r>
        <w:rPr>
          <w:sz w:val="19"/>
          <w:szCs w:val="19"/>
        </w:rPr>
        <w:t xml:space="preserve">As roles “Device Join”, “Device Users” e “Workplace Device Join” estão com `eamTier: 'Unclassified'`. São roles de baixíssimo privilégio (associação de dispositivo), comparáveis às roles “User” e “Guest User”, já classificadas como `UserAccess`.</w:t>
      </w:r>
    </w:p>
    <w:p>
      <w:pPr>
        <w:spacing w:after="40"/>
        <w:ind w:left="120"/>
      </w:pPr>
      <w:r>
        <w:rPr>
          <w:b/>
          <w:bCs/>
          <w:sz w:val="19"/>
          <w:szCs w:val="19"/>
        </w:rPr>
        <w:t xml:space="preserve">Evidência: </w:t>
      </w:r>
      <w:r>
        <w:rPr>
          <w:i/>
          <w:iCs/>
          <w:sz w:val="19"/>
          <w:szCs w:val="19"/>
        </w:rPr>
        <w:t xml:space="preserve">Extração programática de roles.ts: 3 de 144 roles com eamTier Unclassified, todas categoria Device.</w:t>
      </w:r>
    </w:p>
    <w:p>
      <w:pPr>
        <w:spacing w:after="40"/>
        <w:ind w:left="120"/>
      </w:pPr>
      <w:r>
        <w:rPr>
          <w:b/>
          <w:bCs/>
          <w:sz w:val="19"/>
          <w:szCs w:val="19"/>
        </w:rPr>
        <w:t xml:space="preserve">Ação recomendada: </w:t>
      </w:r>
      <w:r>
        <w:rPr>
          <w:sz w:val="19"/>
          <w:szCs w:val="19"/>
        </w:rPr>
        <w:t xml:space="preserve">Reclassificar as três roles para o tier `UserAccess`, alinhando com o tratamento dado a “User”/“Guest User”/“Tenant Creator”, ou confirmar com a fonte EntraOps se a ausência de classificação é intencional.</w:t>
      </w:r>
    </w:p>
    <w:p>
      <w:pPr>
        <w:spacing w:after="220"/>
        <w:ind w:left="120"/>
      </w:pPr>
      <w:r>
        <w:rPr>
          <w:b/>
          <w:bCs/>
          <w:sz w:val="19"/>
          <w:szCs w:val="19"/>
        </w:rPr>
        <w:t xml:space="preserve">Esforço estimado: </w:t>
      </w:r>
      <w:r>
        <w:rPr>
          <w:sz w:val="19"/>
          <w:szCs w:val="19"/>
        </w:rPr>
        <w:t xml:space="preserve">Baixo (&lt; 1h)</w:t>
      </w:r>
    </w:p>
    <w:p>
      <w:pPr>
        <w:pStyle w:val="Heading1"/>
        <w:pageBreakBefore/>
      </w:pPr>
      <w:r>
        <w:t xml:space="preserve">Dimensão 2 — Precisão</w:t>
      </w:r>
    </w:p>
    <w:p>
      <w:pPr>
        <w:spacing w:after="160" w:line="276"/>
      </w:pPr>
      <w:r>
        <w:t xml:space="preserve">A verificação de precisão comparou os 144 nomes e IDs de directory roles do Entra ID contra a tabela oficial vigente do Microsoft Learn (atualizada em 28/06/2026). O resultado geral é forte: a flag `isPrivileged` bate 100% (33/33) com o ícone “Privileged” oficial, e 142 dos 144 nomes e IDs conferem exatamente. Dois problemas pontuais foram confirmados por correspondência de Template ID:</w:t>
      </w:r>
    </w:p>
    <w:p>
      <w:pPr>
        <w:pBdr>
          <w:left w:val="single" w:color="C2410C" w:sz="24" w:space="8"/>
        </w:pBdr>
        <w:spacing w:after="80" w:before="280"/>
        <w:ind w:left="120"/>
      </w:pPr>
      <w:r>
        <w:rPr>
          <w:b/>
          <w:bCs/>
          <w:color w:val="0078D4"/>
        </w:rPr>
        <w:t xml:space="preserve">[DIMENSÃO 2] </w:t>
      </w:r>
      <w:r>
        <w:rPr>
          <w:b/>
          <w:bCs/>
        </w:rPr>
        <w:t xml:space="preserve">Entra ID / Nome de Role → </w:t>
      </w:r>
      <w:r>
        <w:rPr>
          <w:b/>
          <w:bCs/>
        </w:rPr>
        <w:t xml:space="preserve">Role com nome legado pós-rebranding Azure AD → Microsoft Entra</w:t>
      </w:r>
    </w:p>
    <w:p>
      <w:pPr>
        <w:spacing w:after="40"/>
        <w:ind w:left="120"/>
      </w:pPr>
      <w:r>
        <w:rPr>
          <w:b/>
          <w:bCs/>
          <w:sz w:val="19"/>
          <w:szCs w:val="19"/>
        </w:rPr>
        <w:t xml:space="preserve">Cloud: </w:t>
      </w:r>
      <w:r>
        <w:rPr>
          <w:color w:val="374151"/>
          <w:sz w:val="19"/>
          <w:szCs w:val="19"/>
        </w:rPr>
        <w:t xml:space="preserve">Entra ID</w:t>
      </w:r>
    </w:p>
    <w:p>
      <w:pPr>
        <w:spacing w:after="40"/>
        <w:ind w:left="120"/>
      </w:pPr>
      <w:r>
        <w:rPr>
          <w:b/>
          <w:bCs/>
          <w:sz w:val="19"/>
          <w:szCs w:val="19"/>
        </w:rPr>
        <w:t xml:space="preserve">Severidade: </w:t>
      </w:r>
      <w:r>
        <w:rPr>
          <w:color w:val="C2410C"/>
          <w:sz w:val="19"/>
          <w:szCs w:val="19"/>
        </w:rPr>
        <w:t xml:space="preserve">Alta</w:t>
      </w:r>
    </w:p>
    <w:p>
      <w:pPr>
        <w:spacing w:after="40"/>
        <w:ind w:left="120"/>
      </w:pPr>
      <w:r>
        <w:rPr>
          <w:b/>
          <w:bCs/>
          <w:sz w:val="19"/>
          <w:szCs w:val="19"/>
        </w:rPr>
        <w:t xml:space="preserve">Tipo: </w:t>
      </w:r>
      <w:r>
        <w:rPr>
          <w:color w:val="374151"/>
          <w:sz w:val="19"/>
          <w:szCs w:val="19"/>
        </w:rPr>
        <w:t xml:space="preserve">Bug de dado</w:t>
      </w:r>
    </w:p>
    <w:p>
      <w:pPr>
        <w:spacing w:after="40"/>
        <w:ind w:left="120"/>
      </w:pPr>
      <w:r>
        <w:rPr>
          <w:b/>
          <w:bCs/>
          <w:sz w:val="19"/>
          <w:szCs w:val="19"/>
        </w:rPr>
        <w:t xml:space="preserve">Problema: </w:t>
      </w:r>
      <w:r>
        <w:rPr>
          <w:sz w:val="19"/>
          <w:szCs w:val="19"/>
        </w:rPr>
        <w:t xml:space="preserve">A role está catalogada como “Azure AD Joined Device Local Administrator”. A Microsoft renomeou essa role para “Microsoft Entra Joined Device Local Administrator” — confirmado pelo mesmo Template ID (9f06204d-73c1-4d4c-880a-6edb90606fd8) em ambas as fontes. Esse é o único papel do catálogo ainda com o nome antigo “Azure AD”; todos os demais já usam a nomenclatura “Entra”.</w:t>
      </w:r>
    </w:p>
    <w:p>
      <w:pPr>
        <w:spacing w:after="40"/>
        <w:ind w:left="120"/>
      </w:pPr>
      <w:r>
        <w:rPr>
          <w:b/>
          <w:bCs/>
          <w:sz w:val="19"/>
          <w:szCs w:val="19"/>
        </w:rPr>
        <w:t xml:space="preserve">Evidência: </w:t>
      </w:r>
      <w:hyperlink w:history="1" r:id="rIdlxgljmutdbhbq9le45b7y">
        <w:r>
          <w:rPr>
            <w:rStyle w:val="Hyperlink"/>
          </w:rPr>
          <w:t xml:space="preserve">Microsoft Entra built-in roles — Microsoft Learn (linha do Template ID 9f06204d-73c1-4d4c-880a-6edb90606fd8)</w:t>
        </w:r>
      </w:hyperlink>
    </w:p>
    <w:p>
      <w:pPr>
        <w:spacing w:after="40"/>
        <w:ind w:left="120"/>
      </w:pPr>
      <w:r>
        <w:rPr>
          <w:b/>
          <w:bCs/>
          <w:sz w:val="19"/>
          <w:szCs w:val="19"/>
        </w:rPr>
        <w:t xml:space="preserve">Ação recomendada: </w:t>
      </w:r>
      <w:r>
        <w:rPr>
          <w:sz w:val="19"/>
          <w:szCs w:val="19"/>
        </w:rPr>
        <w:t xml:space="preserve">Atualizar `name` e `slug` para “Microsoft Entra Joined Device Local Administrator” / `microsoft-entra-joined-device-local-administrator`, mantendo o mesmo `id`. Adicionar redirect do slug antigo para não quebrar links existentes.</w:t>
      </w:r>
    </w:p>
    <w:p>
      <w:pPr>
        <w:spacing w:after="220"/>
        <w:ind w:left="120"/>
      </w:pPr>
      <w:r>
        <w:rPr>
          <w:b/>
          <w:bCs/>
          <w:sz w:val="19"/>
          <w:szCs w:val="19"/>
        </w:rPr>
        <w:t xml:space="preserve">Esforço estimado: </w:t>
      </w:r>
      <w:r>
        <w:rPr>
          <w:sz w:val="19"/>
          <w:szCs w:val="19"/>
        </w:rPr>
        <w:t xml:space="preserve">Baixo (&lt; 1h)</w:t>
      </w:r>
    </w:p>
    <w:p>
      <w:pPr>
        <w:pBdr>
          <w:left w:val="single" w:color="15803D" w:sz="24" w:space="8"/>
        </w:pBdr>
        <w:spacing w:after="80" w:before="280"/>
        <w:ind w:left="120"/>
      </w:pPr>
      <w:r>
        <w:rPr>
          <w:b/>
          <w:bCs/>
          <w:color w:val="0078D4"/>
        </w:rPr>
        <w:t xml:space="preserve">[DIMENSÃO 2] </w:t>
      </w:r>
      <w:r>
        <w:rPr>
          <w:b/>
          <w:bCs/>
        </w:rPr>
        <w:t xml:space="preserve">Entra ID / Nome de Role → </w:t>
      </w:r>
      <w:r>
        <w:rPr>
          <w:b/>
          <w:bCs/>
        </w:rPr>
        <w:t xml:space="preserve">Capitalização incorreta em “Customer LockBox Access Approver”</w:t>
      </w:r>
    </w:p>
    <w:p>
      <w:pPr>
        <w:spacing w:after="40"/>
        <w:ind w:left="120"/>
      </w:pPr>
      <w:r>
        <w:rPr>
          <w:b/>
          <w:bCs/>
          <w:sz w:val="19"/>
          <w:szCs w:val="19"/>
        </w:rPr>
        <w:t xml:space="preserve">Cloud: </w:t>
      </w:r>
      <w:r>
        <w:rPr>
          <w:color w:val="374151"/>
          <w:sz w:val="19"/>
          <w:szCs w:val="19"/>
        </w:rPr>
        <w:t xml:space="preserve">Entra ID</w:t>
      </w:r>
    </w:p>
    <w:p>
      <w:pPr>
        <w:spacing w:after="40"/>
        <w:ind w:left="120"/>
      </w:pPr>
      <w:r>
        <w:rPr>
          <w:b/>
          <w:bCs/>
          <w:sz w:val="19"/>
          <w:szCs w:val="19"/>
        </w:rPr>
        <w:t xml:space="preserve">Severidade: </w:t>
      </w:r>
      <w:r>
        <w:rPr>
          <w:color w:val="15803D"/>
          <w:sz w:val="19"/>
          <w:szCs w:val="19"/>
        </w:rPr>
        <w:t xml:space="preserve">Baixa</w:t>
      </w:r>
    </w:p>
    <w:p>
      <w:pPr>
        <w:spacing w:after="40"/>
        <w:ind w:left="120"/>
      </w:pPr>
      <w:r>
        <w:rPr>
          <w:b/>
          <w:bCs/>
          <w:sz w:val="19"/>
          <w:szCs w:val="19"/>
        </w:rPr>
        <w:t xml:space="preserve">Tipo: </w:t>
      </w:r>
      <w:r>
        <w:rPr>
          <w:color w:val="374151"/>
          <w:sz w:val="19"/>
          <w:szCs w:val="19"/>
        </w:rPr>
        <w:t xml:space="preserve">Bug de dado</w:t>
      </w:r>
    </w:p>
    <w:p>
      <w:pPr>
        <w:spacing w:after="40"/>
        <w:ind w:left="120"/>
      </w:pPr>
      <w:r>
        <w:rPr>
          <w:b/>
          <w:bCs/>
          <w:sz w:val="19"/>
          <w:szCs w:val="19"/>
        </w:rPr>
        <w:t xml:space="preserve">Problema: </w:t>
      </w:r>
      <w:r>
        <w:rPr>
          <w:sz w:val="19"/>
          <w:szCs w:val="19"/>
        </w:rPr>
        <w:t xml:space="preserve">Nome oficial é “Customer Lockbox Access Approver” (b minúsculo). Confirmado pelo mesmo Template ID (5c4f9dcd-47dc-4cf7-8c9a-9e4207cbfc91) em ambas as fontes. Não confundir com “Entra Customer Lockbox Approver” (ID diferente, d35481f7-...), que é uma role distinta e legítima, lançada em junho de 2026 — essa segunda role está correta e não deve ser alterada.</w:t>
      </w:r>
    </w:p>
    <w:p>
      <w:pPr>
        <w:spacing w:after="40"/>
        <w:ind w:left="120"/>
      </w:pPr>
      <w:r>
        <w:rPr>
          <w:b/>
          <w:bCs/>
          <w:sz w:val="19"/>
          <w:szCs w:val="19"/>
        </w:rPr>
        <w:t xml:space="preserve">Evidência: </w:t>
      </w:r>
      <w:hyperlink w:history="1" r:id="rId710v4_9c_eceaalgufgsr">
        <w:r>
          <w:rPr>
            <w:rStyle w:val="Hyperlink"/>
          </w:rPr>
          <w:t xml:space="preserve">Microsoft Entra built-in roles — Microsoft Learn (Template ID 5c4f9dcd-47dc-4cf7-8c9a-9e4207cbfc91)</w:t>
        </w:r>
      </w:hyperlink>
    </w:p>
    <w:p>
      <w:pPr>
        <w:spacing w:after="40"/>
        <w:ind w:left="120"/>
      </w:pPr>
      <w:r>
        <w:rPr>
          <w:b/>
          <w:bCs/>
          <w:sz w:val="19"/>
          <w:szCs w:val="19"/>
        </w:rPr>
        <w:t xml:space="preserve">Ação recomendada: </w:t>
      </w:r>
      <w:r>
        <w:rPr>
          <w:sz w:val="19"/>
          <w:szCs w:val="19"/>
        </w:rPr>
        <w:t xml:space="preserve">Corrigir grafia para “Customer Lockbox Access Approver”.</w:t>
      </w:r>
    </w:p>
    <w:p>
      <w:pPr>
        <w:spacing w:after="220"/>
        <w:ind w:left="120"/>
      </w:pPr>
      <w:r>
        <w:rPr>
          <w:b/>
          <w:bCs/>
          <w:sz w:val="19"/>
          <w:szCs w:val="19"/>
        </w:rPr>
        <w:t xml:space="preserve">Esforço estimado: </w:t>
      </w:r>
      <w:r>
        <w:rPr>
          <w:sz w:val="19"/>
          <w:szCs w:val="19"/>
        </w:rPr>
        <w:t xml:space="preserve">Baixo (&lt; 1h)</w:t>
      </w:r>
    </w:p>
    <w:p>
      <w:pPr>
        <w:pBdr>
          <w:left w:val="single" w:color="15803D" w:sz="24" w:space="8"/>
        </w:pBdr>
        <w:spacing w:after="80" w:before="280"/>
        <w:ind w:left="120"/>
      </w:pPr>
      <w:r>
        <w:rPr>
          <w:b/>
          <w:bCs/>
          <w:color w:val="0078D4"/>
        </w:rPr>
        <w:t xml:space="preserve">[DIMENSÃO 2] </w:t>
      </w:r>
      <w:r>
        <w:rPr>
          <w:b/>
          <w:bCs/>
        </w:rPr>
        <w:t xml:space="preserve">AWS / Documentação Interna → </w:t>
      </w:r>
      <w:r>
        <w:rPr>
          <w:b/>
          <w:bCs/>
        </w:rPr>
        <w:t xml:space="preserve">Comentário desatualizado no cabeçalho de aws.ts</w:t>
      </w:r>
    </w:p>
    <w:p>
      <w:pPr>
        <w:spacing w:after="40"/>
        <w:ind w:left="120"/>
      </w:pPr>
      <w:r>
        <w:rPr>
          <w:b/>
          <w:bCs/>
          <w:sz w:val="19"/>
          <w:szCs w:val="19"/>
        </w:rPr>
        <w:t xml:space="preserve">Cloud: </w:t>
      </w:r>
      <w:r>
        <w:rPr>
          <w:color w:val="374151"/>
          <w:sz w:val="19"/>
          <w:szCs w:val="19"/>
        </w:rPr>
        <w:t xml:space="preserve">AWS</w:t>
      </w:r>
    </w:p>
    <w:p>
      <w:pPr>
        <w:spacing w:after="40"/>
        <w:ind w:left="120"/>
      </w:pPr>
      <w:r>
        <w:rPr>
          <w:b/>
          <w:bCs/>
          <w:sz w:val="19"/>
          <w:szCs w:val="19"/>
        </w:rPr>
        <w:t xml:space="preserve">Severidade: </w:t>
      </w:r>
      <w:r>
        <w:rPr>
          <w:color w:val="15803D"/>
          <w:sz w:val="19"/>
          <w:szCs w:val="19"/>
        </w:rPr>
        <w:t xml:space="preserve">Baixa</w:t>
      </w:r>
    </w:p>
    <w:p>
      <w:pPr>
        <w:spacing w:after="40"/>
        <w:ind w:left="120"/>
      </w:pPr>
      <w:r>
        <w:rPr>
          <w:b/>
          <w:bCs/>
          <w:sz w:val="19"/>
          <w:szCs w:val="19"/>
        </w:rPr>
        <w:t xml:space="preserve">Tipo: </w:t>
      </w:r>
      <w:r>
        <w:rPr>
          <w:color w:val="374151"/>
          <w:sz w:val="19"/>
          <w:szCs w:val="19"/>
        </w:rPr>
        <w:t xml:space="preserve">Bug de dado</w:t>
      </w:r>
    </w:p>
    <w:p>
      <w:pPr>
        <w:spacing w:after="40"/>
        <w:ind w:left="120"/>
      </w:pPr>
      <w:r>
        <w:rPr>
          <w:b/>
          <w:bCs/>
          <w:sz w:val="19"/>
          <w:szCs w:val="19"/>
        </w:rPr>
        <w:t xml:space="preserve">Problema: </w:t>
      </w:r>
      <w:r>
        <w:rPr>
          <w:sz w:val="19"/>
          <w:szCs w:val="19"/>
        </w:rPr>
        <w:t xml:space="preserve">O comentário no topo de src/data/aws.ts afirma “Covers ~260 policies across all major AWS services”, mas a contagem real é 497 entradas (quase o dobro). Não afeta o usuário final, mas pode induzir contribuidores futuros a subestimar a cobertura existente ou duplicar trabalho.</w:t>
      </w:r>
    </w:p>
    <w:p>
      <w:pPr>
        <w:spacing w:after="40"/>
        <w:ind w:left="120"/>
      </w:pPr>
      <w:r>
        <w:rPr>
          <w:b/>
          <w:bCs/>
          <w:sz w:val="19"/>
          <w:szCs w:val="19"/>
        </w:rPr>
        <w:t xml:space="preserve">Evidência: </w:t>
      </w:r>
      <w:r>
        <w:rPr>
          <w:i/>
          <w:iCs/>
          <w:sz w:val="19"/>
          <w:szCs w:val="19"/>
        </w:rPr>
        <w:t xml:space="preserve">Linha 2 de src/data/aws.ts vs. contagem programática de `slug:` no mesmo arquivo (497).</w:t>
      </w:r>
    </w:p>
    <w:p>
      <w:pPr>
        <w:spacing w:after="40"/>
        <w:ind w:left="120"/>
      </w:pPr>
      <w:r>
        <w:rPr>
          <w:b/>
          <w:bCs/>
          <w:sz w:val="19"/>
          <w:szCs w:val="19"/>
        </w:rPr>
        <w:t xml:space="preserve">Ação recomendada: </w:t>
      </w:r>
      <w:r>
        <w:rPr>
          <w:sz w:val="19"/>
          <w:szCs w:val="19"/>
        </w:rPr>
        <w:t xml:space="preserve">Atualizar o comentário para refletir a contagem atual; idealmente gerar esse número automaticamente via script para evitar nova divergência.</w:t>
      </w:r>
    </w:p>
    <w:p>
      <w:pPr>
        <w:spacing w:after="220"/>
        <w:ind w:left="120"/>
      </w:pPr>
      <w:r>
        <w:rPr>
          <w:b/>
          <w:bCs/>
          <w:sz w:val="19"/>
          <w:szCs w:val="19"/>
        </w:rPr>
        <w:t xml:space="preserve">Esforço estimado: </w:t>
      </w:r>
      <w:r>
        <w:rPr>
          <w:sz w:val="19"/>
          <w:szCs w:val="19"/>
        </w:rPr>
        <w:t xml:space="preserve">Baixo (&lt; 1h)</w:t>
      </w:r>
    </w:p>
    <w:p>
      <w:pPr>
        <w:pStyle w:val="Heading1"/>
        <w:pageBreakBefore/>
      </w:pPr>
      <w:r>
        <w:t xml:space="preserve">Dimensão 3 — Classificação EAM / Tier</w:t>
      </w:r>
    </w:p>
    <w:p>
      <w:pPr>
        <w:spacing w:after="160" w:line="276"/>
      </w:pPr>
      <w:r>
        <w:t xml:space="preserve">Os três tiers do site (`ControlPlane`, `ManagementPlane`, `UserAccess`, mais `Unclassified`) seguem nomenclatura idêntica ao schema de origem do EntraOps (Cloud-Architekt/AzurePrivilegedIAM), conforme confirmado em scripts/convert-roles.py. Por ser dado gerado automaticamente a partir da Classification_EntraIdDirectoryRoles.json, a precisão da classificação depende inteiramente da atualidade do snapshot usado — o site não introduz lógica própria de reclassificação.</w:t>
      </w:r>
    </w:p>
    <w:p>
      <w:pPr>
        <w:spacing w:after="160" w:line="276"/>
      </w:pPr>
      <w:r>
        <w:t xml:space="preserve">Amostragem de 12 roles de alto risco (Global Administrator, User Administrator, Privileged Role Administrator, Helpdesk Administrator, Application Administrator, Cloud Application Administrator, Partner Tier1/Tier2 Support, Hybrid Identity Administrator, Authentication Administrator, Privileged Authentication Administrator, Conditional Access Administrator) confirmou classificação `ControlPlane` consistente com o framework Enterprise Access Model (Tier 0) publicado por Thomas Naunheim/Cloud-Architekt. Nenhuma reclassificação incorreta foi identificada nessa amostra.</w:t>
      </w:r>
    </w:p>
    <w:p>
      <w:pPr>
        <w:pBdr>
          <w:left w:val="single" w:color="B45309" w:sz="24" w:space="8"/>
        </w:pBdr>
        <w:spacing w:after="80" w:before="280"/>
        <w:ind w:left="120"/>
      </w:pPr>
      <w:r>
        <w:rPr>
          <w:b/>
          <w:bCs/>
          <w:color w:val="0078D4"/>
        </w:rPr>
        <w:t xml:space="preserve">[DIMENSÃO 3] </w:t>
      </w:r>
      <w:r>
        <w:rPr>
          <w:b/>
          <w:bCs/>
        </w:rPr>
        <w:t xml:space="preserve">Entra ID / Rastreabilidade → </w:t>
      </w:r>
      <w:r>
        <w:rPr>
          <w:b/>
          <w:bCs/>
        </w:rPr>
        <w:t xml:space="preserve">Ausência de timestamp/versão do snapshot EntraOps usado</w:t>
      </w:r>
    </w:p>
    <w:p>
      <w:pPr>
        <w:spacing w:after="40"/>
        <w:ind w:left="120"/>
      </w:pPr>
      <w:r>
        <w:rPr>
          <w:b/>
          <w:bCs/>
          <w:sz w:val="19"/>
          <w:szCs w:val="19"/>
        </w:rPr>
        <w:t xml:space="preserve">Cloud: </w:t>
      </w:r>
      <w:r>
        <w:rPr>
          <w:color w:val="374151"/>
          <w:sz w:val="19"/>
          <w:szCs w:val="19"/>
        </w:rPr>
        <w:t xml:space="preserve">Entra ID</w:t>
      </w:r>
    </w:p>
    <w:p>
      <w:pPr>
        <w:spacing w:after="40"/>
        <w:ind w:left="120"/>
      </w:pPr>
      <w:r>
        <w:rPr>
          <w:b/>
          <w:bCs/>
          <w:sz w:val="19"/>
          <w:szCs w:val="19"/>
        </w:rPr>
        <w:t xml:space="preserve">Severidade: </w:t>
      </w:r>
      <w:r>
        <w:rPr>
          <w:color w:val="B45309"/>
          <w:sz w:val="19"/>
          <w:szCs w:val="19"/>
        </w:rPr>
        <w:t xml:space="preserve">Média</w:t>
      </w:r>
    </w:p>
    <w:p>
      <w:pPr>
        <w:spacing w:after="40"/>
        <w:ind w:left="120"/>
      </w:pPr>
      <w:r>
        <w:rPr>
          <w:b/>
          <w:bCs/>
          <w:sz w:val="19"/>
          <w:szCs w:val="19"/>
        </w:rPr>
        <w:t xml:space="preserve">Tipo: </w:t>
      </w:r>
      <w:r>
        <w:rPr>
          <w:color w:val="374151"/>
          <w:sz w:val="19"/>
          <w:szCs w:val="19"/>
        </w:rPr>
        <w:t xml:space="preserve">Melhoria estrutural</w:t>
      </w:r>
    </w:p>
    <w:p>
      <w:pPr>
        <w:spacing w:after="40"/>
        <w:ind w:left="120"/>
      </w:pPr>
      <w:r>
        <w:rPr>
          <w:b/>
          <w:bCs/>
          <w:sz w:val="19"/>
          <w:szCs w:val="19"/>
        </w:rPr>
        <w:t xml:space="preserve">Problema: </w:t>
      </w:r>
      <w:r>
        <w:rPr>
          <w:sz w:val="19"/>
          <w:szCs w:val="19"/>
        </w:rPr>
        <w:t xml:space="preserve">roles.ts e apiPermissions.ts trazem apenas um comentário genérico (“Gerado automaticamente a partir de Classification_EntraIdDirectoryRoles.json”) sem data, versão ou hash de commit do EntraOps. Como a Microsoft lança roles novas com frequência mensal (3 roles de IA agêntica só nos últimos meses), não há como o usuário final — nem o time do site — saber se a classificação de Tier está a poucos dias ou a vários meses de defasagem em relação à fonte.</w:t>
      </w:r>
    </w:p>
    <w:p>
      <w:pPr>
        <w:spacing w:after="40"/>
        <w:ind w:left="120"/>
      </w:pPr>
      <w:r>
        <w:rPr>
          <w:b/>
          <w:bCs/>
          <w:sz w:val="19"/>
          <w:szCs w:val="19"/>
        </w:rPr>
        <w:t xml:space="preserve">Evidência: </w:t>
      </w:r>
      <w:r>
        <w:rPr>
          <w:i/>
          <w:iCs/>
          <w:sz w:val="19"/>
          <w:szCs w:val="19"/>
        </w:rPr>
        <w:t xml:space="preserve">Cabeçalho de src/data/roles.ts e src/data/apiPermissions.ts; ausência de campo de data em qualquer um dos dois arquivos.</w:t>
      </w:r>
    </w:p>
    <w:p>
      <w:pPr>
        <w:spacing w:after="40"/>
        <w:ind w:left="120"/>
      </w:pPr>
      <w:r>
        <w:rPr>
          <w:b/>
          <w:bCs/>
          <w:sz w:val="19"/>
          <w:szCs w:val="19"/>
        </w:rPr>
        <w:t xml:space="preserve">Ação recomendada: </w:t>
      </w:r>
      <w:r>
        <w:rPr>
          <w:sz w:val="19"/>
          <w:szCs w:val="19"/>
        </w:rPr>
        <w:t xml:space="preserve">Incluir no cabeçalho do arquivo gerado (e, idealmente, na UI do dashboard) a data da última sincronização e o commit hash do EntraOps usado, e agendar resync periódico (sugestão: mensal, dado o ritmo de lançamento de roles observado).</w:t>
      </w:r>
    </w:p>
    <w:p>
      <w:pPr>
        <w:spacing w:after="220"/>
        <w:ind w:left="120"/>
      </w:pPr>
      <w:r>
        <w:rPr>
          <w:b/>
          <w:bCs/>
          <w:sz w:val="19"/>
          <w:szCs w:val="19"/>
        </w:rPr>
        <w:t xml:space="preserve">Esforço estimado: </w:t>
      </w:r>
      <w:r>
        <w:rPr>
          <w:sz w:val="19"/>
          <w:szCs w:val="19"/>
        </w:rPr>
        <w:t xml:space="preserve">Médio (1-4h)</w:t>
      </w:r>
    </w:p>
    <w:p>
      <w:pPr>
        <w:pBdr>
          <w:left w:val="single" w:color="15803D" w:sz="24" w:space="8"/>
        </w:pBdr>
        <w:spacing w:after="80" w:before="280"/>
        <w:ind w:left="120"/>
      </w:pPr>
      <w:r>
        <w:rPr>
          <w:b/>
          <w:bCs/>
          <w:color w:val="0078D4"/>
        </w:rPr>
        <w:t xml:space="preserve">[DIMENSÃO 3] </w:t>
      </w:r>
      <w:r>
        <w:rPr>
          <w:b/>
          <w:bCs/>
        </w:rPr>
        <w:t xml:space="preserve">Entra ID / Tier → </w:t>
      </w:r>
      <w:r>
        <w:rPr>
          <w:b/>
          <w:bCs/>
        </w:rPr>
        <w:t xml:space="preserve">Roles de baixo privilégio sem tier consistente</w:t>
      </w:r>
    </w:p>
    <w:p>
      <w:pPr>
        <w:spacing w:after="40"/>
        <w:ind w:left="120"/>
      </w:pPr>
      <w:r>
        <w:rPr>
          <w:b/>
          <w:bCs/>
          <w:sz w:val="19"/>
          <w:szCs w:val="19"/>
        </w:rPr>
        <w:t xml:space="preserve">Cloud: </w:t>
      </w:r>
      <w:r>
        <w:rPr>
          <w:color w:val="374151"/>
          <w:sz w:val="19"/>
          <w:szCs w:val="19"/>
        </w:rPr>
        <w:t xml:space="preserve">Entra ID</w:t>
      </w:r>
    </w:p>
    <w:p>
      <w:pPr>
        <w:spacing w:after="40"/>
        <w:ind w:left="120"/>
      </w:pPr>
      <w:r>
        <w:rPr>
          <w:b/>
          <w:bCs/>
          <w:sz w:val="19"/>
          <w:szCs w:val="19"/>
        </w:rPr>
        <w:t xml:space="preserve">Severidade: </w:t>
      </w:r>
      <w:r>
        <w:rPr>
          <w:color w:val="15803D"/>
          <w:sz w:val="19"/>
          <w:szCs w:val="19"/>
        </w:rPr>
        <w:t xml:space="preserve">Baixa</w:t>
      </w:r>
    </w:p>
    <w:p>
      <w:pPr>
        <w:spacing w:after="40"/>
        <w:ind w:left="120"/>
      </w:pPr>
      <w:r>
        <w:rPr>
          <w:b/>
          <w:bCs/>
          <w:sz w:val="19"/>
          <w:szCs w:val="19"/>
        </w:rPr>
        <w:t xml:space="preserve">Tipo: </w:t>
      </w:r>
      <w:r>
        <w:rPr>
          <w:color w:val="374151"/>
          <w:sz w:val="19"/>
          <w:szCs w:val="19"/>
        </w:rPr>
        <w:t xml:space="preserve">Reclassificação</w:t>
      </w:r>
    </w:p>
    <w:p>
      <w:pPr>
        <w:spacing w:after="40"/>
        <w:ind w:left="120"/>
      </w:pPr>
      <w:r>
        <w:rPr>
          <w:b/>
          <w:bCs/>
          <w:sz w:val="19"/>
          <w:szCs w:val="19"/>
        </w:rPr>
        <w:t xml:space="preserve">Problema: </w:t>
      </w:r>
      <w:r>
        <w:rPr>
          <w:sz w:val="19"/>
          <w:szCs w:val="19"/>
        </w:rPr>
        <w:t xml:space="preserve">Mesmo achado já registrado na Dimensão 1 (Device Join, Device Users, Workplace Device Join com `Unclassified`) — reincluído aqui porque é, estritamente, uma questão de classificação EAM e não apenas de completude de dado.</w:t>
      </w:r>
    </w:p>
    <w:p>
      <w:pPr>
        <w:spacing w:after="40"/>
        <w:ind w:left="120"/>
      </w:pPr>
      <w:r>
        <w:rPr>
          <w:b/>
          <w:bCs/>
          <w:sz w:val="19"/>
          <w:szCs w:val="19"/>
        </w:rPr>
        <w:t xml:space="preserve">Evidência: </w:t>
      </w:r>
      <w:r>
        <w:rPr>
          <w:i/>
          <w:iCs/>
          <w:sz w:val="19"/>
          <w:szCs w:val="19"/>
        </w:rPr>
        <w:t xml:space="preserve">Extração programática de roles.ts.</w:t>
      </w:r>
    </w:p>
    <w:p>
      <w:pPr>
        <w:spacing w:after="40"/>
        <w:ind w:left="120"/>
      </w:pPr>
      <w:r>
        <w:rPr>
          <w:b/>
          <w:bCs/>
          <w:sz w:val="19"/>
          <w:szCs w:val="19"/>
        </w:rPr>
        <w:t xml:space="preserve">Ação recomendada: </w:t>
      </w:r>
      <w:r>
        <w:rPr>
          <w:sz w:val="19"/>
          <w:szCs w:val="19"/>
        </w:rPr>
        <w:t xml:space="preserve">Ver ação recomendada na Dimensão 1 (reclassificar para `UserAccess`).</w:t>
      </w:r>
    </w:p>
    <w:p>
      <w:pPr>
        <w:spacing w:after="220"/>
        <w:ind w:left="120"/>
      </w:pPr>
      <w:r>
        <w:rPr>
          <w:b/>
          <w:bCs/>
          <w:sz w:val="19"/>
          <w:szCs w:val="19"/>
        </w:rPr>
        <w:t xml:space="preserve">Esforço estimado: </w:t>
      </w:r>
      <w:r>
        <w:rPr>
          <w:sz w:val="19"/>
          <w:szCs w:val="19"/>
        </w:rPr>
        <w:t xml:space="preserve">Baixo (&lt; 1h)</w:t>
      </w:r>
    </w:p>
    <w:p>
      <w:pPr>
        <w:pStyle w:val="Heading1"/>
        <w:pageBreakBefore/>
      </w:pPr>
      <w:r>
        <w:t xml:space="preserve">Dimensão 4 — Subpáginas e Estrutura de Conteúdo</w:t>
      </w:r>
    </w:p>
    <w:p>
      <w:pPr>
        <w:spacing w:after="160" w:line="276"/>
      </w:pPr>
      <w:r>
        <w:t xml:space="preserve">A estrutura atual cobre bem listagens e páginas de detalhe por role/policy, mas carece de páginas conceituais que conectem mecanismos relacionados — exatamente o tipo de conteúdo que mais agrega valor para um público de Cloud IAM/segurança (ex.: “quando usar X vs Y”, “como isso se compara entre clouds”). A tabela abaixo prioriza as subpáginas sugeridas pelo usuário, cruzadas com o que foi confirmado como realmente ausente no código-fonte atual.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2200"/>
        <w:gridCol w:w="1300"/>
        <w:gridCol w:w="2680"/>
      </w:tblGrid>
      <w:tr>
        <w:trPr>
          <w:tblHeader/>
        </w:trPr>
        <w:tc>
          <w:tcPr>
            <w:tcW w:type="dxa" w:w="260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left"/>
            </w:pPr>
            <w:r>
              <w:rPr>
                <w:b/>
                <w:bCs/>
                <w:color w:val="FFFFFF"/>
                <w:sz w:val="19"/>
                <w:szCs w:val="19"/>
              </w:rPr>
              <w:t xml:space="preserve">Subpágina</w:t>
            </w:r>
          </w:p>
        </w:tc>
        <w:tc>
          <w:tcPr>
            <w:tcW w:type="dxa" w:w="130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left"/>
            </w:pPr>
            <w:r>
              <w:rPr>
                <w:b/>
                <w:bCs/>
                <w:color w:val="FFFFFF"/>
                <w:sz w:val="19"/>
                <w:szCs w:val="19"/>
              </w:rPr>
              <w:t xml:space="preserve">Cloud</w:t>
            </w:r>
          </w:p>
        </w:tc>
        <w:tc>
          <w:tcPr>
            <w:tcW w:type="dxa" w:w="220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left"/>
            </w:pPr>
            <w:r>
              <w:rPr>
                <w:b/>
                <w:bCs/>
                <w:color w:val="FFFFFF"/>
                <w:sz w:val="19"/>
                <w:szCs w:val="19"/>
              </w:rPr>
              <w:t xml:space="preserve">Justificativa (resumo)</w:t>
            </w:r>
          </w:p>
        </w:tc>
        <w:tc>
          <w:tcPr>
            <w:tcW w:type="dxa" w:w="130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left"/>
            </w:pPr>
            <w:r>
              <w:rPr>
                <w:b/>
                <w:bCs/>
                <w:color w:val="FFFFFF"/>
                <w:sz w:val="19"/>
                <w:szCs w:val="19"/>
              </w:rPr>
              <w:t xml:space="preserve">Prioridade</w:t>
            </w:r>
          </w:p>
        </w:tc>
        <w:tc>
          <w:tcPr>
            <w:tcW w:type="dxa" w:w="268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left"/>
            </w:pPr>
            <w:r>
              <w:rPr>
                <w:b/>
                <w:bCs/>
                <w:color w:val="FFFFFF"/>
                <w:sz w:val="19"/>
                <w:szCs w:val="19"/>
              </w:rPr>
              <w:t xml:space="preserve">Esforço / Fonte</w:t>
            </w:r>
          </w:p>
        </w:tc>
      </w:tr>
      <w:tr>
        <w:tc>
          <w:tcPr>
            <w:tcW w:type="dxa" w:w="26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Comparativo de Tiers entre Clouds</w:t>
            </w:r>
          </w:p>
        </w:tc>
        <w:tc>
          <w:tcPr>
            <w:tcW w:type="dxa" w:w="1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Cross-cloud</w:t>
            </w:r>
          </w:p>
        </w:tc>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Mapeia Tier0/Control Plane do Entra ID a root/OrganizationAccountAccessRole (AWS), Org Admin (GCP), Owner (Azure RBAC)</w:t>
            </w:r>
          </w:p>
        </w:tc>
        <w:tc>
          <w:tcPr>
            <w:tcW w:type="dxa" w:w="1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bCs/>
                <w:color w:val="C2410C"/>
                <w:sz w:val="19"/>
                <w:szCs w:val="19"/>
              </w:rPr>
              <w:t xml:space="preserve">Alta</w:t>
            </w:r>
          </w:p>
        </w:tc>
        <w:tc>
          <w:tcPr>
            <w:tcW w:type="dxa" w:w="26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Médio · dados já existentes no site</w:t>
            </w:r>
          </w:p>
        </w:tc>
      </w:tr>
      <w:tr>
        <w:tc>
          <w:tcPr>
            <w:tcW w:type="dxa" w:w="26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PIM — Eligible vs Active, JIT</w:t>
            </w:r>
          </w:p>
        </w:tc>
        <w:tc>
          <w:tcPr>
            <w:tcW w:type="dxa" w:w="13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Entra ID</w:t>
            </w:r>
          </w:p>
        </w:tc>
        <w:tc>
          <w:tcPr>
            <w:tcW w:type="dxa" w:w="22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Extensão natural do modelo EAM já presente; alta demanda de profissionais de IAM</w:t>
            </w:r>
          </w:p>
        </w:tc>
        <w:tc>
          <w:tcPr>
            <w:tcW w:type="dxa" w:w="13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bCs/>
                <w:color w:val="C2410C"/>
                <w:sz w:val="19"/>
                <w:szCs w:val="19"/>
              </w:rPr>
              <w:t xml:space="preserve">Alta</w:t>
            </w:r>
          </w:p>
        </w:tc>
        <w:tc>
          <w:tcPr>
            <w:tcW w:type="dxa" w:w="26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Médio · MS Graph PIM API / Learn</w:t>
            </w:r>
          </w:p>
        </w:tc>
      </w:tr>
      <w:tr>
        <w:tc>
          <w:tcPr>
            <w:tcW w:type="dxa" w:w="26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Permission Boundaries</w:t>
            </w:r>
          </w:p>
        </w:tc>
        <w:tc>
          <w:tcPr>
            <w:tcW w:type="dxa" w:w="1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AWS</w:t>
            </w:r>
          </w:p>
        </w:tc>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Pilar de contenção de privilégio ausente do catálogo e da documentação</w:t>
            </w:r>
          </w:p>
        </w:tc>
        <w:tc>
          <w:tcPr>
            <w:tcW w:type="dxa" w:w="1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bCs/>
                <w:color w:val="C2410C"/>
                <w:sz w:val="19"/>
                <w:szCs w:val="19"/>
              </w:rPr>
              <w:t xml:space="preserve">Alta</w:t>
            </w:r>
          </w:p>
        </w:tc>
        <w:tc>
          <w:tcPr>
            <w:tcW w:type="dxa" w:w="26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Médio · AWS IAM docs</w:t>
            </w:r>
          </w:p>
        </w:tc>
      </w:tr>
      <w:tr>
        <w:tc>
          <w:tcPr>
            <w:tcW w:type="dxa" w:w="26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SCP vs Identity Policies</w:t>
            </w:r>
          </w:p>
        </w:tc>
        <w:tc>
          <w:tcPr>
            <w:tcW w:type="dxa" w:w="13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AWS</w:t>
            </w:r>
          </w:p>
        </w:tc>
        <w:tc>
          <w:tcPr>
            <w:tcW w:type="dxa" w:w="22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Hoje é só um link de referência; tema crítico para multi-conta</w:t>
            </w:r>
          </w:p>
        </w:tc>
        <w:tc>
          <w:tcPr>
            <w:tcW w:type="dxa" w:w="13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bCs/>
                <w:color w:val="C2410C"/>
                <w:sz w:val="19"/>
                <w:szCs w:val="19"/>
              </w:rPr>
              <w:t xml:space="preserve">Alta</w:t>
            </w:r>
          </w:p>
        </w:tc>
        <w:tc>
          <w:tcPr>
            <w:tcW w:type="dxa" w:w="26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Médio · AWS Organizations docs</w:t>
            </w:r>
          </w:p>
        </w:tc>
      </w:tr>
      <w:tr>
        <w:tc>
          <w:tcPr>
            <w:tcW w:type="dxa" w:w="26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Access Groups &amp; Trusted Profiles</w:t>
            </w:r>
          </w:p>
        </w:tc>
        <w:tc>
          <w:tcPr>
            <w:tcW w:type="dxa" w:w="1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IBM Cloud</w:t>
            </w:r>
          </w:p>
        </w:tc>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Primitivos centrais do IAM da IBM, hoje sem catálogo dedicado</w:t>
            </w:r>
          </w:p>
        </w:tc>
        <w:tc>
          <w:tcPr>
            <w:tcW w:type="dxa" w:w="1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bCs/>
                <w:color w:val="C2410C"/>
                <w:sz w:val="19"/>
                <w:szCs w:val="19"/>
              </w:rPr>
              <w:t xml:space="preserve">Alta</w:t>
            </w:r>
          </w:p>
        </w:tc>
        <w:tc>
          <w:tcPr>
            <w:tcW w:type="dxa" w:w="26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Médio · IBM Cloud docs</w:t>
            </w:r>
          </w:p>
        </w:tc>
      </w:tr>
      <w:tr>
        <w:tc>
          <w:tcPr>
            <w:tcW w:type="dxa" w:w="26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Custom Roles vs Built-in Roles</w:t>
            </w:r>
          </w:p>
        </w:tc>
        <w:tc>
          <w:tcPr>
            <w:tcW w:type="dxa" w:w="13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Entra ID / Azure RBAC / GCP</w:t>
            </w:r>
          </w:p>
        </w:tc>
        <w:tc>
          <w:tcPr>
            <w:tcW w:type="dxa" w:w="22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Diferenças, limites por tenant/assinatura/projeto, quando usar cada um</w:t>
            </w:r>
          </w:p>
        </w:tc>
        <w:tc>
          <w:tcPr>
            <w:tcW w:type="dxa" w:w="13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bCs/>
                <w:color w:val="B45309"/>
                <w:sz w:val="19"/>
                <w:szCs w:val="19"/>
              </w:rPr>
              <w:t xml:space="preserve">Média</w:t>
            </w:r>
          </w:p>
        </w:tc>
        <w:tc>
          <w:tcPr>
            <w:tcW w:type="dxa" w:w="26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Médio · Learn / Cloud docs por plataforma</w:t>
            </w:r>
          </w:p>
        </w:tc>
      </w:tr>
      <w:tr>
        <w:tc>
          <w:tcPr>
            <w:tcW w:type="dxa" w:w="26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Conditional Access &amp; Named Locations</w:t>
            </w:r>
          </w:p>
        </w:tc>
        <w:tc>
          <w:tcPr>
            <w:tcW w:type="dxa" w:w="1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Entra ID</w:t>
            </w:r>
          </w:p>
        </w:tc>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Permissões necessárias para configurar CA; muito buscado por admins</w:t>
            </w:r>
          </w:p>
        </w:tc>
        <w:tc>
          <w:tcPr>
            <w:tcW w:type="dxa" w:w="1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bCs/>
                <w:color w:val="B45309"/>
                <w:sz w:val="19"/>
                <w:szCs w:val="19"/>
              </w:rPr>
              <w:t xml:space="preserve">Média</w:t>
            </w:r>
          </w:p>
        </w:tc>
        <w:tc>
          <w:tcPr>
            <w:tcW w:type="dxa" w:w="26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Médio · MS Graph/Learn</w:t>
            </w:r>
          </w:p>
        </w:tc>
      </w:tr>
      <w:tr>
        <w:tc>
          <w:tcPr>
            <w:tcW w:type="dxa" w:w="26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Administrative Units</w:t>
            </w:r>
          </w:p>
        </w:tc>
        <w:tc>
          <w:tcPr>
            <w:tcW w:type="dxa" w:w="13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Entra ID</w:t>
            </w:r>
          </w:p>
        </w:tc>
        <w:tc>
          <w:tcPr>
            <w:tcW w:type="dxa" w:w="22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Roles com escopo restrito; relevante para delegação granular</w:t>
            </w:r>
          </w:p>
        </w:tc>
        <w:tc>
          <w:tcPr>
            <w:tcW w:type="dxa" w:w="13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bCs/>
                <w:color w:val="B45309"/>
                <w:sz w:val="19"/>
                <w:szCs w:val="19"/>
              </w:rPr>
              <w:t xml:space="preserve">Média</w:t>
            </w:r>
          </w:p>
        </w:tc>
        <w:tc>
          <w:tcPr>
            <w:tcW w:type="dxa" w:w="26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Baixo · MS Learn</w:t>
            </w:r>
          </w:p>
        </w:tc>
      </w:tr>
      <w:tr>
        <w:tc>
          <w:tcPr>
            <w:tcW w:type="dxa" w:w="26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Glossário unificado de termos IAM</w:t>
            </w:r>
          </w:p>
        </w:tc>
        <w:tc>
          <w:tcPr>
            <w:tcW w:type="dxa" w:w="1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Cross-cloud</w:t>
            </w:r>
          </w:p>
        </w:tc>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Reduz fricção para quem navega entre as 7 clouds do site</w:t>
            </w:r>
          </w:p>
        </w:tc>
        <w:tc>
          <w:tcPr>
            <w:tcW w:type="dxa" w:w="1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bCs/>
                <w:color w:val="B45309"/>
                <w:sz w:val="19"/>
                <w:szCs w:val="19"/>
              </w:rPr>
              <w:t xml:space="preserve">Média</w:t>
            </w:r>
          </w:p>
        </w:tc>
        <w:tc>
          <w:tcPr>
            <w:tcW w:type="dxa" w:w="26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Baixo · compilação interna</w:t>
            </w:r>
          </w:p>
        </w:tc>
      </w:tr>
      <w:tr>
        <w:tc>
          <w:tcPr>
            <w:tcW w:type="dxa" w:w="26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AWS Organizations — hierarquia e delegated admin</w:t>
            </w:r>
          </w:p>
        </w:tc>
        <w:tc>
          <w:tcPr>
            <w:tcW w:type="dxa" w:w="13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AWS</w:t>
            </w:r>
          </w:p>
        </w:tc>
        <w:tc>
          <w:tcPr>
            <w:tcW w:type="dxa" w:w="22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Complementa SCP; contexto essencial para Security Hub/GuardDuty delegado</w:t>
            </w:r>
          </w:p>
        </w:tc>
        <w:tc>
          <w:tcPr>
            <w:tcW w:type="dxa" w:w="13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bCs/>
                <w:color w:val="B45309"/>
                <w:sz w:val="19"/>
                <w:szCs w:val="19"/>
              </w:rPr>
              <w:t xml:space="preserve">Média</w:t>
            </w:r>
          </w:p>
        </w:tc>
        <w:tc>
          <w:tcPr>
            <w:tcW w:type="dxa" w:w="26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Médio · AWS Organizations docs</w:t>
            </w:r>
          </w:p>
        </w:tc>
      </w:tr>
      <w:tr>
        <w:tc>
          <w:tcPr>
            <w:tcW w:type="dxa" w:w="26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Deny Assignments</w:t>
            </w:r>
          </w:p>
        </w:tc>
        <w:tc>
          <w:tcPr>
            <w:tcW w:type="dxa" w:w="1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Azure RBAC</w:t>
            </w:r>
          </w:p>
        </w:tc>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Mecanismo pouco conhecido que sobrepõe roles; relevante para troubleshooting</w:t>
            </w:r>
          </w:p>
        </w:tc>
        <w:tc>
          <w:tcPr>
            <w:tcW w:type="dxa" w:w="1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bCs/>
                <w:color w:val="15803D"/>
                <w:sz w:val="19"/>
                <w:szCs w:val="19"/>
              </w:rPr>
              <w:t xml:space="preserve">Baixa</w:t>
            </w:r>
          </w:p>
        </w:tc>
        <w:tc>
          <w:tcPr>
            <w:tcW w:type="dxa" w:w="26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Baixo · Azure RBAC docs</w:t>
            </w:r>
          </w:p>
        </w:tc>
      </w:tr>
      <w:tr>
        <w:tc>
          <w:tcPr>
            <w:tcW w:type="dxa" w:w="26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Role Assignment Conditions (ABAC)</w:t>
            </w:r>
          </w:p>
        </w:tc>
        <w:tc>
          <w:tcPr>
            <w:tcW w:type="dxa" w:w="13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Azure RBAC</w:t>
            </w:r>
          </w:p>
        </w:tc>
        <w:tc>
          <w:tcPr>
            <w:tcW w:type="dxa" w:w="22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Tema avançado, público menor porém crescente</w:t>
            </w:r>
          </w:p>
        </w:tc>
        <w:tc>
          <w:tcPr>
            <w:tcW w:type="dxa" w:w="13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bCs/>
                <w:color w:val="15803D"/>
                <w:sz w:val="19"/>
                <w:szCs w:val="19"/>
              </w:rPr>
              <w:t xml:space="preserve">Baixa</w:t>
            </w:r>
          </w:p>
        </w:tc>
        <w:tc>
          <w:tcPr>
            <w:tcW w:type="dxa" w:w="26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Alto · Azure ABAC docs</w:t>
            </w:r>
          </w:p>
        </w:tc>
      </w:tr>
      <w:tr>
        <w:tc>
          <w:tcPr>
            <w:tcW w:type="dxa" w:w="26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Organization Policies vs IAM</w:t>
            </w:r>
          </w:p>
        </w:tc>
        <w:tc>
          <w:tcPr>
            <w:tcW w:type="dxa" w:w="1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GCP</w:t>
            </w:r>
          </w:p>
        </w:tc>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Esclarece sobreposição entre Org Policy constraints e IAM bindings</w:t>
            </w:r>
          </w:p>
        </w:tc>
        <w:tc>
          <w:tcPr>
            <w:tcW w:type="dxa" w:w="1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bCs/>
                <w:color w:val="15803D"/>
                <w:sz w:val="19"/>
                <w:szCs w:val="19"/>
              </w:rPr>
              <w:t xml:space="preserve">Baixa</w:t>
            </w:r>
          </w:p>
        </w:tc>
        <w:tc>
          <w:tcPr>
            <w:tcW w:type="dxa" w:w="26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Médio · GCP docs</w:t>
            </w:r>
          </w:p>
        </w:tc>
      </w:tr>
      <w:tr>
        <w:tc>
          <w:tcPr>
            <w:tcW w:type="dxa" w:w="26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Custom Roles</w:t>
            </w:r>
          </w:p>
        </w:tc>
        <w:tc>
          <w:tcPr>
            <w:tcW w:type="dxa" w:w="13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GCP</w:t>
            </w:r>
          </w:p>
        </w:tc>
        <w:tc>
          <w:tcPr>
            <w:tcW w:type="dxa" w:w="22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Limitações de permissões suportadas, herança de papéis</w:t>
            </w:r>
          </w:p>
        </w:tc>
        <w:tc>
          <w:tcPr>
            <w:tcW w:type="dxa" w:w="13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bCs/>
                <w:color w:val="15803D"/>
                <w:sz w:val="19"/>
                <w:szCs w:val="19"/>
              </w:rPr>
              <w:t xml:space="preserve">Baixa</w:t>
            </w:r>
          </w:p>
        </w:tc>
        <w:tc>
          <w:tcPr>
            <w:tcW w:type="dxa" w:w="26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Médio · GCP IAM docs</w:t>
            </w:r>
          </w:p>
        </w:tc>
      </w:tr>
    </w:tbl>
    <w:p>
      <w:pPr>
        <w:spacing w:before="200"/>
      </w:pPr>
      <w:r>
        <w:rPr>
          <w:i/>
          <w:iCs/>
          <w:color w:val="6B7280"/>
          <w:sz w:val="18"/>
          <w:szCs w:val="18"/>
        </w:rPr>
        <w:t xml:space="preserve">Critério de priorização: Alta = mecanismo central do modelo de IAM da plataforma, hoje completamente ausente ou reduzido a um único link de referência; Média = enriquece páginas existentes e atende público frequente; Baixa = tema avançado/nicho ou já parcialmente coberto em outra página.</w:t>
      </w:r>
    </w:p>
    <w:p>
      <w:pPr>
        <w:pStyle w:val="Heading1"/>
        <w:pageBreakBefore/>
      </w:pPr>
      <w:r>
        <w:t xml:space="preserve">Dimensão 5 — Tipos de Permissão Adicionais</w:t>
      </w:r>
    </w:p>
    <w:p>
      <w:pPr>
        <w:pBdr>
          <w:left w:val="single" w:color="B45309" w:sz="24" w:space="8"/>
        </w:pBdr>
        <w:spacing w:after="80" w:before="280"/>
        <w:ind w:left="120"/>
      </w:pPr>
      <w:r>
        <w:rPr>
          <w:b/>
          <w:bCs/>
          <w:color w:val="0078D4"/>
        </w:rPr>
        <w:t xml:space="preserve">[DIMENSÃO 5] </w:t>
      </w:r>
      <w:r>
        <w:rPr>
          <w:b/>
          <w:bCs/>
        </w:rPr>
        <w:t xml:space="preserve">Entra ID / App Roles → </w:t>
      </w:r>
      <w:r>
        <w:rPr>
          <w:b/>
          <w:bCs/>
        </w:rPr>
        <w:t xml:space="preserve">App Roles (de app registrations) não distinguidos de Directory Roles</w:t>
      </w:r>
    </w:p>
    <w:p>
      <w:pPr>
        <w:spacing w:after="40"/>
        <w:ind w:left="120"/>
      </w:pPr>
      <w:r>
        <w:rPr>
          <w:b/>
          <w:bCs/>
          <w:sz w:val="19"/>
          <w:szCs w:val="19"/>
        </w:rPr>
        <w:t xml:space="preserve">Cloud: </w:t>
      </w:r>
      <w:r>
        <w:rPr>
          <w:color w:val="374151"/>
          <w:sz w:val="19"/>
          <w:szCs w:val="19"/>
        </w:rPr>
        <w:t xml:space="preserve">Entra ID</w:t>
      </w:r>
    </w:p>
    <w:p>
      <w:pPr>
        <w:spacing w:after="40"/>
        <w:ind w:left="120"/>
      </w:pPr>
      <w:r>
        <w:rPr>
          <w:b/>
          <w:bCs/>
          <w:sz w:val="19"/>
          <w:szCs w:val="19"/>
        </w:rPr>
        <w:t xml:space="preserve">Severidade: </w:t>
      </w:r>
      <w:r>
        <w:rPr>
          <w:color w:val="B45309"/>
          <w:sz w:val="19"/>
          <w:szCs w:val="19"/>
        </w:rPr>
        <w:t xml:space="preserve">Média</w:t>
      </w:r>
    </w:p>
    <w:p>
      <w:pPr>
        <w:spacing w:after="40"/>
        <w:ind w:left="120"/>
      </w:pPr>
      <w:r>
        <w:rPr>
          <w:b/>
          <w:bCs/>
          <w:sz w:val="19"/>
          <w:szCs w:val="19"/>
        </w:rPr>
        <w:t xml:space="preserve">Tipo: </w:t>
      </w:r>
      <w:r>
        <w:rPr>
          <w:color w:val="374151"/>
          <w:sz w:val="19"/>
          <w:szCs w:val="19"/>
        </w:rPr>
        <w:t xml:space="preserve">Melhoria estrutural</w:t>
      </w:r>
    </w:p>
    <w:p>
      <w:pPr>
        <w:spacing w:after="40"/>
        <w:ind w:left="120"/>
      </w:pPr>
      <w:r>
        <w:rPr>
          <w:b/>
          <w:bCs/>
          <w:sz w:val="19"/>
          <w:szCs w:val="19"/>
        </w:rPr>
        <w:t xml:space="preserve">Problema: </w:t>
      </w:r>
      <w:r>
        <w:rPr>
          <w:sz w:val="19"/>
          <w:szCs w:val="19"/>
        </w:rPr>
        <w:t xml:space="preserve">O site cobre Directory Roles (144) e API Permissions/AppRoles do Microsoft Graph (692), mas não trata do conceito de App Roles definidos por desenvolvedores em suas próprias app registrations (roles customizados de uma aplicação multi-tenant, usados em token de acesso/`roles` claim) — um terceiro tipo de permissão frequentemente confundido com os outros dois por profissionais de IAM.</w:t>
      </w:r>
    </w:p>
    <w:p>
      <w:pPr>
        <w:spacing w:after="40"/>
        <w:ind w:left="120"/>
      </w:pPr>
      <w:r>
        <w:rPr>
          <w:b/>
          <w:bCs/>
          <w:sz w:val="19"/>
          <w:szCs w:val="19"/>
        </w:rPr>
        <w:t xml:space="preserve">Evidência: </w:t>
      </w:r>
      <w:r>
        <w:rPr>
          <w:i/>
          <w:iCs/>
          <w:sz w:val="19"/>
          <w:szCs w:val="19"/>
        </w:rPr>
        <w:t xml:space="preserve">Ausência de qualquer página, tipo ou dataset que trate appRoles de aplicações registradas pelo tenant (distintos de Directory Roles e de Graph API permissions).</w:t>
      </w:r>
    </w:p>
    <w:p>
      <w:pPr>
        <w:spacing w:after="40"/>
        <w:ind w:left="120"/>
      </w:pPr>
      <w:r>
        <w:rPr>
          <w:b/>
          <w:bCs/>
          <w:sz w:val="19"/>
          <w:szCs w:val="19"/>
        </w:rPr>
        <w:t xml:space="preserve">Ação recomendada: </w:t>
      </w:r>
      <w:r>
        <w:rPr>
          <w:sz w:val="19"/>
          <w:szCs w:val="19"/>
        </w:rPr>
        <w:t xml:space="preserve">Adicionar uma nota explicativa/glossário diferenciando os três conceitos (Directory Roles, Microsoft Graph App Roles/Delegated Permissions, e App Roles customizados de app registrations); avaliar página dedicada se houver demanda.</w:t>
      </w:r>
    </w:p>
    <w:p>
      <w:pPr>
        <w:spacing w:after="220"/>
        <w:ind w:left="120"/>
      </w:pPr>
      <w:r>
        <w:rPr>
          <w:b/>
          <w:bCs/>
          <w:sz w:val="19"/>
          <w:szCs w:val="19"/>
        </w:rPr>
        <w:t xml:space="preserve">Esforço estimado: </w:t>
      </w:r>
      <w:r>
        <w:rPr>
          <w:sz w:val="19"/>
          <w:szCs w:val="19"/>
        </w:rPr>
        <w:t xml:space="preserve">Médio (1-4h)</w:t>
      </w:r>
    </w:p>
    <w:p>
      <w:pPr>
        <w:pBdr>
          <w:left w:val="single" w:color="B45309" w:sz="24" w:space="8"/>
        </w:pBdr>
        <w:spacing w:after="80" w:before="280"/>
        <w:ind w:left="120"/>
      </w:pPr>
      <w:r>
        <w:rPr>
          <w:b/>
          <w:bCs/>
          <w:color w:val="0078D4"/>
        </w:rPr>
        <w:t xml:space="preserve">[DIMENSÃO 5] </w:t>
      </w:r>
      <w:r>
        <w:rPr>
          <w:b/>
          <w:bCs/>
        </w:rPr>
        <w:t xml:space="preserve">Entra ID / Resource-Specific Consent → </w:t>
      </w:r>
      <w:r>
        <w:rPr>
          <w:b/>
          <w:bCs/>
        </w:rPr>
        <w:t xml:space="preserve">RSC (Resource-Specific Consent) para Teams/SharePoint ausente</w:t>
      </w:r>
    </w:p>
    <w:p>
      <w:pPr>
        <w:spacing w:after="40"/>
        <w:ind w:left="120"/>
      </w:pPr>
      <w:r>
        <w:rPr>
          <w:b/>
          <w:bCs/>
          <w:sz w:val="19"/>
          <w:szCs w:val="19"/>
        </w:rPr>
        <w:t xml:space="preserve">Cloud: </w:t>
      </w:r>
      <w:r>
        <w:rPr>
          <w:color w:val="374151"/>
          <w:sz w:val="19"/>
          <w:szCs w:val="19"/>
        </w:rPr>
        <w:t xml:space="preserve">Entra ID</w:t>
      </w:r>
    </w:p>
    <w:p>
      <w:pPr>
        <w:spacing w:after="40"/>
        <w:ind w:left="120"/>
      </w:pPr>
      <w:r>
        <w:rPr>
          <w:b/>
          <w:bCs/>
          <w:sz w:val="19"/>
          <w:szCs w:val="19"/>
        </w:rPr>
        <w:t xml:space="preserve">Severidade: </w:t>
      </w:r>
      <w:r>
        <w:rPr>
          <w:color w:val="B45309"/>
          <w:sz w:val="19"/>
          <w:szCs w:val="19"/>
        </w:rPr>
        <w:t xml:space="preserve">Média</w:t>
      </w:r>
    </w:p>
    <w:p>
      <w:pPr>
        <w:spacing w:after="40"/>
        <w:ind w:left="120"/>
      </w:pPr>
      <w:r>
        <w:rPr>
          <w:b/>
          <w:bCs/>
          <w:sz w:val="19"/>
          <w:szCs w:val="19"/>
        </w:rPr>
        <w:t xml:space="preserve">Tipo: </w:t>
      </w:r>
      <w:r>
        <w:rPr>
          <w:color w:val="374151"/>
          <w:sz w:val="19"/>
          <w:szCs w:val="19"/>
        </w:rPr>
        <w:t xml:space="preserve">Dado ausente</w:t>
      </w:r>
    </w:p>
    <w:p>
      <w:pPr>
        <w:spacing w:after="40"/>
        <w:ind w:left="120"/>
      </w:pPr>
      <w:r>
        <w:rPr>
          <w:b/>
          <w:bCs/>
          <w:sz w:val="19"/>
          <w:szCs w:val="19"/>
        </w:rPr>
        <w:t xml:space="preserve">Problema: </w:t>
      </w:r>
      <w:r>
        <w:rPr>
          <w:sz w:val="19"/>
          <w:szCs w:val="19"/>
        </w:rPr>
        <w:t xml:space="preserve">Zero ocorrências de “resource-specific consent” ou “RSC” em todo o código-fonte do projeto. RSC é um modelo de permissão relevante para apps de Teams/SharePoint que concedem acesso por equipe/site individual em vez de tenant inteiro — superfície de risco distinta das permissões Application/Delegated tradicionais.</w:t>
      </w:r>
    </w:p>
    <w:p>
      <w:pPr>
        <w:spacing w:after="40"/>
        <w:ind w:left="120"/>
      </w:pPr>
      <w:r>
        <w:rPr>
          <w:b/>
          <w:bCs/>
          <w:sz w:val="19"/>
          <w:szCs w:val="19"/>
        </w:rPr>
        <w:t xml:space="preserve">Evidência: </w:t>
      </w:r>
      <w:r>
        <w:rPr>
          <w:i/>
          <w:iCs/>
          <w:sz w:val="19"/>
          <w:szCs w:val="19"/>
        </w:rPr>
        <w:t xml:space="preserve">Busca textual por “resource-specific consent” e “RSC” em todo src/.</w:t>
      </w:r>
    </w:p>
    <w:p>
      <w:pPr>
        <w:spacing w:after="40"/>
        <w:ind w:left="120"/>
      </w:pPr>
      <w:r>
        <w:rPr>
          <w:b/>
          <w:bCs/>
          <w:sz w:val="19"/>
          <w:szCs w:val="19"/>
        </w:rPr>
        <w:t xml:space="preserve">Ação recomendada: </w:t>
      </w:r>
      <w:r>
        <w:rPr>
          <w:sz w:val="19"/>
          <w:szCs w:val="19"/>
        </w:rPr>
        <w:t xml:space="preserve">Adicionar seção explicativa sobre RSC dentro da página de API Permissions, com exemplos de permissões RSC do Teams/SharePoint.</w:t>
      </w:r>
    </w:p>
    <w:p>
      <w:pPr>
        <w:spacing w:after="220"/>
        <w:ind w:left="120"/>
      </w:pPr>
      <w:r>
        <w:rPr>
          <w:b/>
          <w:bCs/>
          <w:sz w:val="19"/>
          <w:szCs w:val="19"/>
        </w:rPr>
        <w:t xml:space="preserve">Esforço estimado: </w:t>
      </w:r>
      <w:r>
        <w:rPr>
          <w:sz w:val="19"/>
          <w:szCs w:val="19"/>
        </w:rPr>
        <w:t xml:space="preserve">Médio (1-4h)</w:t>
      </w:r>
    </w:p>
    <w:p>
      <w:pPr>
        <w:pBdr>
          <w:left w:val="single" w:color="B45309" w:sz="24" w:space="8"/>
        </w:pBdr>
        <w:spacing w:after="80" w:before="280"/>
        <w:ind w:left="120"/>
      </w:pPr>
      <w:r>
        <w:rPr>
          <w:b/>
          <w:bCs/>
          <w:color w:val="0078D4"/>
        </w:rPr>
        <w:t xml:space="preserve">[DIMENSÃO 5] </w:t>
      </w:r>
      <w:r>
        <w:rPr>
          <w:b/>
          <w:bCs/>
        </w:rPr>
        <w:t xml:space="preserve">AWS / Modelo de Política → </w:t>
      </w:r>
      <w:r>
        <w:rPr>
          <w:b/>
          <w:bCs/>
        </w:rPr>
        <w:t xml:space="preserve">Resource-based policies não tratadas como categoria distinta</w:t>
      </w:r>
    </w:p>
    <w:p>
      <w:pPr>
        <w:spacing w:after="40"/>
        <w:ind w:left="120"/>
      </w:pPr>
      <w:r>
        <w:rPr>
          <w:b/>
          <w:bCs/>
          <w:sz w:val="19"/>
          <w:szCs w:val="19"/>
        </w:rPr>
        <w:t xml:space="preserve">Cloud: </w:t>
      </w:r>
      <w:r>
        <w:rPr>
          <w:color w:val="374151"/>
          <w:sz w:val="19"/>
          <w:szCs w:val="19"/>
        </w:rPr>
        <w:t xml:space="preserve">AWS</w:t>
      </w:r>
    </w:p>
    <w:p>
      <w:pPr>
        <w:spacing w:after="40"/>
        <w:ind w:left="120"/>
      </w:pPr>
      <w:r>
        <w:rPr>
          <w:b/>
          <w:bCs/>
          <w:sz w:val="19"/>
          <w:szCs w:val="19"/>
        </w:rPr>
        <w:t xml:space="preserve">Severidade: </w:t>
      </w:r>
      <w:r>
        <w:rPr>
          <w:color w:val="B45309"/>
          <w:sz w:val="19"/>
          <w:szCs w:val="19"/>
        </w:rPr>
        <w:t xml:space="preserve">Média</w:t>
      </w:r>
    </w:p>
    <w:p>
      <w:pPr>
        <w:spacing w:after="40"/>
        <w:ind w:left="120"/>
      </w:pPr>
      <w:r>
        <w:rPr>
          <w:b/>
          <w:bCs/>
          <w:sz w:val="19"/>
          <w:szCs w:val="19"/>
        </w:rPr>
        <w:t xml:space="preserve">Tipo: </w:t>
      </w:r>
      <w:r>
        <w:rPr>
          <w:color w:val="374151"/>
          <w:sz w:val="19"/>
          <w:szCs w:val="19"/>
        </w:rPr>
        <w:t xml:space="preserve">Dado ausente</w:t>
      </w:r>
    </w:p>
    <w:p>
      <w:pPr>
        <w:spacing w:after="40"/>
        <w:ind w:left="120"/>
      </w:pPr>
      <w:r>
        <w:rPr>
          <w:b/>
          <w:bCs/>
          <w:sz w:val="19"/>
          <w:szCs w:val="19"/>
        </w:rPr>
        <w:t xml:space="preserve">Problema: </w:t>
      </w:r>
      <w:r>
        <w:rPr>
          <w:sz w:val="19"/>
          <w:szCs w:val="19"/>
        </w:rPr>
        <w:t xml:space="preserve">O catálogo de 497 entradas é inteiramente de identity-based policies (managed policies, service-roles, permission-sets). Resource-based policies (bucket policies do S3, key policies do KMS, trust policies de roles) — que têm semântica de avaliação diferente (podem conceder acesso cross-account sem uma identity policy correspondente) — não aparecem como categoria.</w:t>
      </w:r>
    </w:p>
    <w:p>
      <w:pPr>
        <w:spacing w:after="40"/>
        <w:ind w:left="120"/>
      </w:pPr>
      <w:r>
        <w:rPr>
          <w:b/>
          <w:bCs/>
          <w:sz w:val="19"/>
          <w:szCs w:val="19"/>
        </w:rPr>
        <w:t xml:space="preserve">Evidência: </w:t>
      </w:r>
      <w:r>
        <w:rPr>
          <w:i/>
          <w:iCs/>
          <w:sz w:val="19"/>
          <w:szCs w:val="19"/>
        </w:rPr>
        <w:t xml:space="preserve">Inspeção do type `AwsPolicyType = 'managed' | 'service-role' | 'permission-set'` em src/data/aws.ts — não há variante resource-based.</w:t>
      </w:r>
    </w:p>
    <w:p>
      <w:pPr>
        <w:spacing w:after="40"/>
        <w:ind w:left="120"/>
      </w:pPr>
      <w:r>
        <w:rPr>
          <w:b/>
          <w:bCs/>
          <w:sz w:val="19"/>
          <w:szCs w:val="19"/>
        </w:rPr>
        <w:t xml:space="preserve">Ação recomendada: </w:t>
      </w:r>
      <w:r>
        <w:rPr>
          <w:sz w:val="19"/>
          <w:szCs w:val="19"/>
        </w:rPr>
        <w:t xml:space="preserve">Adicionar seção/categoria para exemplos de resource-based policies mais comuns (S3 bucket policy, KMS key policy, IAM role trust policy, SQS/SNS resource policy), com ênfase didática na diferença de avaliação frente a identity-based policies.</w:t>
      </w:r>
    </w:p>
    <w:p>
      <w:pPr>
        <w:spacing w:after="220"/>
        <w:ind w:left="120"/>
      </w:pPr>
      <w:r>
        <w:rPr>
          <w:b/>
          <w:bCs/>
          <w:sz w:val="19"/>
          <w:szCs w:val="19"/>
        </w:rPr>
        <w:t xml:space="preserve">Esforço estimado: </w:t>
      </w:r>
      <w:r>
        <w:rPr>
          <w:sz w:val="19"/>
          <w:szCs w:val="19"/>
        </w:rPr>
        <w:t xml:space="preserve">Alto (&gt; 4h)</w:t>
      </w:r>
    </w:p>
    <w:p>
      <w:pPr>
        <w:pBdr>
          <w:left w:val="single" w:color="15803D" w:sz="24" w:space="8"/>
        </w:pBdr>
        <w:spacing w:after="80" w:before="280"/>
        <w:ind w:left="120"/>
      </w:pPr>
      <w:r>
        <w:rPr>
          <w:b/>
          <w:bCs/>
          <w:color w:val="0078D4"/>
        </w:rPr>
        <w:t xml:space="preserve">[DIMENSÃO 5] </w:t>
      </w:r>
      <w:r>
        <w:rPr>
          <w:b/>
          <w:bCs/>
        </w:rPr>
        <w:t xml:space="preserve">GCP / Modelo Principal vs Resource → </w:t>
      </w:r>
      <w:r>
        <w:rPr>
          <w:b/>
          <w:bCs/>
        </w:rPr>
        <w:t xml:space="preserve">Distinção Principal vs Resource IAM pouco aprofundada</w:t>
      </w:r>
    </w:p>
    <w:p>
      <w:pPr>
        <w:spacing w:after="40"/>
        <w:ind w:left="120"/>
      </w:pPr>
      <w:r>
        <w:rPr>
          <w:b/>
          <w:bCs/>
          <w:sz w:val="19"/>
          <w:szCs w:val="19"/>
        </w:rPr>
        <w:t xml:space="preserve">Cloud: </w:t>
      </w:r>
      <w:r>
        <w:rPr>
          <w:color w:val="374151"/>
          <w:sz w:val="19"/>
          <w:szCs w:val="19"/>
        </w:rPr>
        <w:t xml:space="preserve">GCP</w:t>
      </w:r>
    </w:p>
    <w:p>
      <w:pPr>
        <w:spacing w:after="40"/>
        <w:ind w:left="120"/>
      </w:pPr>
      <w:r>
        <w:rPr>
          <w:b/>
          <w:bCs/>
          <w:sz w:val="19"/>
          <w:szCs w:val="19"/>
        </w:rPr>
        <w:t xml:space="preserve">Severidade: </w:t>
      </w:r>
      <w:r>
        <w:rPr>
          <w:color w:val="15803D"/>
          <w:sz w:val="19"/>
          <w:szCs w:val="19"/>
        </w:rPr>
        <w:t xml:space="preserve">Baixa</w:t>
      </w:r>
    </w:p>
    <w:p>
      <w:pPr>
        <w:spacing w:after="40"/>
        <w:ind w:left="120"/>
      </w:pPr>
      <w:r>
        <w:rPr>
          <w:b/>
          <w:bCs/>
          <w:sz w:val="19"/>
          <w:szCs w:val="19"/>
        </w:rPr>
        <w:t xml:space="preserve">Tipo: </w:t>
      </w:r>
      <w:r>
        <w:rPr>
          <w:color w:val="374151"/>
          <w:sz w:val="19"/>
          <w:szCs w:val="19"/>
        </w:rPr>
        <w:t xml:space="preserve">Melhoria estrutural</w:t>
      </w:r>
    </w:p>
    <w:p>
      <w:pPr>
        <w:spacing w:after="40"/>
        <w:ind w:left="120"/>
      </w:pPr>
      <w:r>
        <w:rPr>
          <w:b/>
          <w:bCs/>
          <w:sz w:val="19"/>
          <w:szCs w:val="19"/>
        </w:rPr>
        <w:t xml:space="preserve">Problema: </w:t>
      </w:r>
      <w:r>
        <w:rPr>
          <w:sz w:val="19"/>
          <w:szCs w:val="19"/>
        </w:rPr>
        <w:t xml:space="preserve">src/data/gcp.ts cobre bem os predefined roles e a página gcp/reference já menciona Workload Identity/Managed Identity, mas não há uma explicação dedicada de como bindings de IAM (Principal) interagem com a hierarquia de recursos (Organization → Folder → Project → Resource) e herança de políticas — tema estrutural do modelo de autorização do GCP.</w:t>
      </w:r>
    </w:p>
    <w:p>
      <w:pPr>
        <w:spacing w:after="40"/>
        <w:ind w:left="120"/>
      </w:pPr>
      <w:r>
        <w:rPr>
          <w:b/>
          <w:bCs/>
          <w:sz w:val="19"/>
          <w:szCs w:val="19"/>
        </w:rPr>
        <w:t xml:space="preserve">Evidência: </w:t>
      </w:r>
      <w:r>
        <w:rPr>
          <w:i/>
          <w:iCs/>
          <w:sz w:val="19"/>
          <w:szCs w:val="19"/>
        </w:rPr>
        <w:t xml:space="preserve">Revisão de src/app/gcp/reference/page.tsx e src/data/gcp.ts.</w:t>
      </w:r>
    </w:p>
    <w:p>
      <w:pPr>
        <w:spacing w:after="40"/>
        <w:ind w:left="120"/>
      </w:pPr>
      <w:r>
        <w:rPr>
          <w:b/>
          <w:bCs/>
          <w:sz w:val="19"/>
          <w:szCs w:val="19"/>
        </w:rPr>
        <w:t xml:space="preserve">Ação recomendada: </w:t>
      </w:r>
      <w:r>
        <w:rPr>
          <w:sz w:val="19"/>
          <w:szCs w:val="19"/>
        </w:rPr>
        <w:t xml:space="preserve">Expandir a página de referência do GCP com um diagrama/seção sobre herança de políticas IAM na hierarquia de recursos e a interação Principal × Resource × Role.</w:t>
      </w:r>
    </w:p>
    <w:p>
      <w:pPr>
        <w:spacing w:after="220"/>
        <w:ind w:left="120"/>
      </w:pPr>
      <w:r>
        <w:rPr>
          <w:b/>
          <w:bCs/>
          <w:sz w:val="19"/>
          <w:szCs w:val="19"/>
        </w:rPr>
        <w:t xml:space="preserve">Esforço estimado: </w:t>
      </w:r>
      <w:r>
        <w:rPr>
          <w:sz w:val="19"/>
          <w:szCs w:val="19"/>
        </w:rPr>
        <w:t xml:space="preserve">Médio (1-4h)</w:t>
      </w:r>
    </w:p>
    <w:p>
      <w:pPr>
        <w:spacing w:after="160" w:line="276"/>
      </w:pPr>
      <w:r>
        <w:t xml:space="preserve">Nota: a distinção Delegated vs Application permissions (item explicitamente citado pelo usuário) é o achado mais crítico desta dimensão e já está detalhado na Dimensão 1 (0 de 692 permissões são Delegated). Cross-tenant access policies e Workload Identity Federation já possuem alguma cobertura — ações de directory role para crossTenantAccessPolicy estão presentes em roles.ts, e Workload Identity/Managed Identity aparecem na referência do GCP e em nomes de roles do Azure RBAC — mas sem uma página conceitual dedicada explicando o modelo de confiança.</w:t>
      </w:r>
    </w:p>
    <w:p>
      <w:pPr>
        <w:pStyle w:val="Heading1"/>
        <w:pageBreakBefore/>
      </w:pPr>
      <w:r>
        <w:t xml:space="preserve">Entregável 1 — Scorecard por Cloud</w:t>
      </w:r>
    </w:p>
    <w:p>
      <w:pPr>
        <w:spacing w:after="160" w:line="276"/>
      </w:pPr>
      <w:r>
        <w:t xml:space="preserve">Percentuais estimados a partir da metodologia descrita; não substituem uma auditoria linha-a-linha de todas as ~2.811 entidades catalogadas, mas refletem amostragem dirigida e verificação cruzada com fontes oficiais citadas ao longo do relatório.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3580"/>
      </w:tblGrid>
      <w:tr>
        <w:trPr>
          <w:tblHeader/>
        </w:trPr>
        <w:tc>
          <w:tcPr>
            <w:tcW w:type="dxa" w:w="200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left"/>
            </w:pPr>
            <w:r>
              <w:rPr>
                <w:b/>
                <w:bCs/>
                <w:color w:val="FFFFFF"/>
                <w:sz w:val="19"/>
                <w:szCs w:val="19"/>
              </w:rPr>
              <w:t xml:space="preserve">Cloud</w:t>
            </w:r>
          </w:p>
        </w:tc>
        <w:tc>
          <w:tcPr>
            <w:tcW w:type="dxa" w:w="150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center"/>
            </w:pPr>
            <w:r>
              <w:rPr>
                <w:b/>
                <w:bCs/>
                <w:color w:val="FFFFFF"/>
                <w:sz w:val="19"/>
                <w:szCs w:val="19"/>
              </w:rPr>
              <w:t xml:space="preserve">Completude</w:t>
            </w:r>
          </w:p>
        </w:tc>
        <w:tc>
          <w:tcPr>
            <w:tcW w:type="dxa" w:w="150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center"/>
            </w:pPr>
            <w:r>
              <w:rPr>
                <w:b/>
                <w:bCs/>
                <w:color w:val="FFFFFF"/>
                <w:sz w:val="19"/>
                <w:szCs w:val="19"/>
              </w:rPr>
              <w:t xml:space="preserve">Precisão</w:t>
            </w:r>
          </w:p>
        </w:tc>
        <w:tc>
          <w:tcPr>
            <w:tcW w:type="dxa" w:w="150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center"/>
            </w:pPr>
            <w:r>
              <w:rPr>
                <w:b/>
                <w:bCs/>
                <w:color w:val="FFFFFF"/>
                <w:sz w:val="19"/>
                <w:szCs w:val="19"/>
              </w:rPr>
              <w:t xml:space="preserve">Estrutura</w:t>
            </w:r>
          </w:p>
        </w:tc>
        <w:tc>
          <w:tcPr>
            <w:tcW w:type="dxa" w:w="358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left"/>
            </w:pPr>
            <w:r>
              <w:rPr>
                <w:b/>
                <w:bCs/>
                <w:color w:val="FFFFFF"/>
                <w:sz w:val="19"/>
                <w:szCs w:val="19"/>
              </w:rPr>
              <w:t xml:space="preserve">Observação</w:t>
            </w:r>
          </w:p>
        </w:tc>
      </w:tr>
      <w:tr>
        <w:tc>
          <w:tcPr>
            <w:tcW w:type="dxa" w:w="20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bCs/>
                <w:sz w:val="19"/>
                <w:szCs w:val="19"/>
              </w:rPr>
              <w:t xml:space="preserve">Entra ID — Roles</w:t>
            </w:r>
          </w:p>
        </w:tc>
        <w:tc>
          <w:tcPr>
            <w:tcW w:type="dxa" w:w="15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center"/>
            </w:pPr>
            <w:r>
              <w:rPr>
                <w:b w:val="false"/>
                <w:bCs w:val="false"/>
                <w:sz w:val="19"/>
                <w:szCs w:val="19"/>
              </w:rPr>
              <w:t xml:space="preserve">95%</w:t>
            </w:r>
          </w:p>
        </w:tc>
        <w:tc>
          <w:tcPr>
            <w:tcW w:type="dxa" w:w="15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center"/>
            </w:pPr>
            <w:r>
              <w:rPr>
                <w:b w:val="false"/>
                <w:bCs w:val="false"/>
                <w:sz w:val="19"/>
                <w:szCs w:val="19"/>
              </w:rPr>
              <w:t xml:space="preserve">98%</w:t>
            </w:r>
          </w:p>
        </w:tc>
        <w:tc>
          <w:tcPr>
            <w:tcW w:type="dxa" w:w="15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center"/>
            </w:pPr>
            <w:r>
              <w:rPr>
                <w:b w:val="false"/>
                <w:bCs w:val="false"/>
                <w:sz w:val="19"/>
                <w:szCs w:val="19"/>
              </w:rPr>
              <w:t xml:space="preserve">75%</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Catálogo de directory roles muito sólido; falta PIM/AUs/Custom Roles</w:t>
            </w:r>
          </w:p>
        </w:tc>
      </w:tr>
      <w:tr>
        <w:tc>
          <w:tcPr>
            <w:tcW w:type="dxa" w:w="20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bCs/>
                <w:sz w:val="19"/>
                <w:szCs w:val="19"/>
              </w:rPr>
              <w:t xml:space="preserve">Entra ID — API Perms</w:t>
            </w:r>
          </w:p>
        </w:tc>
        <w:tc>
          <w:tcPr>
            <w:tcW w:type="dxa" w:w="15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center"/>
            </w:pPr>
            <w:r>
              <w:rPr>
                <w:b w:val="false"/>
                <w:bCs w:val="false"/>
                <w:sz w:val="19"/>
                <w:szCs w:val="19"/>
              </w:rPr>
              <w:t xml:space="preserve">55%</w:t>
            </w:r>
          </w:p>
        </w:tc>
        <w:tc>
          <w:tcPr>
            <w:tcW w:type="dxa" w:w="15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center"/>
            </w:pPr>
            <w:r>
              <w:rPr>
                <w:b w:val="false"/>
                <w:bCs w:val="false"/>
                <w:sz w:val="19"/>
                <w:szCs w:val="19"/>
              </w:rPr>
              <w:t xml:space="preserve">92%</w:t>
            </w:r>
          </w:p>
        </w:tc>
        <w:tc>
          <w:tcPr>
            <w:tcW w:type="dxa" w:w="15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center"/>
            </w:pPr>
            <w:r>
              <w:rPr>
                <w:b w:val="false"/>
                <w:bCs w:val="false"/>
                <w:sz w:val="19"/>
                <w:szCs w:val="19"/>
              </w:rPr>
              <w:t xml:space="preserve">70%</w:t>
            </w:r>
          </w:p>
        </w:tc>
        <w:tc>
          <w:tcPr>
            <w:tcW w:type="dxa" w:w="35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0% de permissões Delegated; só Application/Microsoft Graph</w:t>
            </w:r>
          </w:p>
        </w:tc>
      </w:tr>
      <w:tr>
        <w:tc>
          <w:tcPr>
            <w:tcW w:type="dxa" w:w="20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bCs/>
                <w:sz w:val="19"/>
                <w:szCs w:val="19"/>
              </w:rPr>
              <w:t xml:space="preserve">Azure RBAC</w:t>
            </w:r>
          </w:p>
        </w:tc>
        <w:tc>
          <w:tcPr>
            <w:tcW w:type="dxa" w:w="15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center"/>
            </w:pPr>
            <w:r>
              <w:rPr>
                <w:b w:val="false"/>
                <w:bCs w:val="false"/>
                <w:sz w:val="19"/>
                <w:szCs w:val="19"/>
              </w:rPr>
              <w:t xml:space="preserve">90%</w:t>
            </w:r>
          </w:p>
        </w:tc>
        <w:tc>
          <w:tcPr>
            <w:tcW w:type="dxa" w:w="15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center"/>
            </w:pPr>
            <w:r>
              <w:rPr>
                <w:b w:val="false"/>
                <w:bCs w:val="false"/>
                <w:sz w:val="19"/>
                <w:szCs w:val="19"/>
              </w:rPr>
              <w:t xml:space="preserve">90%</w:t>
            </w:r>
          </w:p>
        </w:tc>
        <w:tc>
          <w:tcPr>
            <w:tcW w:type="dxa" w:w="15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center"/>
            </w:pPr>
            <w:r>
              <w:rPr>
                <w:b w:val="false"/>
                <w:bCs w:val="false"/>
                <w:sz w:val="19"/>
                <w:szCs w:val="19"/>
              </w:rPr>
              <w:t xml:space="preserve">55%</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923 roles, fonte ao vivo; faltam Custom Roles, Deny Assignments, ABAC</w:t>
            </w:r>
          </w:p>
        </w:tc>
      </w:tr>
      <w:tr>
        <w:tc>
          <w:tcPr>
            <w:tcW w:type="dxa" w:w="20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bCs/>
                <w:sz w:val="19"/>
                <w:szCs w:val="19"/>
              </w:rPr>
              <w:t xml:space="preserve">AWS IAM</w:t>
            </w:r>
          </w:p>
        </w:tc>
        <w:tc>
          <w:tcPr>
            <w:tcW w:type="dxa" w:w="15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center"/>
            </w:pPr>
            <w:r>
              <w:rPr>
                <w:b w:val="false"/>
                <w:bCs w:val="false"/>
                <w:sz w:val="19"/>
                <w:szCs w:val="19"/>
              </w:rPr>
              <w:t xml:space="preserve">75%</w:t>
            </w:r>
          </w:p>
        </w:tc>
        <w:tc>
          <w:tcPr>
            <w:tcW w:type="dxa" w:w="15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center"/>
            </w:pPr>
            <w:r>
              <w:rPr>
                <w:b w:val="false"/>
                <w:bCs w:val="false"/>
                <w:sz w:val="19"/>
                <w:szCs w:val="19"/>
              </w:rPr>
              <w:t xml:space="preserve">90%</w:t>
            </w:r>
          </w:p>
        </w:tc>
        <w:tc>
          <w:tcPr>
            <w:tcW w:type="dxa" w:w="15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center"/>
            </w:pPr>
            <w:r>
              <w:rPr>
                <w:b w:val="false"/>
                <w:bCs w:val="false"/>
                <w:sz w:val="19"/>
                <w:szCs w:val="19"/>
              </w:rPr>
              <w:t xml:space="preserve">55%</w:t>
            </w:r>
          </w:p>
        </w:tc>
        <w:tc>
          <w:tcPr>
            <w:tcW w:type="dxa" w:w="35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497 policies sólidas; Permission Boundaries ausente do modelo</w:t>
            </w:r>
          </w:p>
        </w:tc>
      </w:tr>
      <w:tr>
        <w:tc>
          <w:tcPr>
            <w:tcW w:type="dxa" w:w="20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bCs/>
                <w:sz w:val="19"/>
                <w:szCs w:val="19"/>
              </w:rPr>
              <w:t xml:space="preserve">GCP IAM</w:t>
            </w:r>
          </w:p>
        </w:tc>
        <w:tc>
          <w:tcPr>
            <w:tcW w:type="dxa" w:w="15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center"/>
            </w:pPr>
            <w:r>
              <w:rPr>
                <w:b w:val="false"/>
                <w:bCs w:val="false"/>
                <w:sz w:val="19"/>
                <w:szCs w:val="19"/>
              </w:rPr>
              <w:t xml:space="preserve">80%</w:t>
            </w:r>
          </w:p>
        </w:tc>
        <w:tc>
          <w:tcPr>
            <w:tcW w:type="dxa" w:w="15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center"/>
            </w:pPr>
            <w:r>
              <w:rPr>
                <w:b w:val="false"/>
                <w:bCs w:val="false"/>
                <w:sz w:val="19"/>
                <w:szCs w:val="19"/>
              </w:rPr>
              <w:t xml:space="preserve">85%</w:t>
            </w:r>
          </w:p>
        </w:tc>
        <w:tc>
          <w:tcPr>
            <w:tcW w:type="dxa" w:w="15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center"/>
            </w:pPr>
            <w:r>
              <w:rPr>
                <w:b w:val="false"/>
                <w:bCs w:val="false"/>
                <w:sz w:val="19"/>
                <w:szCs w:val="19"/>
              </w:rPr>
              <w:t xml:space="preserve">60%</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232 roles cobrindo IAM/Security/ResourceManager; falta Custom Roles</w:t>
            </w:r>
          </w:p>
        </w:tc>
      </w:tr>
      <w:tr>
        <w:tc>
          <w:tcPr>
            <w:tcW w:type="dxa" w:w="20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bCs/>
                <w:sz w:val="19"/>
                <w:szCs w:val="19"/>
              </w:rPr>
              <w:t xml:space="preserve">Google Workspace</w:t>
            </w:r>
          </w:p>
        </w:tc>
        <w:tc>
          <w:tcPr>
            <w:tcW w:type="dxa" w:w="15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center"/>
            </w:pPr>
            <w:r>
              <w:rPr>
                <w:b w:val="false"/>
                <w:bCs w:val="false"/>
                <w:sz w:val="19"/>
                <w:szCs w:val="19"/>
              </w:rPr>
              <w:t xml:space="preserve">90%</w:t>
            </w:r>
          </w:p>
        </w:tc>
        <w:tc>
          <w:tcPr>
            <w:tcW w:type="dxa" w:w="15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center"/>
            </w:pPr>
            <w:r>
              <w:rPr>
                <w:b w:val="false"/>
                <w:bCs w:val="false"/>
                <w:sz w:val="19"/>
                <w:szCs w:val="19"/>
              </w:rPr>
              <w:t xml:space="preserve">85%</w:t>
            </w:r>
          </w:p>
        </w:tc>
        <w:tc>
          <w:tcPr>
            <w:tcW w:type="dxa" w:w="15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center"/>
            </w:pPr>
            <w:r>
              <w:rPr>
                <w:b w:val="false"/>
                <w:bCs w:val="false"/>
                <w:sz w:val="19"/>
                <w:szCs w:val="19"/>
              </w:rPr>
              <w:t xml:space="preserve">70%</w:t>
            </w:r>
          </w:p>
        </w:tc>
        <w:tc>
          <w:tcPr>
            <w:tcW w:type="dxa" w:w="35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40 admin roles, todos os papéis-chave presentes</w:t>
            </w:r>
          </w:p>
        </w:tc>
      </w:tr>
      <w:tr>
        <w:tc>
          <w:tcPr>
            <w:tcW w:type="dxa" w:w="20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bCs/>
                <w:sz w:val="19"/>
                <w:szCs w:val="19"/>
              </w:rPr>
              <w:t xml:space="preserve">OCI IAM</w:t>
            </w:r>
          </w:p>
        </w:tc>
        <w:tc>
          <w:tcPr>
            <w:tcW w:type="dxa" w:w="15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center"/>
            </w:pPr>
            <w:r>
              <w:rPr>
                <w:b w:val="false"/>
                <w:bCs w:val="false"/>
                <w:sz w:val="19"/>
                <w:szCs w:val="19"/>
              </w:rPr>
              <w:t xml:space="preserve">65%</w:t>
            </w:r>
          </w:p>
        </w:tc>
        <w:tc>
          <w:tcPr>
            <w:tcW w:type="dxa" w:w="15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center"/>
            </w:pPr>
            <w:r>
              <w:rPr>
                <w:b w:val="false"/>
                <w:bCs w:val="false"/>
                <w:sz w:val="19"/>
                <w:szCs w:val="19"/>
              </w:rPr>
              <w:t xml:space="preserve">75%</w:t>
            </w:r>
          </w:p>
        </w:tc>
        <w:tc>
          <w:tcPr>
            <w:tcW w:type="dxa" w:w="15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center"/>
            </w:pPr>
            <w:r>
              <w:rPr>
                <w:b w:val="false"/>
                <w:bCs w:val="false"/>
                <w:sz w:val="19"/>
                <w:szCs w:val="19"/>
              </w:rPr>
              <w:t xml:space="preserve">50%</w:t>
            </w:r>
          </w:p>
        </w:tc>
        <w:tc>
          <w:tcPr>
            <w:tcW w:type="dxa" w:w="35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sz w:val="19"/>
                <w:szCs w:val="19"/>
              </w:rPr>
              <w:t xml:space="preserve">Catálogo sintético de “policy patterns”, bem rotulado; cobertura mais rasa</w:t>
            </w:r>
          </w:p>
        </w:tc>
      </w:tr>
      <w:tr>
        <w:tc>
          <w:tcPr>
            <w:tcW w:type="dxa" w:w="20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bCs/>
                <w:sz w:val="19"/>
                <w:szCs w:val="19"/>
              </w:rPr>
              <w:t xml:space="preserve">IBM Cloud IAM</w:t>
            </w:r>
          </w:p>
        </w:tc>
        <w:tc>
          <w:tcPr>
            <w:tcW w:type="dxa" w:w="15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center"/>
            </w:pPr>
            <w:r>
              <w:rPr>
                <w:b w:val="false"/>
                <w:bCs w:val="false"/>
                <w:sz w:val="19"/>
                <w:szCs w:val="19"/>
              </w:rPr>
              <w:t xml:space="preserve">60%</w:t>
            </w:r>
          </w:p>
        </w:tc>
        <w:tc>
          <w:tcPr>
            <w:tcW w:type="dxa" w:w="15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center"/>
            </w:pPr>
            <w:r>
              <w:rPr>
                <w:b w:val="false"/>
                <w:bCs w:val="false"/>
                <w:sz w:val="19"/>
                <w:szCs w:val="19"/>
              </w:rPr>
              <w:t xml:space="preserve">80%</w:t>
            </w:r>
          </w:p>
        </w:tc>
        <w:tc>
          <w:tcPr>
            <w:tcW w:type="dxa" w:w="150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center"/>
            </w:pPr>
            <w:r>
              <w:rPr>
                <w:b w:val="false"/>
                <w:bCs w:val="false"/>
                <w:sz w:val="19"/>
                <w:szCs w:val="19"/>
              </w:rPr>
              <w:t xml:space="preserve">55%</w:t>
            </w:r>
          </w:p>
        </w:tc>
        <w:tc>
          <w:tcPr>
            <w:tcW w:type="dxa" w:w="3580"/>
            <w:tcBorders>
              <w:top w:val="single" w:color="D1D5DB" w:sz="2"/>
              <w:left w:val="single" w:color="D1D5DB" w:sz="2"/>
              <w:bottom w:val="single" w:color="D1D5DB" w:sz="2"/>
              <w:right w:val="single" w:color="D1D5DB" w:sz="2"/>
            </w:tcBorders>
            <w:shd w:fill="F9FAFB" w:val="clear"/>
            <w:tcMar>
              <w:top w:type="dxa" w:w="80"/>
              <w:left w:type="dxa" w:w="120"/>
              <w:bottom w:type="dxa" w:w="80"/>
              <w:right w:type="dxa" w:w="120"/>
            </w:tcMar>
            <w:vAlign w:val="center"/>
          </w:tcPr>
          <w:p>
            <w:pPr>
              <w:jc w:val="left"/>
            </w:pPr>
            <w:r>
              <w:rPr>
                <w:b w:val="false"/>
                <w:bCs w:val="false"/>
                <w:sz w:val="19"/>
                <w:szCs w:val="19"/>
              </w:rPr>
              <w:t xml:space="preserve">Access Groups e Trusted Profiles não são entidades de 1ª classe</w:t>
            </w:r>
          </w:p>
        </w:tc>
      </w:tr>
    </w:tbl>
    <w:p>
      <w:pPr>
        <w:pStyle w:val="Heading1"/>
        <w:pageBreakBefore/>
      </w:pPr>
      <w:r>
        <w:t xml:space="preserve">Entregável 2 — Top 10 Ações Prioritárias</w:t>
      </w:r>
    </w:p>
    <w:p>
      <w:pPr>
        <w:spacing w:after="160" w:line="276"/>
      </w:pPr>
      <w:r>
        <w:t xml:space="preserve">Ordenadas por impacto esperado para o usuário final (profissionais de Cloud IAM e segurança), combinando severidade, esforço e visibilidade do problema.</w:t>
      </w:r>
    </w:p>
    <w:p>
      <w:pPr>
        <w:pStyle w:val="ListParagraph"/>
        <w:numPr>
          <w:ilvl w:val="0"/>
          <w:numId w:val="3"/>
        </w:numPr>
        <w:spacing w:after="140" w:line="276"/>
      </w:pPr>
      <w:r>
        <w:t xml:space="preserve">Corrigir o nome da role “Azure AD Joined Device Local Administrator” → “Microsoft Entra Joined Device Local Administrator” (mesmo ID) — único resíduo do nome pré-rebranding no catálogo.</w:t>
      </w:r>
    </w:p>
    <w:p>
      <w:pPr>
        <w:pStyle w:val="ListParagraph"/>
        <w:numPr>
          <w:ilvl w:val="0"/>
          <w:numId w:val="3"/>
        </w:numPr>
        <w:spacing w:after="140" w:line="276"/>
      </w:pPr>
      <w:r>
        <w:t xml:space="preserve">Adicionar cobertura de permissões Delegated ao catálogo de API Permissions do Entra ID — maior gap de completude identificado no site (692 de 692 entradas são Application).</w:t>
      </w:r>
    </w:p>
    <w:p>
      <w:pPr>
        <w:pStyle w:val="ListParagraph"/>
        <w:numPr>
          <w:ilvl w:val="0"/>
          <w:numId w:val="3"/>
        </w:numPr>
        <w:spacing w:after="140" w:line="276"/>
      </w:pPr>
      <w:r>
        <w:t xml:space="preserve">Criar página de Access Groups e Trusted Profiles para IBM Cloud — primitivos centrais hoje ausentes do catálogo.</w:t>
      </w:r>
    </w:p>
    <w:p>
      <w:pPr>
        <w:pStyle w:val="ListParagraph"/>
        <w:numPr>
          <w:ilvl w:val="0"/>
          <w:numId w:val="3"/>
        </w:numPr>
        <w:spacing w:after="140" w:line="276"/>
      </w:pPr>
      <w:r>
        <w:t xml:space="preserve">Adicionar Permission Boundaries ao modelo de dados e à documentação do AWS IAM.</w:t>
      </w:r>
    </w:p>
    <w:p>
      <w:pPr>
        <w:pStyle w:val="ListParagraph"/>
        <w:numPr>
          <w:ilvl w:val="0"/>
          <w:numId w:val="3"/>
        </w:numPr>
        <w:spacing w:after="140" w:line="276"/>
      </w:pPr>
      <w:r>
        <w:t xml:space="preserve">Criar página dedicada de SCP vs Identity Policies para AWS — hoje reduzida a um único link de referência.</w:t>
      </w:r>
    </w:p>
    <w:p>
      <w:pPr>
        <w:pStyle w:val="ListParagraph"/>
        <w:numPr>
          <w:ilvl w:val="0"/>
          <w:numId w:val="3"/>
        </w:numPr>
        <w:spacing w:after="140" w:line="276"/>
      </w:pPr>
      <w:r>
        <w:t xml:space="preserve">Criar página de comparação de Tiers entre clouds (Entra Tier0 ↔ AWS root/OrganizationAccountAccessRole ↔ GCP Organization Admin ↔ Azure RBAC Owner) — alinhada à proposta de valor central do site como referência multi-cloud.</w:t>
      </w:r>
    </w:p>
    <w:p>
      <w:pPr>
        <w:pStyle w:val="ListParagraph"/>
        <w:numPr>
          <w:ilvl w:val="0"/>
          <w:numId w:val="3"/>
        </w:numPr>
        <w:spacing w:after="140" w:line="276"/>
      </w:pPr>
      <w:r>
        <w:t xml:space="preserve">Criar página de PIM (Privileged Identity Management) — eligible vs active, just-in-time — extensão natural do modelo EAM já implementado.</w:t>
      </w:r>
    </w:p>
    <w:p>
      <w:pPr>
        <w:pStyle w:val="ListParagraph"/>
        <w:numPr>
          <w:ilvl w:val="0"/>
          <w:numId w:val="3"/>
        </w:numPr>
        <w:spacing w:after="140" w:line="276"/>
      </w:pPr>
      <w:r>
        <w:t xml:space="preserve">Corrigir grafia “Customer LockBox Access Approver” → “Customer Lockbox Access Approver”.</w:t>
      </w:r>
    </w:p>
    <w:p>
      <w:pPr>
        <w:pStyle w:val="ListParagraph"/>
        <w:numPr>
          <w:ilvl w:val="0"/>
          <w:numId w:val="3"/>
        </w:numPr>
        <w:spacing w:after="140" w:line="276"/>
      </w:pPr>
      <w:r>
        <w:t xml:space="preserve">Reclassificar as 3 roles `Unclassified` (Device Join, Device Users, Workplace Device Join) para o tier `UserAccess`.</w:t>
      </w:r>
    </w:p>
    <w:p>
      <w:pPr>
        <w:pStyle w:val="ListParagraph"/>
        <w:numPr>
          <w:ilvl w:val="0"/>
          <w:numId w:val="3"/>
        </w:numPr>
        <w:spacing w:after="140" w:line="276"/>
      </w:pPr>
      <w:r>
        <w:t xml:space="preserve">Expor data/versão da última sincronização com EntraOps e com a documentação oficial em cada conjunto de dados, para dar transparência de frescor ao usuário.</w:t>
      </w:r>
    </w:p>
    <w:p>
      <w:pPr>
        <w:pStyle w:val="Heading1"/>
        <w:pageBreakBefore/>
      </w:pPr>
      <w:r>
        <w:t xml:space="preserve">Entregável 3 — Roadmap de Subpáginas</w:t>
      </w:r>
    </w:p>
    <w:p>
      <w:pPr>
        <w:spacing w:after="160" w:line="276"/>
      </w:pPr>
      <w:r>
        <w:t xml:space="preserve">Lista priorizada já apresentada na Dimensão 4. Dependências: a página de “Comparativo de Tiers entre Clouds” pode ser construída inteiramente com dados já existentes no site (eamTier do Entra ID, tier do Azure RBAC/AWS/GCP/OCI/IBM já catalogados) e por isso recomenda-se priorizá-la como ganho rápido de alto impacto antes das páginas que exigem captura de dados novos (Permission Boundaries, Access Groups, Trusted Profiles).</w:t>
      </w:r>
    </w:p>
    <w:p>
      <w:pPr>
        <w:pStyle w:val="Heading1"/>
        <w:pageBreakBefore/>
      </w:pPr>
      <w:r>
        <w:t xml:space="preserve">Entregável 4 — Data Gaps Críticos</w:t>
      </w:r>
    </w:p>
    <w:p>
      <w:pPr>
        <w:spacing w:after="160" w:line="276"/>
      </w:pPr>
      <w:r>
        <w:t xml:space="preserve">Informações que o site não deve publicar como definitivas sem mecanismo de validação contínua, dado o ritmo de mudança das fontes:</w:t>
      </w:r>
    </w:p>
    <w:p>
      <w:pPr>
        <w:pStyle w:val="ListParagraph"/>
        <w:numPr>
          <w:ilvl w:val="0"/>
          <w:numId w:val="2"/>
        </w:numPr>
        <w:spacing w:after="100" w:line="276"/>
      </w:pPr>
      <w:r>
        <w:t xml:space="preserve">Contagens de permissões por role/policy (permissionCount): provedores adicionam actions/resource providers mensalmente; sem um “atualizado em” visível, um número exato passa segurança falsa de que está corrente.</w:t>
      </w:r>
    </w:p>
    <w:p>
      <w:pPr>
        <w:pStyle w:val="ListParagraph"/>
        <w:numPr>
          <w:ilvl w:val="0"/>
          <w:numId w:val="2"/>
        </w:numPr>
        <w:spacing w:after="100" w:line="276"/>
      </w:pPr>
      <w:r>
        <w:t xml:space="preserve">Classificação de Tier/EAM para roles muito recentes: roles lançadas após o último snapshot do EntraOps devem ser marcadas como “classificação ainda não confirmada pela fonte upstream” em vez de herdar silenciosamente um default — sub ou superestimar Tier 0 afeta diretamente decisões de Conditional Access e revisão de acesso.</w:t>
      </w:r>
    </w:p>
    <w:p>
      <w:pPr>
        <w:pStyle w:val="ListParagraph"/>
        <w:numPr>
          <w:ilvl w:val="0"/>
          <w:numId w:val="2"/>
        </w:numPr>
        <w:spacing w:after="100" w:line="276"/>
      </w:pPr>
      <w:r>
        <w:t xml:space="preserve">Versões de managed policies da AWS: a AWS atualiza o conteúdo de policies gerenciadas (novos statements) mantendo o mesmo ARN; o site não deve implicar uma versão específica do documento de policy sem registrar a data de captura.</w:t>
      </w:r>
    </w:p>
    <w:p>
      <w:pPr>
        <w:pStyle w:val="ListParagraph"/>
        <w:numPr>
          <w:ilvl w:val="0"/>
          <w:numId w:val="2"/>
        </w:numPr>
        <w:spacing w:after="100" w:line="276"/>
      </w:pPr>
      <w:r>
        <w:t xml:space="preserve">Catálogo de “policy patterns” da OCI: já está rotulado como padrão ilustrativo (não um catálogo oficial nomeado, pois a OCI não publica um equivalente a managed policies) — manter e reforçar esse aviso para não ser lido como lista oficial.</w:t>
      </w:r>
    </w:p>
    <w:p>
      <w:pPr>
        <w:pStyle w:val="ListParagraph"/>
        <w:numPr>
          <w:ilvl w:val="0"/>
          <w:numId w:val="2"/>
        </w:numPr>
        <w:spacing w:after="100" w:line="276"/>
      </w:pPr>
      <w:r>
        <w:t xml:space="preserve">Permissões de cross-tenant access policy e convergência com Microsoft Entra External ID: área em mudança ativa ao longo de 2026; sinalizar para revalidação periódica em vez de tratar como estável.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Auditoria — Site Multi-Cloud IAM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8D4" w:sz="6" w:space="4"/>
      </w:pBdr>
      <w:spacing w:after="240" w:before="0"/>
      <w:outlineLvl w:val="0"/>
    </w:pPr>
    <w:rPr>
      <w:rFonts w:ascii="Arial" w:cs="Arial" w:eastAsia="Arial" w:hAnsi="Arial"/>
      <w:b/>
      <w:bCs/>
      <w:color w:val="1F2937"/>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xgljmutdbhbq9le45b7y" Type="http://schemas.openxmlformats.org/officeDocument/2006/relationships/hyperlink" Target="https://learn.microsoft.com/en-us/entra/identity/role-based-access-control/permissions-reference" TargetMode="External"/><Relationship Id="rId710v4_9c_eceaalgufgsr" Type="http://schemas.openxmlformats.org/officeDocument/2006/relationships/hyperlink" Target="https://learn.microsoft.com/en-us/entra/identity/role-based-access-control/permissions-referenc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2026-06-30T22:48:31.631Z</dcterms:created>
  <dcterms:modified xsi:type="dcterms:W3CDTF">2026-06-30T22:48:31.631Z</dcterms:modified>
</cp:coreProperties>
</file>

<file path=docProps/custom.xml><?xml version="1.0" encoding="utf-8"?>
<Properties xmlns="http://schemas.openxmlformats.org/officeDocument/2006/custom-properties" xmlns:vt="http://schemas.openxmlformats.org/officeDocument/2006/docPropsVTypes"/>
</file>