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50313BE3" w14:textId="09FFC4DE" w:rsidR="00AD04E4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="00EA148A" w:rsidRPr="00EA148A">
        <w:rPr>
          <w:rFonts w:ascii="Courier New" w:hAnsi="Courier New" w:cs="Courier New"/>
        </w:rPr>
        <w:t>Netezza DDL Converter Utility</w:t>
      </w:r>
      <w:bookmarkStart w:id="0" w:name="_GoBack"/>
      <w:bookmarkEnd w:id="0"/>
    </w:p>
    <w:p w14:paraId="79EAD53C" w14:textId="77777777" w:rsidR="00876B39" w:rsidRDefault="00876B39" w:rsidP="00BB5D58">
      <w:pPr>
        <w:rPr>
          <w:rFonts w:ascii="Courier New" w:hAnsi="Courier New" w:cs="Courier New"/>
        </w:rPr>
      </w:pPr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25722B"/>
    <w:rsid w:val="003B52F0"/>
    <w:rsid w:val="00876B39"/>
    <w:rsid w:val="00AD04E4"/>
    <w:rsid w:val="00BB5D58"/>
    <w:rsid w:val="00C1028C"/>
    <w:rsid w:val="00C50FB3"/>
    <w:rsid w:val="00DC2357"/>
    <w:rsid w:val="00EA148A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2018-09-05T17:32:00Z</dcterms:created>
  <dcterms:modified xsi:type="dcterms:W3CDTF">2018-09-05T17:32:00Z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