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05E1F" w14:textId="77777777" w:rsidR="00693AEC"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22A7A601" w14:textId="77777777" w:rsidR="00693AEC" w:rsidRDefault="00000000">
      <w:r>
        <w:pict w14:anchorId="7B89F3EB">
          <v:rect id="_x0000_i1025" style="width:0;height:1.5pt" o:hralign="center" o:hrstd="t" o:hr="t" fillcolor="#a0a0a0" stroked="f"/>
        </w:pict>
      </w:r>
    </w:p>
    <w:p w14:paraId="14982691" w14:textId="77777777" w:rsidR="00693AEC" w:rsidRDefault="00693AE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693AEC" w14:paraId="07D52983" w14:textId="77777777">
        <w:trPr>
          <w:trHeight w:val="2429"/>
        </w:trPr>
        <w:tc>
          <w:tcPr>
            <w:tcW w:w="2760" w:type="dxa"/>
            <w:tcMar>
              <w:top w:w="100" w:type="dxa"/>
              <w:left w:w="100" w:type="dxa"/>
              <w:bottom w:w="100" w:type="dxa"/>
              <w:right w:w="100" w:type="dxa"/>
            </w:tcMar>
          </w:tcPr>
          <w:p w14:paraId="2C0C56FA" w14:textId="77777777" w:rsidR="00693AE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tcMar>
              <w:top w:w="100" w:type="dxa"/>
              <w:left w:w="100" w:type="dxa"/>
              <w:bottom w:w="100" w:type="dxa"/>
              <w:right w:w="100" w:type="dxa"/>
            </w:tcMar>
          </w:tcPr>
          <w:p w14:paraId="46460907" w14:textId="749DB548" w:rsidR="00693AEC" w:rsidRDefault="00EE7CEC">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The USB contained both personal and professional documents. Some files included personally identifiable information (PII) related to Jorge’s coworkers, while others held sensitive internal data about hospital operations, including schedules and timesheets that were never meant for public access.</w:t>
            </w:r>
          </w:p>
        </w:tc>
      </w:tr>
      <w:tr w:rsidR="00693AEC" w14:paraId="76308E11" w14:textId="77777777">
        <w:trPr>
          <w:trHeight w:val="2429"/>
        </w:trPr>
        <w:tc>
          <w:tcPr>
            <w:tcW w:w="2760" w:type="dxa"/>
            <w:tcMar>
              <w:top w:w="100" w:type="dxa"/>
              <w:left w:w="100" w:type="dxa"/>
              <w:bottom w:w="100" w:type="dxa"/>
              <w:right w:w="100" w:type="dxa"/>
            </w:tcMar>
          </w:tcPr>
          <w:p w14:paraId="17A64382" w14:textId="77777777" w:rsidR="00693AE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tcMar>
              <w:top w:w="100" w:type="dxa"/>
              <w:left w:w="100" w:type="dxa"/>
              <w:bottom w:w="100" w:type="dxa"/>
              <w:right w:w="100" w:type="dxa"/>
            </w:tcMar>
          </w:tcPr>
          <w:p w14:paraId="715C1F7A" w14:textId="5BFC340F" w:rsidR="00693AEC" w:rsidRDefault="00EE7CEC">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An attacker could use the PII or workplace details to craft a convincing phishing attack. By mimicking a coworker, vendor, or relative, they could trick Jorge or other staff into clicking malicious links or surrendering credentials. The timesheet data also reveals Jorge’s work schedule and colleagues, which could help an attacker time or target an attack.</w:t>
            </w:r>
            <w:r w:rsidR="00000000">
              <w:rPr>
                <w:rFonts w:ascii="Google Sans" w:eastAsia="Google Sans" w:hAnsi="Google Sans" w:cs="Google Sans"/>
                <w:i/>
              </w:rPr>
              <w:t xml:space="preserve"> </w:t>
            </w:r>
          </w:p>
        </w:tc>
      </w:tr>
      <w:tr w:rsidR="00693AEC" w14:paraId="71599273" w14:textId="77777777">
        <w:trPr>
          <w:trHeight w:val="2429"/>
        </w:trPr>
        <w:tc>
          <w:tcPr>
            <w:tcW w:w="2760" w:type="dxa"/>
            <w:tcMar>
              <w:top w:w="100" w:type="dxa"/>
              <w:left w:w="100" w:type="dxa"/>
              <w:bottom w:w="100" w:type="dxa"/>
              <w:right w:w="100" w:type="dxa"/>
            </w:tcMar>
          </w:tcPr>
          <w:p w14:paraId="3FC72108" w14:textId="77777777" w:rsidR="00693AE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tcMar>
              <w:top w:w="100" w:type="dxa"/>
              <w:left w:w="100" w:type="dxa"/>
              <w:bottom w:w="100" w:type="dxa"/>
              <w:right w:w="100" w:type="dxa"/>
            </w:tcMar>
          </w:tcPr>
          <w:p w14:paraId="25AB07C4" w14:textId="77777777" w:rsidR="00693AEC" w:rsidRDefault="00EE7CEC">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To prevent incidents like this, organizations should implement a mix of managerial, operational, and technical controls. </w:t>
            </w:r>
          </w:p>
          <w:p w14:paraId="197919DF" w14:textId="77777777" w:rsidR="00EE7CEC" w:rsidRDefault="00EE7CEC" w:rsidP="00EE7CEC">
            <w:pPr>
              <w:pStyle w:val="ListParagraph"/>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Managerial: Train employees not to plug in unknown USB drives and report suspicious devices immediately.</w:t>
            </w:r>
          </w:p>
          <w:p w14:paraId="2107BD3E" w14:textId="77777777" w:rsidR="00EE7CEC" w:rsidRDefault="00EE7CEC" w:rsidP="00EE7CEC">
            <w:pPr>
              <w:pStyle w:val="ListParagraph"/>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Operational: Enforce regular antivirus scans and require IT review of any removeable media.</w:t>
            </w:r>
          </w:p>
          <w:p w14:paraId="3CC875BC" w14:textId="1FDCFA13" w:rsidR="00EE7CEC" w:rsidRPr="00EE7CEC" w:rsidRDefault="00EE7CEC" w:rsidP="00EE7CEC">
            <w:pPr>
              <w:pStyle w:val="ListParagraph"/>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Technical: Disable AutoPlay/</w:t>
            </w:r>
            <w:proofErr w:type="spellStart"/>
            <w:r>
              <w:rPr>
                <w:rFonts w:ascii="Google Sans" w:eastAsia="Google Sans" w:hAnsi="Google Sans" w:cs="Google Sans"/>
                <w:i/>
              </w:rPr>
              <w:t>AutoRun</w:t>
            </w:r>
            <w:proofErr w:type="spellEnd"/>
            <w:r>
              <w:rPr>
                <w:rFonts w:ascii="Google Sans" w:eastAsia="Google Sans" w:hAnsi="Google Sans" w:cs="Google Sans"/>
                <w:i/>
              </w:rPr>
              <w:t xml:space="preserve"> functions on all company devices so no code runs automatically when a drive is inserted. </w:t>
            </w:r>
          </w:p>
        </w:tc>
      </w:tr>
    </w:tbl>
    <w:p w14:paraId="145427DD" w14:textId="77777777" w:rsidR="00693AEC" w:rsidRDefault="00693AEC"/>
    <w:sectPr w:rsidR="00693A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FF46A270-3D5D-4F4C-9D36-8F7FE18E9C9C}"/>
    <w:embedBold r:id="rId2" w:fontKey="{75624AE0-6DE5-458A-A753-EF55D678BA75}"/>
    <w:embedItalic r:id="rId3" w:fontKey="{3DF5EDD1-E7B1-4AEF-B051-4FC4D8EBAA0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562D3D2-A337-4A1F-B836-26F3CAEE2C18}"/>
  </w:font>
  <w:font w:name="Cambria">
    <w:panose1 w:val="02040503050406030204"/>
    <w:charset w:val="00"/>
    <w:family w:val="roman"/>
    <w:pitch w:val="variable"/>
    <w:sig w:usb0="E00006FF" w:usb1="420024FF" w:usb2="02000000" w:usb3="00000000" w:csb0="0000019F" w:csb1="00000000"/>
    <w:embedRegular r:id="rId5" w:fontKey="{5A31A58C-1082-4D91-9AC2-84B2F4221C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5A0956"/>
    <w:multiLevelType w:val="hybridMultilevel"/>
    <w:tmpl w:val="06E00D4C"/>
    <w:lvl w:ilvl="0" w:tplc="585AF094">
      <w:numFmt w:val="bullet"/>
      <w:lvlText w:val="-"/>
      <w:lvlJc w:val="left"/>
      <w:pPr>
        <w:ind w:left="720" w:hanging="360"/>
      </w:pPr>
      <w:rPr>
        <w:rFonts w:ascii="Google Sans" w:eastAsia="Google Sans" w:hAnsi="Google Sans" w:cs="Google San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2647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AEC"/>
    <w:rsid w:val="00693AEC"/>
    <w:rsid w:val="00E940D1"/>
    <w:rsid w:val="00EE7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B93A"/>
  <w15:docId w15:val="{E116FC40-8834-46AD-9609-F66F2A4E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E7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175</Words>
  <Characters>998</Characters>
  <Application>Microsoft Office Word</Application>
  <DocSecurity>0</DocSecurity>
  <Lines>8</Lines>
  <Paragraphs>2</Paragraphs>
  <ScaleCrop>false</ScaleCrop>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2025-07-29T21:51:00Z</dcterms:created>
  <dcterms:modified xsi:type="dcterms:W3CDTF">2025-07-29T21:51:00Z</dcterms:modified>
</cp:coreProperties>
</file>