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EB8C" w14:textId="7D6D8EA3" w:rsidR="009F473D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 xml:space="preserve">Task </w:t>
      </w:r>
      <w:r w:rsidR="009F473D">
        <w:rPr>
          <w:rFonts w:ascii="Aptos SemiBold" w:hAnsi="Aptos SemiBold"/>
          <w:sz w:val="32"/>
          <w:szCs w:val="32"/>
        </w:rPr>
        <w:t>3 - Analysis of employee’s wealth</w:t>
      </w:r>
    </w:p>
    <w:p w14:paraId="2FC7415A" w14:textId="18EDF116" w:rsidR="00A0412C" w:rsidRDefault="009F473D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Response submission</w:t>
      </w:r>
      <w:r w:rsidR="003E2BCE" w:rsidRPr="00C45B44">
        <w:rPr>
          <w:rFonts w:ascii="Aptos SemiBold" w:hAnsi="Aptos SemiBold"/>
          <w:sz w:val="32"/>
          <w:szCs w:val="32"/>
        </w:rPr>
        <w:t xml:space="preserve"> </w:t>
      </w:r>
    </w:p>
    <w:p w14:paraId="1E7638DE" w14:textId="77777777" w:rsidR="009F473D" w:rsidRPr="00C45B44" w:rsidRDefault="009F473D" w:rsidP="00A0412C">
      <w:pPr>
        <w:jc w:val="center"/>
        <w:rPr>
          <w:rFonts w:ascii="Aptos SemiBold" w:hAnsi="Aptos SemiBold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6004"/>
      </w:tblGrid>
      <w:tr w:rsidR="009F473D" w:rsidRPr="00B35B6E" w14:paraId="6B7CCA06" w14:textId="77777777" w:rsidTr="009F473D">
        <w:trPr>
          <w:trHeight w:val="390"/>
        </w:trPr>
        <w:tc>
          <w:tcPr>
            <w:tcW w:w="10763" w:type="dxa"/>
            <w:gridSpan w:val="2"/>
            <w:shd w:val="clear" w:color="auto" w:fill="FFFF00"/>
            <w:vAlign w:val="center"/>
          </w:tcPr>
          <w:p w14:paraId="04527C72" w14:textId="174C14EE" w:rsidR="009F473D" w:rsidRPr="00B35B6E" w:rsidRDefault="005D0E4D" w:rsidP="005B2B03">
            <w:pPr>
              <w:jc w:val="center"/>
              <w:rPr>
                <w:rFonts w:cs="Arial"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  <w:t>Wealth Discrepancy Analysis: Employee Under Investigation – Head of Procurement</w:t>
            </w:r>
          </w:p>
        </w:tc>
      </w:tr>
      <w:tr w:rsidR="009F473D" w:rsidRPr="00B35B6E" w14:paraId="3FA4F686" w14:textId="77777777" w:rsidTr="009F473D">
        <w:trPr>
          <w:trHeight w:val="382"/>
        </w:trPr>
        <w:tc>
          <w:tcPr>
            <w:tcW w:w="4759" w:type="dxa"/>
            <w:shd w:val="clear" w:color="auto" w:fill="7F7F7F" w:themeFill="text1" w:themeFillTint="80"/>
            <w:vAlign w:val="center"/>
          </w:tcPr>
          <w:p w14:paraId="2D5F3341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b/>
                <w:color w:val="FFFFFF" w:themeColor="background1"/>
              </w:rPr>
            </w:pPr>
            <w:r w:rsidRPr="00B35B6E">
              <w:rPr>
                <w:rFonts w:cs="Arial"/>
                <w:b/>
                <w:color w:val="FFFFFF" w:themeColor="background1"/>
              </w:rPr>
              <w:t>Category</w:t>
            </w:r>
          </w:p>
        </w:tc>
        <w:tc>
          <w:tcPr>
            <w:tcW w:w="6004" w:type="dxa"/>
            <w:shd w:val="clear" w:color="auto" w:fill="7F7F7F" w:themeFill="text1" w:themeFillTint="80"/>
            <w:vAlign w:val="center"/>
          </w:tcPr>
          <w:p w14:paraId="383E0DD2" w14:textId="77777777" w:rsidR="009F473D" w:rsidRPr="00B35B6E" w:rsidRDefault="009F473D" w:rsidP="005B2B03">
            <w:pPr>
              <w:rPr>
                <w:rFonts w:cs="Arial"/>
                <w:b/>
                <w:color w:val="FFFFFF" w:themeColor="background1"/>
              </w:rPr>
            </w:pPr>
            <w:r w:rsidRPr="00B35B6E">
              <w:rPr>
                <w:rFonts w:cs="Arial"/>
                <w:b/>
                <w:color w:val="FFFFFF" w:themeColor="background1"/>
              </w:rPr>
              <w:t xml:space="preserve">Red </w:t>
            </w:r>
            <w:r w:rsidRPr="00B35B6E">
              <w:rPr>
                <w:rFonts w:cs="Arial"/>
                <w:b/>
                <w:bCs/>
                <w:color w:val="FFFFFF" w:themeColor="background1"/>
              </w:rPr>
              <w:t>f</w:t>
            </w:r>
            <w:r w:rsidRPr="00B35B6E">
              <w:rPr>
                <w:rFonts w:cs="Arial"/>
                <w:b/>
                <w:color w:val="FFFFFF" w:themeColor="background1"/>
              </w:rPr>
              <w:t xml:space="preserve">lag(s) </w:t>
            </w:r>
            <w:r w:rsidRPr="00B35B6E">
              <w:rPr>
                <w:rFonts w:cs="Arial"/>
                <w:b/>
                <w:bCs/>
                <w:color w:val="FFFFFF" w:themeColor="background1"/>
              </w:rPr>
              <w:t>i</w:t>
            </w:r>
            <w:r w:rsidRPr="00B35B6E">
              <w:rPr>
                <w:rFonts w:cs="Arial"/>
                <w:b/>
                <w:color w:val="FFFFFF" w:themeColor="background1"/>
              </w:rPr>
              <w:t>dentified:</w:t>
            </w:r>
          </w:p>
        </w:tc>
      </w:tr>
      <w:tr w:rsidR="009F473D" w:rsidRPr="00B35B6E" w14:paraId="28E79F49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3692463A" w14:textId="77777777" w:rsidR="009F473D" w:rsidRPr="00B35B6E" w:rsidRDefault="009F473D" w:rsidP="005B2B03">
            <w:pPr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1. Living beyond means</w:t>
            </w:r>
          </w:p>
        </w:tc>
        <w:tc>
          <w:tcPr>
            <w:tcW w:w="6004" w:type="dxa"/>
            <w:vAlign w:val="center"/>
          </w:tcPr>
          <w:p w14:paraId="2C721B79" w14:textId="0D8E6E05" w:rsidR="009F473D" w:rsidRDefault="00016A2D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Total family income (1.8MM/yr.) does not align with high-value asset acquisitions.</w:t>
            </w:r>
          </w:p>
          <w:p w14:paraId="6B65512A" w14:textId="4F502ECD" w:rsidR="00902C50" w:rsidRPr="00B35B6E" w:rsidRDefault="00016A2D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Monthly tuition of $40,000 and luxury real estate purchases are unsustainable given declared income.</w:t>
            </w:r>
          </w:p>
        </w:tc>
      </w:tr>
      <w:tr w:rsidR="009F473D" w:rsidRPr="00B35B6E" w14:paraId="3DF5690D" w14:textId="77777777" w:rsidTr="009F473D">
        <w:trPr>
          <w:trHeight w:val="657"/>
        </w:trPr>
        <w:tc>
          <w:tcPr>
            <w:tcW w:w="4759" w:type="dxa"/>
            <w:vAlign w:val="center"/>
          </w:tcPr>
          <w:p w14:paraId="58D68411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2. Sudden acquisition of expensive items</w:t>
            </w:r>
          </w:p>
        </w:tc>
        <w:tc>
          <w:tcPr>
            <w:tcW w:w="6004" w:type="dxa"/>
            <w:vAlign w:val="center"/>
          </w:tcPr>
          <w:p w14:paraId="14942D27" w14:textId="3C6BCC42" w:rsidR="009F473D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Country house values at 7.8M acquired last year</w:t>
            </w:r>
          </w:p>
          <w:p w14:paraId="047E8073" w14:textId="0E628597" w:rsidR="00902C50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City apartment valued 12.4M purchased 2 months ago.</w:t>
            </w:r>
          </w:p>
          <w:p w14:paraId="6AAB0540" w14:textId="7914D27C" w:rsidR="00902C50" w:rsidRPr="00B35B6E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Four fixed deposits of 200,000 each established last year.</w:t>
            </w:r>
          </w:p>
        </w:tc>
      </w:tr>
      <w:tr w:rsidR="009F473D" w:rsidRPr="00B35B6E" w14:paraId="284CEFA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0ACBFAC8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3. Inconsistencies in financial records</w:t>
            </w:r>
          </w:p>
        </w:tc>
        <w:tc>
          <w:tcPr>
            <w:tcW w:w="6004" w:type="dxa"/>
            <w:vAlign w:val="center"/>
          </w:tcPr>
          <w:p w14:paraId="1089EAA1" w14:textId="44DF62AF" w:rsidR="009F473D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Rental income of 45,000 not reflected in income breakdown.</w:t>
            </w:r>
          </w:p>
          <w:p w14:paraId="503BFC5A" w14:textId="645F9057" w:rsidR="00902C50" w:rsidRPr="00B35B6E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Lack of clear source of funds for recent property purchases.</w:t>
            </w:r>
          </w:p>
        </w:tc>
      </w:tr>
      <w:tr w:rsidR="009F473D" w:rsidRPr="00B35B6E" w14:paraId="62EC067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2A927CD0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4. Unusual financial transactions</w:t>
            </w:r>
          </w:p>
        </w:tc>
        <w:tc>
          <w:tcPr>
            <w:tcW w:w="6004" w:type="dxa"/>
            <w:vAlign w:val="center"/>
          </w:tcPr>
          <w:p w14:paraId="762A516D" w14:textId="17C04BE4" w:rsidR="009F473D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Property registered under spouse’s name shortly after major contract approval.</w:t>
            </w:r>
          </w:p>
          <w:p w14:paraId="6BD1991E" w14:textId="035BA047" w:rsidR="00902C50" w:rsidRPr="00B35B6E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Fixed deposits placed in names of spouse and children, possibly to mask ownership.</w:t>
            </w:r>
          </w:p>
        </w:tc>
      </w:tr>
      <w:tr w:rsidR="009F473D" w:rsidRPr="00B35B6E" w14:paraId="2246EF79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13C0D2BB" w14:textId="77777777" w:rsidR="009F473D" w:rsidRPr="00B35B6E" w:rsidRDefault="009F473D" w:rsidP="005B2B03">
            <w:pPr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5. Complex financial arrangements</w:t>
            </w:r>
          </w:p>
        </w:tc>
        <w:tc>
          <w:tcPr>
            <w:tcW w:w="6004" w:type="dxa"/>
            <w:vAlign w:val="center"/>
          </w:tcPr>
          <w:p w14:paraId="5B96A0D6" w14:textId="11F6BEF5" w:rsidR="009F473D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Use of multiple family member accounts for asset distribution.</w:t>
            </w:r>
          </w:p>
          <w:p w14:paraId="2C5A60F9" w14:textId="58E6EF52" w:rsidR="00902C50" w:rsidRPr="00B35B6E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</w:t>
            </w:r>
            <w:r w:rsidR="00902C50">
              <w:rPr>
                <w:rFonts w:cs="Arial"/>
                <w:i/>
                <w:color w:val="000000" w:themeColor="text1"/>
              </w:rPr>
              <w:t>Structuring of asset ownership suggests concealment intent.</w:t>
            </w:r>
          </w:p>
        </w:tc>
      </w:tr>
      <w:tr w:rsidR="009F473D" w:rsidRPr="00B35B6E" w14:paraId="5156BCEF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165DC595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6. History of ethical violations</w:t>
            </w:r>
          </w:p>
        </w:tc>
        <w:tc>
          <w:tcPr>
            <w:tcW w:w="6004" w:type="dxa"/>
            <w:vAlign w:val="center"/>
          </w:tcPr>
          <w:p w14:paraId="79690644" w14:textId="4BFB07A0" w:rsidR="009F473D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>- Employee approved 4.5B in contracts while accumulating unexplained wealth.</w:t>
            </w:r>
          </w:p>
          <w:p w14:paraId="7C0B1CA4" w14:textId="0BACD655" w:rsidR="00016A2D" w:rsidRPr="00B35B6E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Allegations from whistleblower suggest kickbacks or </w:t>
            </w:r>
            <w:proofErr w:type="spellStart"/>
            <w:r>
              <w:rPr>
                <w:rFonts w:cs="Arial"/>
                <w:i/>
                <w:color w:val="000000" w:themeColor="text1"/>
              </w:rPr>
              <w:t>favoritism</w:t>
            </w:r>
            <w:proofErr w:type="spellEnd"/>
            <w:r>
              <w:rPr>
                <w:rFonts w:cs="Arial"/>
                <w:i/>
                <w:color w:val="000000" w:themeColor="text1"/>
              </w:rPr>
              <w:t>.</w:t>
            </w:r>
          </w:p>
        </w:tc>
      </w:tr>
      <w:tr w:rsidR="009F473D" w:rsidRPr="00B35B6E" w14:paraId="48E54A1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079AF252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7. Resistance to providing information</w:t>
            </w:r>
          </w:p>
        </w:tc>
        <w:tc>
          <w:tcPr>
            <w:tcW w:w="6004" w:type="dxa"/>
            <w:vAlign w:val="center"/>
          </w:tcPr>
          <w:p w14:paraId="42832547" w14:textId="77777777" w:rsidR="009F473D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>- No voluntary declaration of large purchases or rental income.</w:t>
            </w:r>
          </w:p>
          <w:p w14:paraId="13BCB12A" w14:textId="0A641B22" w:rsidR="00016A2D" w:rsidRPr="00B35B6E" w:rsidRDefault="00016A2D" w:rsidP="009F473D">
            <w:pPr>
              <w:rPr>
                <w:rFonts w:cs="Arial"/>
                <w:i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 xml:space="preserve">- Social media and public records had to be used to uncover lifestyle indicators. </w:t>
            </w:r>
          </w:p>
        </w:tc>
      </w:tr>
      <w:tr w:rsidR="009F473D" w:rsidRPr="00B35B6E" w14:paraId="48AD4510" w14:textId="77777777" w:rsidTr="009F473D">
        <w:trPr>
          <w:trHeight w:val="504"/>
        </w:trPr>
        <w:tc>
          <w:tcPr>
            <w:tcW w:w="10763" w:type="dxa"/>
            <w:gridSpan w:val="2"/>
            <w:vAlign w:val="center"/>
          </w:tcPr>
          <w:p w14:paraId="7BDC666A" w14:textId="77777777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Summary of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f</w:t>
            </w:r>
            <w:r w:rsidRPr="00B35B6E">
              <w:rPr>
                <w:rFonts w:cs="Arial"/>
                <w:b/>
                <w:color w:val="000000" w:themeColor="text1"/>
              </w:rPr>
              <w:t>indings:</w:t>
            </w:r>
          </w:p>
          <w:p w14:paraId="0DFDB5E4" w14:textId="25D8F5C1" w:rsidR="009F473D" w:rsidRPr="00B35B6E" w:rsidRDefault="00016A2D" w:rsidP="009F473D">
            <w:pPr>
              <w:pStyle w:val="ListParagraph"/>
              <w:ind w:left="360"/>
              <w:rPr>
                <w:rFonts w:cs="Arial"/>
                <w:b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The employee’s declared a salary, combined with their spouse’s income, is not sufficient to justify the acquisition of high-value real estate, fixed deposits, and ongoing tuition expenses. Asset ownership and rental income are structured in a way that suggests possible concealment. Timing of acquisitions correlates with the employee’s role in awarding large supplier contracts. These discrepancies indicate potential illicit financial gain.</w:t>
            </w:r>
          </w:p>
          <w:p w14:paraId="5937B1CF" w14:textId="77777777" w:rsidR="009F473D" w:rsidRPr="00B35B6E" w:rsidRDefault="009F473D" w:rsidP="009F473D">
            <w:pPr>
              <w:rPr>
                <w:rFonts w:cs="Arial"/>
                <w:b/>
                <w:color w:val="000000" w:themeColor="text1"/>
              </w:rPr>
            </w:pPr>
          </w:p>
        </w:tc>
      </w:tr>
      <w:tr w:rsidR="009F473D" w:rsidRPr="00B35B6E" w14:paraId="3E86461B" w14:textId="77777777" w:rsidTr="009F473D">
        <w:trPr>
          <w:trHeight w:val="504"/>
        </w:trPr>
        <w:tc>
          <w:tcPr>
            <w:tcW w:w="10763" w:type="dxa"/>
            <w:gridSpan w:val="2"/>
            <w:vAlign w:val="center"/>
          </w:tcPr>
          <w:p w14:paraId="2B93DF8D" w14:textId="77777777" w:rsidR="009F473D" w:rsidRPr="00B35B6E" w:rsidRDefault="009F473D" w:rsidP="00622981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Recommended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n</w:t>
            </w:r>
            <w:r w:rsidRPr="00B35B6E">
              <w:rPr>
                <w:rFonts w:cs="Arial"/>
                <w:b/>
                <w:color w:val="000000" w:themeColor="text1"/>
              </w:rPr>
              <w:t xml:space="preserve">ext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s</w:t>
            </w:r>
            <w:r w:rsidRPr="00B35B6E">
              <w:rPr>
                <w:rFonts w:cs="Arial"/>
                <w:b/>
                <w:color w:val="000000" w:themeColor="text1"/>
              </w:rPr>
              <w:t xml:space="preserve">teps: </w:t>
            </w:r>
          </w:p>
          <w:p w14:paraId="2E984926" w14:textId="7B27A71C" w:rsidR="00016A2D" w:rsidRPr="005D0E4D" w:rsidRDefault="00016A2D" w:rsidP="005D0E4D">
            <w:pPr>
              <w:pStyle w:val="ListParagraph"/>
              <w:numPr>
                <w:ilvl w:val="0"/>
                <w:numId w:val="28"/>
              </w:numPr>
              <w:rPr>
                <w:rFonts w:cs="Arial"/>
                <w:b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Request full banking and property transaction records for employee</w:t>
            </w:r>
            <w:r w:rsidR="005D0E4D">
              <w:rPr>
                <w:rFonts w:cs="Arial"/>
                <w:color w:val="000000" w:themeColor="text1"/>
              </w:rPr>
              <w:t>, including any assets registered under their name or for which they are the primary financial contributor.</w:t>
            </w:r>
          </w:p>
          <w:p w14:paraId="0E6D26A0" w14:textId="28B32FC2" w:rsidR="005D0E4D" w:rsidRPr="005D0E4D" w:rsidRDefault="005D0E4D" w:rsidP="005D0E4D">
            <w:pPr>
              <w:pStyle w:val="ListParagraph"/>
              <w:numPr>
                <w:ilvl w:val="0"/>
                <w:numId w:val="28"/>
              </w:numPr>
              <w:rPr>
                <w:rFonts w:cs="Arial"/>
                <w:b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Conduct a forensic review of procurement contracts and related vendor transactions authorized by the employee.</w:t>
            </w:r>
          </w:p>
          <w:p w14:paraId="019EF986" w14:textId="22F231A5" w:rsidR="005D0E4D" w:rsidRPr="005D0E4D" w:rsidRDefault="005D0E4D" w:rsidP="005D0E4D">
            <w:pPr>
              <w:pStyle w:val="ListParagraph"/>
              <w:numPr>
                <w:ilvl w:val="0"/>
                <w:numId w:val="28"/>
              </w:numPr>
              <w:rPr>
                <w:rFonts w:cs="Arial"/>
                <w:bCs/>
                <w:color w:val="000000" w:themeColor="text1"/>
              </w:rPr>
            </w:pPr>
            <w:r w:rsidRPr="005D0E4D">
              <w:rPr>
                <w:rFonts w:cs="Arial"/>
                <w:bCs/>
                <w:color w:val="000000" w:themeColor="text1"/>
              </w:rPr>
              <w:t>Review public records and ownership registries to identify assets registered in the names of immediate family members that may be linked to the employee’s financial activity.</w:t>
            </w:r>
          </w:p>
          <w:p w14:paraId="54A8DBFD" w14:textId="70C54187" w:rsidR="005D0E4D" w:rsidRPr="005D0E4D" w:rsidRDefault="005D0E4D" w:rsidP="005D0E4D">
            <w:pPr>
              <w:pStyle w:val="ListParagraph"/>
              <w:numPr>
                <w:ilvl w:val="0"/>
                <w:numId w:val="28"/>
              </w:numPr>
              <w:rPr>
                <w:rFonts w:cs="Arial"/>
                <w:bCs/>
                <w:color w:val="000000" w:themeColor="text1"/>
              </w:rPr>
            </w:pPr>
            <w:r w:rsidRPr="005D0E4D">
              <w:rPr>
                <w:rFonts w:cs="Arial"/>
                <w:bCs/>
                <w:color w:val="000000" w:themeColor="text1"/>
              </w:rPr>
              <w:t xml:space="preserve">Use data analytics to trace payment patterns, potential links between </w:t>
            </w:r>
            <w:proofErr w:type="spellStart"/>
            <w:r w:rsidRPr="005D0E4D">
              <w:rPr>
                <w:rFonts w:cs="Arial"/>
                <w:bCs/>
                <w:color w:val="000000" w:themeColor="text1"/>
              </w:rPr>
              <w:t>favored</w:t>
            </w:r>
            <w:proofErr w:type="spellEnd"/>
            <w:r w:rsidRPr="005D0E4D">
              <w:rPr>
                <w:rFonts w:cs="Arial"/>
                <w:bCs/>
                <w:color w:val="000000" w:themeColor="text1"/>
              </w:rPr>
              <w:t xml:space="preserve"> suppliers and the employee, and any fund transfers involving related parties. </w:t>
            </w:r>
          </w:p>
          <w:p w14:paraId="0F7FDDF2" w14:textId="18BC21A4" w:rsidR="005D0E4D" w:rsidRPr="005D0E4D" w:rsidRDefault="005D0E4D" w:rsidP="005D0E4D">
            <w:pPr>
              <w:pStyle w:val="ListParagraph"/>
              <w:numPr>
                <w:ilvl w:val="0"/>
                <w:numId w:val="28"/>
              </w:numPr>
              <w:rPr>
                <w:rFonts w:cs="Arial"/>
                <w:bCs/>
                <w:color w:val="000000" w:themeColor="text1"/>
              </w:rPr>
            </w:pPr>
            <w:r w:rsidRPr="005D0E4D">
              <w:rPr>
                <w:rFonts w:cs="Arial"/>
                <w:bCs/>
                <w:color w:val="000000" w:themeColor="text1"/>
              </w:rPr>
              <w:t xml:space="preserve">Refer findings to internal audit and legal teams for further escalation, including possible referral to external counsel or regulators if warranted. </w:t>
            </w:r>
          </w:p>
          <w:p w14:paraId="1DC58B86" w14:textId="77777777" w:rsidR="009F473D" w:rsidRPr="00B35B6E" w:rsidRDefault="009F473D" w:rsidP="009F473D">
            <w:pPr>
              <w:rPr>
                <w:rFonts w:cs="Arial"/>
                <w:b/>
                <w:color w:val="000000" w:themeColor="text1"/>
              </w:rPr>
            </w:pPr>
          </w:p>
        </w:tc>
      </w:tr>
      <w:tr w:rsidR="009F473D" w:rsidRPr="00B35B6E" w14:paraId="4E2F7C8B" w14:textId="77777777" w:rsidTr="009F473D">
        <w:trPr>
          <w:trHeight w:val="822"/>
        </w:trPr>
        <w:tc>
          <w:tcPr>
            <w:tcW w:w="10763" w:type="dxa"/>
            <w:gridSpan w:val="2"/>
            <w:vAlign w:val="center"/>
          </w:tcPr>
          <w:p w14:paraId="3CCE9AE6" w14:textId="7D769D2D" w:rsidR="009F473D" w:rsidRPr="00B35B6E" w:rsidRDefault="005D0E4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  <w:t>Natascha Martin</w:t>
            </w:r>
          </w:p>
          <w:p w14:paraId="66C928CF" w14:textId="3289A761" w:rsidR="009F473D" w:rsidRPr="00B35B6E" w:rsidRDefault="005D0E4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  <w:t>Forensic Analyst</w:t>
            </w:r>
          </w:p>
        </w:tc>
      </w:tr>
    </w:tbl>
    <w:p w14:paraId="29B97945" w14:textId="77777777" w:rsidR="009F473D" w:rsidRDefault="009F473D" w:rsidP="00D7316A">
      <w:pPr>
        <w:rPr>
          <w:rFonts w:asciiTheme="majorHAnsi" w:hAnsiTheme="majorHAnsi"/>
          <w:b/>
          <w:bCs/>
          <w:sz w:val="24"/>
          <w:szCs w:val="24"/>
        </w:rPr>
      </w:pPr>
    </w:p>
    <w:sectPr w:rsidR="009F473D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C72B8"/>
    <w:multiLevelType w:val="hybridMultilevel"/>
    <w:tmpl w:val="DA046772"/>
    <w:lvl w:ilvl="0" w:tplc="6F56B87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91A0A"/>
    <w:multiLevelType w:val="hybridMultilevel"/>
    <w:tmpl w:val="AA9810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6"/>
  </w:num>
  <w:num w:numId="2" w16cid:durableId="611399824">
    <w:abstractNumId w:val="10"/>
  </w:num>
  <w:num w:numId="3" w16cid:durableId="1368607191">
    <w:abstractNumId w:val="11"/>
  </w:num>
  <w:num w:numId="4" w16cid:durableId="2111703079">
    <w:abstractNumId w:val="1"/>
  </w:num>
  <w:num w:numId="5" w16cid:durableId="1379819424">
    <w:abstractNumId w:val="22"/>
  </w:num>
  <w:num w:numId="6" w16cid:durableId="2019890540">
    <w:abstractNumId w:val="19"/>
  </w:num>
  <w:num w:numId="7" w16cid:durableId="140386808">
    <w:abstractNumId w:val="27"/>
  </w:num>
  <w:num w:numId="8" w16cid:durableId="662047422">
    <w:abstractNumId w:val="24"/>
  </w:num>
  <w:num w:numId="9" w16cid:durableId="1494300208">
    <w:abstractNumId w:val="18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3"/>
  </w:num>
  <w:num w:numId="14" w16cid:durableId="405108810">
    <w:abstractNumId w:val="26"/>
  </w:num>
  <w:num w:numId="15" w16cid:durableId="101145787">
    <w:abstractNumId w:val="21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2"/>
  </w:num>
  <w:num w:numId="19" w16cid:durableId="1363356519">
    <w:abstractNumId w:val="14"/>
  </w:num>
  <w:num w:numId="20" w16cid:durableId="481969972">
    <w:abstractNumId w:val="17"/>
  </w:num>
  <w:num w:numId="21" w16cid:durableId="1023748131">
    <w:abstractNumId w:val="25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5"/>
  </w:num>
  <w:num w:numId="26" w16cid:durableId="1841771492">
    <w:abstractNumId w:val="20"/>
  </w:num>
  <w:num w:numId="27" w16cid:durableId="959531801">
    <w:abstractNumId w:val="13"/>
  </w:num>
  <w:num w:numId="28" w16cid:durableId="1325086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16A2D"/>
    <w:rsid w:val="000655E0"/>
    <w:rsid w:val="000D54D3"/>
    <w:rsid w:val="000E14DA"/>
    <w:rsid w:val="00134109"/>
    <w:rsid w:val="001D3CC6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B6F89"/>
    <w:rsid w:val="005D0E4D"/>
    <w:rsid w:val="00626908"/>
    <w:rsid w:val="00696268"/>
    <w:rsid w:val="00775407"/>
    <w:rsid w:val="007B2242"/>
    <w:rsid w:val="0081761E"/>
    <w:rsid w:val="008D7D09"/>
    <w:rsid w:val="00902C50"/>
    <w:rsid w:val="009F473D"/>
    <w:rsid w:val="00A0412C"/>
    <w:rsid w:val="00B35B6E"/>
    <w:rsid w:val="00BE756E"/>
    <w:rsid w:val="00C45B44"/>
    <w:rsid w:val="00D41A24"/>
    <w:rsid w:val="00D7316A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Natascha Martin</cp:lastModifiedBy>
  <cp:revision>2</cp:revision>
  <dcterms:created xsi:type="dcterms:W3CDTF">2025-10-15T19:25:00Z</dcterms:created>
  <dcterms:modified xsi:type="dcterms:W3CDTF">2025-10-15T19:25:00Z</dcterms:modified>
</cp:coreProperties>
</file>